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3AFEF" w14:textId="77777777" w:rsidR="00022891" w:rsidRDefault="00022891"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napToGrid w:val="0"/>
          <w:sz w:val="20"/>
        </w:rPr>
      </w:pPr>
    </w:p>
    <w:p w14:paraId="07D1313B" w14:textId="77777777" w:rsidR="00022891" w:rsidRDefault="00022891"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napToGrid w:val="0"/>
          <w:sz w:val="20"/>
        </w:rPr>
      </w:pPr>
    </w:p>
    <w:p w14:paraId="7F5A49E5" w14:textId="77777777" w:rsidR="00022891" w:rsidRDefault="00022891"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napToGrid w:val="0"/>
          <w:sz w:val="20"/>
        </w:rPr>
      </w:pPr>
    </w:p>
    <w:p w14:paraId="45D1CF80" w14:textId="77777777" w:rsidR="00022891" w:rsidRDefault="00022891"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napToGrid w:val="0"/>
          <w:sz w:val="20"/>
        </w:rPr>
      </w:pPr>
    </w:p>
    <w:p w14:paraId="1D123E57" w14:textId="77777777" w:rsidR="00022891" w:rsidRDefault="00022891"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napToGrid w:val="0"/>
          <w:sz w:val="20"/>
        </w:rPr>
      </w:pPr>
    </w:p>
    <w:p w14:paraId="5FEE451A" w14:textId="77777777" w:rsidR="00022891" w:rsidRPr="00022891" w:rsidRDefault="00022891"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napToGrid w:val="0"/>
          <w:sz w:val="48"/>
          <w:szCs w:val="48"/>
        </w:rPr>
      </w:pPr>
      <w:r w:rsidRPr="00022891">
        <w:rPr>
          <w:b/>
          <w:snapToGrid w:val="0"/>
          <w:sz w:val="48"/>
          <w:szCs w:val="48"/>
        </w:rPr>
        <w:t>Promotur Turismo Canarias S.A.</w:t>
      </w:r>
    </w:p>
    <w:p w14:paraId="52DDEACF" w14:textId="77777777" w:rsidR="00022891" w:rsidRPr="00022891" w:rsidRDefault="00022891"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napToGrid w:val="0"/>
          <w:sz w:val="48"/>
          <w:szCs w:val="48"/>
        </w:rPr>
      </w:pPr>
    </w:p>
    <w:p w14:paraId="2685E469" w14:textId="77777777" w:rsidR="00022891" w:rsidRPr="00022891" w:rsidRDefault="00022891" w:rsidP="003A4111">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700" w:lineRule="exact"/>
        <w:outlineLvl w:val="0"/>
        <w:rPr>
          <w:b/>
          <w:snapToGrid w:val="0"/>
          <w:sz w:val="48"/>
          <w:szCs w:val="48"/>
        </w:rPr>
      </w:pPr>
      <w:r w:rsidRPr="00022891">
        <w:rPr>
          <w:b/>
          <w:snapToGrid w:val="0"/>
          <w:sz w:val="48"/>
          <w:szCs w:val="48"/>
        </w:rPr>
        <w:t>Cuentas Anuales e</w:t>
      </w:r>
    </w:p>
    <w:p w14:paraId="7998687B" w14:textId="77777777" w:rsidR="00022891" w:rsidRPr="00022891" w:rsidRDefault="00022891" w:rsidP="003A4111">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700" w:lineRule="exact"/>
        <w:outlineLvl w:val="0"/>
        <w:rPr>
          <w:b/>
          <w:snapToGrid w:val="0"/>
          <w:sz w:val="48"/>
          <w:szCs w:val="48"/>
        </w:rPr>
      </w:pPr>
      <w:r w:rsidRPr="00022891">
        <w:rPr>
          <w:b/>
          <w:snapToGrid w:val="0"/>
          <w:sz w:val="48"/>
          <w:szCs w:val="48"/>
        </w:rPr>
        <w:t>Informe de Gestión</w:t>
      </w:r>
    </w:p>
    <w:p w14:paraId="66ED3CCE" w14:textId="77777777" w:rsidR="00022891" w:rsidRPr="00022891" w:rsidRDefault="00022891" w:rsidP="003A4111">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700" w:lineRule="exact"/>
        <w:outlineLvl w:val="0"/>
        <w:rPr>
          <w:b/>
          <w:snapToGrid w:val="0"/>
          <w:sz w:val="48"/>
          <w:szCs w:val="48"/>
        </w:rPr>
      </w:pPr>
      <w:r w:rsidRPr="00022891">
        <w:rPr>
          <w:b/>
          <w:snapToGrid w:val="0"/>
          <w:sz w:val="48"/>
          <w:szCs w:val="48"/>
        </w:rPr>
        <w:t>31 de diciembre de 2018</w:t>
      </w:r>
    </w:p>
    <w:p w14:paraId="36428A12" w14:textId="77777777" w:rsidR="00022891" w:rsidRDefault="00022891"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napToGrid w:val="0"/>
          <w:sz w:val="20"/>
        </w:rPr>
      </w:pPr>
    </w:p>
    <w:p w14:paraId="31B7A936" w14:textId="77777777" w:rsidR="00022891" w:rsidRDefault="00022891"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napToGrid w:val="0"/>
          <w:sz w:val="20"/>
        </w:rPr>
      </w:pPr>
    </w:p>
    <w:p w14:paraId="6DE339D5" w14:textId="77777777" w:rsidR="00022891" w:rsidRDefault="00022891"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napToGrid w:val="0"/>
          <w:sz w:val="20"/>
        </w:rPr>
      </w:pPr>
    </w:p>
    <w:p w14:paraId="412E8994" w14:textId="77777777" w:rsidR="00022891" w:rsidRDefault="00022891"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napToGrid w:val="0"/>
          <w:sz w:val="20"/>
        </w:rPr>
      </w:pPr>
    </w:p>
    <w:p w14:paraId="3160CD81" w14:textId="77777777" w:rsidR="003849D9" w:rsidRDefault="003849D9"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napToGrid w:val="0"/>
          <w:sz w:val="20"/>
        </w:rPr>
        <w:sectPr w:rsidR="003849D9" w:rsidSect="00920E21">
          <w:headerReference w:type="default" r:id="rId8"/>
          <w:footerReference w:type="default" r:id="rId9"/>
          <w:headerReference w:type="first" r:id="rId10"/>
          <w:footerReference w:type="first" r:id="rId11"/>
          <w:pgSz w:w="11900" w:h="16840"/>
          <w:pgMar w:top="2127" w:right="1134" w:bottom="1701" w:left="1701" w:header="1757" w:footer="1395" w:gutter="0"/>
          <w:pgNumType w:start="1"/>
          <w:cols w:space="708"/>
          <w:titlePg/>
          <w:docGrid w:linePitch="360"/>
        </w:sectPr>
      </w:pPr>
    </w:p>
    <w:p w14:paraId="69B8A66D" w14:textId="77777777" w:rsidR="003A4111" w:rsidRDefault="003A4111"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napToGrid w:val="0"/>
          <w:sz w:val="20"/>
        </w:rPr>
      </w:pPr>
    </w:p>
    <w:p w14:paraId="6BD59842" w14:textId="77777777" w:rsidR="006220A2" w:rsidRDefault="006220A2"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napToGrid w:val="0"/>
          <w:sz w:val="20"/>
        </w:rPr>
      </w:pPr>
      <w:r w:rsidRPr="000A27FA">
        <w:rPr>
          <w:b/>
          <w:snapToGrid w:val="0"/>
          <w:sz w:val="20"/>
        </w:rPr>
        <w:t>PROMOTUR TURISMO CANARIAS, S.A.</w:t>
      </w:r>
    </w:p>
    <w:p w14:paraId="7C3F150F" w14:textId="77777777" w:rsidR="006220A2" w:rsidRDefault="006220A2"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pacing w:val="-1"/>
          <w:sz w:val="20"/>
        </w:rPr>
      </w:pPr>
      <w:r w:rsidRPr="000A27FA">
        <w:rPr>
          <w:b/>
          <w:spacing w:val="-1"/>
          <w:sz w:val="20"/>
        </w:rPr>
        <w:t>BALANCE DE SITUACIÓN AL 31 DE DICIEMBRE DE 201</w:t>
      </w:r>
      <w:r w:rsidR="00C16766">
        <w:rPr>
          <w:b/>
          <w:spacing w:val="-1"/>
          <w:sz w:val="20"/>
        </w:rPr>
        <w:t>8 Y 2017</w:t>
      </w:r>
      <w:r>
        <w:rPr>
          <w:b/>
          <w:spacing w:val="-1"/>
          <w:sz w:val="20"/>
        </w:rPr>
        <w:t xml:space="preserve"> (Expresado en e</w:t>
      </w:r>
      <w:r w:rsidRPr="000A27FA">
        <w:rPr>
          <w:b/>
          <w:spacing w:val="-1"/>
          <w:sz w:val="20"/>
        </w:rPr>
        <w:t>uros)</w:t>
      </w:r>
    </w:p>
    <w:p w14:paraId="1B17CEAC" w14:textId="77777777" w:rsidR="00C16766" w:rsidRPr="000A27FA" w:rsidRDefault="00C16766"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pacing w:val="-1"/>
          <w:sz w:val="20"/>
        </w:rPr>
      </w:pPr>
    </w:p>
    <w:tbl>
      <w:tblPr>
        <w:tblW w:w="5000" w:type="pct"/>
        <w:tblCellMar>
          <w:left w:w="70" w:type="dxa"/>
          <w:right w:w="70" w:type="dxa"/>
        </w:tblCellMar>
        <w:tblLook w:val="04A0" w:firstRow="1" w:lastRow="0" w:firstColumn="1" w:lastColumn="0" w:noHBand="0" w:noVBand="1"/>
      </w:tblPr>
      <w:tblGrid>
        <w:gridCol w:w="4502"/>
        <w:gridCol w:w="895"/>
        <w:gridCol w:w="1904"/>
        <w:gridCol w:w="1904"/>
      </w:tblGrid>
      <w:tr w:rsidR="00C16766" w:rsidRPr="00C16766" w14:paraId="17428538" w14:textId="77777777" w:rsidTr="001A7C10">
        <w:trPr>
          <w:trHeight w:val="240"/>
        </w:trPr>
        <w:tc>
          <w:tcPr>
            <w:tcW w:w="2446" w:type="pct"/>
            <w:tcBorders>
              <w:top w:val="single" w:sz="8" w:space="0" w:color="auto"/>
              <w:left w:val="nil"/>
              <w:bottom w:val="nil"/>
              <w:right w:val="nil"/>
            </w:tcBorders>
            <w:shd w:val="clear" w:color="auto" w:fill="F2F2F2"/>
            <w:noWrap/>
            <w:vAlign w:val="bottom"/>
            <w:hideMark/>
          </w:tcPr>
          <w:p w14:paraId="7B605773"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C16766">
              <w:rPr>
                <w:rFonts w:eastAsia="Times New Roman"/>
                <w:sz w:val="18"/>
                <w:szCs w:val="18"/>
                <w:bdr w:val="none" w:sz="0" w:space="0" w:color="auto"/>
                <w:lang w:eastAsia="es-ES"/>
              </w:rPr>
              <w:t> </w:t>
            </w:r>
          </w:p>
        </w:tc>
        <w:tc>
          <w:tcPr>
            <w:tcW w:w="486" w:type="pct"/>
            <w:tcBorders>
              <w:top w:val="single" w:sz="8" w:space="0" w:color="auto"/>
              <w:left w:val="nil"/>
              <w:bottom w:val="nil"/>
              <w:right w:val="nil"/>
            </w:tcBorders>
            <w:shd w:val="clear" w:color="auto" w:fill="F2F2F2"/>
            <w:noWrap/>
            <w:vAlign w:val="bottom"/>
            <w:hideMark/>
          </w:tcPr>
          <w:p w14:paraId="3A07D51B"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C16766">
              <w:rPr>
                <w:rFonts w:eastAsia="Times New Roman"/>
                <w:sz w:val="18"/>
                <w:szCs w:val="18"/>
                <w:bdr w:val="none" w:sz="0" w:space="0" w:color="auto"/>
                <w:lang w:eastAsia="es-ES"/>
              </w:rPr>
              <w:t> </w:t>
            </w:r>
          </w:p>
        </w:tc>
        <w:tc>
          <w:tcPr>
            <w:tcW w:w="1034" w:type="pct"/>
            <w:tcBorders>
              <w:top w:val="single" w:sz="8" w:space="0" w:color="auto"/>
              <w:left w:val="nil"/>
              <w:bottom w:val="nil"/>
              <w:right w:val="nil"/>
            </w:tcBorders>
            <w:shd w:val="clear" w:color="auto" w:fill="F2F2F2"/>
            <w:noWrap/>
            <w:vAlign w:val="bottom"/>
            <w:hideMark/>
          </w:tcPr>
          <w:p w14:paraId="5987503D" w14:textId="77777777" w:rsidR="00C16766" w:rsidRPr="00C16766" w:rsidRDefault="00C16766" w:rsidP="00A47E7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C16766">
              <w:rPr>
                <w:rFonts w:eastAsia="Times New Roman"/>
                <w:b/>
                <w:bCs/>
                <w:sz w:val="18"/>
                <w:szCs w:val="18"/>
                <w:bdr w:val="none" w:sz="0" w:space="0" w:color="auto"/>
                <w:lang w:eastAsia="es-ES"/>
              </w:rPr>
              <w:t>Al 31 de diciembre</w:t>
            </w:r>
          </w:p>
        </w:tc>
        <w:tc>
          <w:tcPr>
            <w:tcW w:w="1034" w:type="pct"/>
            <w:tcBorders>
              <w:top w:val="single" w:sz="8" w:space="0" w:color="auto"/>
              <w:left w:val="nil"/>
              <w:bottom w:val="nil"/>
              <w:right w:val="nil"/>
            </w:tcBorders>
            <w:shd w:val="clear" w:color="auto" w:fill="F2F2F2"/>
            <w:noWrap/>
            <w:vAlign w:val="bottom"/>
            <w:hideMark/>
          </w:tcPr>
          <w:p w14:paraId="371E0F6C" w14:textId="77777777" w:rsidR="00C16766" w:rsidRPr="00C16766" w:rsidRDefault="00C16766" w:rsidP="00A47E7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C16766">
              <w:rPr>
                <w:rFonts w:eastAsia="Times New Roman"/>
                <w:b/>
                <w:bCs/>
                <w:sz w:val="18"/>
                <w:szCs w:val="18"/>
                <w:bdr w:val="none" w:sz="0" w:space="0" w:color="auto"/>
                <w:lang w:eastAsia="es-ES"/>
              </w:rPr>
              <w:t>Al 31 de diciembre</w:t>
            </w:r>
          </w:p>
        </w:tc>
      </w:tr>
      <w:tr w:rsidR="00C16766" w:rsidRPr="00C16766" w14:paraId="4FF31338" w14:textId="77777777" w:rsidTr="001A7C10">
        <w:trPr>
          <w:trHeight w:val="240"/>
        </w:trPr>
        <w:tc>
          <w:tcPr>
            <w:tcW w:w="2446" w:type="pct"/>
            <w:tcBorders>
              <w:top w:val="nil"/>
              <w:left w:val="nil"/>
              <w:bottom w:val="nil"/>
              <w:right w:val="nil"/>
            </w:tcBorders>
            <w:shd w:val="clear" w:color="auto" w:fill="F2F2F2"/>
            <w:noWrap/>
            <w:vAlign w:val="bottom"/>
            <w:hideMark/>
          </w:tcPr>
          <w:p w14:paraId="6DFD66CB" w14:textId="77777777" w:rsidR="00C16766" w:rsidRPr="00C16766" w:rsidRDefault="00C16766" w:rsidP="00A47E7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C16766">
              <w:rPr>
                <w:rFonts w:eastAsia="Times New Roman"/>
                <w:b/>
                <w:bCs/>
                <w:sz w:val="18"/>
                <w:szCs w:val="18"/>
                <w:bdr w:val="none" w:sz="0" w:space="0" w:color="auto"/>
                <w:lang w:eastAsia="es-ES"/>
              </w:rPr>
              <w:t>ACTIVO</w:t>
            </w:r>
          </w:p>
        </w:tc>
        <w:tc>
          <w:tcPr>
            <w:tcW w:w="486" w:type="pct"/>
            <w:tcBorders>
              <w:top w:val="nil"/>
              <w:left w:val="nil"/>
              <w:bottom w:val="nil"/>
              <w:right w:val="nil"/>
            </w:tcBorders>
            <w:shd w:val="clear" w:color="auto" w:fill="F2F2F2"/>
            <w:noWrap/>
            <w:vAlign w:val="bottom"/>
            <w:hideMark/>
          </w:tcPr>
          <w:p w14:paraId="2D5D7574" w14:textId="77777777" w:rsidR="00C16766" w:rsidRPr="00C16766" w:rsidRDefault="00C16766" w:rsidP="00A47E7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C16766">
              <w:rPr>
                <w:rFonts w:eastAsia="Times New Roman"/>
                <w:b/>
                <w:bCs/>
                <w:sz w:val="18"/>
                <w:szCs w:val="18"/>
                <w:bdr w:val="none" w:sz="0" w:space="0" w:color="auto"/>
                <w:lang w:eastAsia="es-ES"/>
              </w:rPr>
              <w:t>Nota</w:t>
            </w:r>
          </w:p>
        </w:tc>
        <w:tc>
          <w:tcPr>
            <w:tcW w:w="1034" w:type="pct"/>
            <w:tcBorders>
              <w:top w:val="single" w:sz="8" w:space="0" w:color="auto"/>
              <w:left w:val="nil"/>
              <w:bottom w:val="single" w:sz="8" w:space="0" w:color="auto"/>
              <w:right w:val="nil"/>
            </w:tcBorders>
            <w:shd w:val="clear" w:color="auto" w:fill="F2F2F2"/>
            <w:vAlign w:val="bottom"/>
            <w:hideMark/>
          </w:tcPr>
          <w:p w14:paraId="756FB8C8" w14:textId="77777777" w:rsidR="00C16766" w:rsidRPr="00C16766" w:rsidRDefault="00C16766" w:rsidP="00A47E7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C16766">
              <w:rPr>
                <w:rFonts w:eastAsia="Times New Roman"/>
                <w:b/>
                <w:bCs/>
                <w:sz w:val="18"/>
                <w:szCs w:val="18"/>
                <w:bdr w:val="none" w:sz="0" w:space="0" w:color="auto"/>
                <w:lang w:eastAsia="es-ES"/>
              </w:rPr>
              <w:t>2018</w:t>
            </w:r>
          </w:p>
        </w:tc>
        <w:tc>
          <w:tcPr>
            <w:tcW w:w="1034" w:type="pct"/>
            <w:tcBorders>
              <w:top w:val="single" w:sz="8" w:space="0" w:color="auto"/>
              <w:left w:val="nil"/>
              <w:bottom w:val="single" w:sz="8" w:space="0" w:color="auto"/>
              <w:right w:val="nil"/>
            </w:tcBorders>
            <w:shd w:val="clear" w:color="auto" w:fill="F2F2F2"/>
            <w:vAlign w:val="bottom"/>
            <w:hideMark/>
          </w:tcPr>
          <w:p w14:paraId="5A10C219" w14:textId="77777777" w:rsidR="00C16766" w:rsidRPr="00C16766" w:rsidRDefault="00C16766" w:rsidP="00A47E7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C16766">
              <w:rPr>
                <w:rFonts w:eastAsia="Times New Roman"/>
                <w:b/>
                <w:bCs/>
                <w:sz w:val="18"/>
                <w:szCs w:val="18"/>
                <w:bdr w:val="none" w:sz="0" w:space="0" w:color="auto"/>
                <w:lang w:eastAsia="es-ES"/>
              </w:rPr>
              <w:t>2017</w:t>
            </w:r>
          </w:p>
        </w:tc>
      </w:tr>
      <w:tr w:rsidR="00C16766" w:rsidRPr="00C16766" w14:paraId="4D4AD51E" w14:textId="77777777" w:rsidTr="001A7C10">
        <w:trPr>
          <w:trHeight w:val="340"/>
        </w:trPr>
        <w:tc>
          <w:tcPr>
            <w:tcW w:w="2446" w:type="pct"/>
            <w:tcBorders>
              <w:top w:val="single" w:sz="8" w:space="0" w:color="auto"/>
              <w:left w:val="nil"/>
              <w:bottom w:val="nil"/>
              <w:right w:val="nil"/>
            </w:tcBorders>
            <w:shd w:val="clear" w:color="auto" w:fill="F2F2F2"/>
            <w:noWrap/>
            <w:vAlign w:val="center"/>
            <w:hideMark/>
          </w:tcPr>
          <w:p w14:paraId="3B3538E4"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C16766">
              <w:rPr>
                <w:rFonts w:eastAsia="Times New Roman"/>
                <w:b/>
                <w:bCs/>
                <w:sz w:val="18"/>
                <w:szCs w:val="18"/>
                <w:bdr w:val="none" w:sz="0" w:space="0" w:color="auto"/>
                <w:lang w:eastAsia="es-ES"/>
              </w:rPr>
              <w:t>ACTIVO NO CORRIENTE</w:t>
            </w:r>
          </w:p>
        </w:tc>
        <w:tc>
          <w:tcPr>
            <w:tcW w:w="486" w:type="pct"/>
            <w:tcBorders>
              <w:top w:val="single" w:sz="8" w:space="0" w:color="auto"/>
              <w:left w:val="nil"/>
              <w:bottom w:val="nil"/>
              <w:right w:val="nil"/>
            </w:tcBorders>
            <w:shd w:val="clear" w:color="auto" w:fill="F2F2F2"/>
            <w:noWrap/>
            <w:vAlign w:val="center"/>
            <w:hideMark/>
          </w:tcPr>
          <w:p w14:paraId="03D44BBD"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C16766">
              <w:rPr>
                <w:rFonts w:eastAsia="Times New Roman"/>
                <w:sz w:val="18"/>
                <w:szCs w:val="18"/>
                <w:bdr w:val="none" w:sz="0" w:space="0" w:color="auto"/>
                <w:lang w:eastAsia="es-ES"/>
              </w:rPr>
              <w:t> </w:t>
            </w:r>
          </w:p>
        </w:tc>
        <w:tc>
          <w:tcPr>
            <w:tcW w:w="1034" w:type="pct"/>
            <w:tcBorders>
              <w:top w:val="nil"/>
              <w:left w:val="nil"/>
              <w:bottom w:val="nil"/>
              <w:right w:val="nil"/>
            </w:tcBorders>
            <w:shd w:val="clear" w:color="auto" w:fill="F2F2F2"/>
            <w:noWrap/>
            <w:vAlign w:val="center"/>
            <w:hideMark/>
          </w:tcPr>
          <w:p w14:paraId="026A3B06"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C16766">
              <w:rPr>
                <w:rFonts w:eastAsia="Times New Roman"/>
                <w:b/>
                <w:bCs/>
                <w:sz w:val="18"/>
                <w:szCs w:val="18"/>
                <w:bdr w:val="none" w:sz="0" w:space="0" w:color="auto"/>
                <w:lang w:eastAsia="es-ES"/>
              </w:rPr>
              <w:t>404.803,83</w:t>
            </w:r>
          </w:p>
        </w:tc>
        <w:tc>
          <w:tcPr>
            <w:tcW w:w="1034" w:type="pct"/>
            <w:tcBorders>
              <w:top w:val="nil"/>
              <w:left w:val="nil"/>
              <w:bottom w:val="nil"/>
              <w:right w:val="nil"/>
            </w:tcBorders>
            <w:shd w:val="clear" w:color="auto" w:fill="F2F2F2"/>
            <w:noWrap/>
            <w:vAlign w:val="center"/>
            <w:hideMark/>
          </w:tcPr>
          <w:p w14:paraId="406712D9"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C16766">
              <w:rPr>
                <w:rFonts w:eastAsia="Times New Roman"/>
                <w:b/>
                <w:bCs/>
                <w:sz w:val="18"/>
                <w:szCs w:val="18"/>
                <w:bdr w:val="none" w:sz="0" w:space="0" w:color="auto"/>
                <w:lang w:eastAsia="es-ES"/>
              </w:rPr>
              <w:t>445.544,38</w:t>
            </w:r>
          </w:p>
        </w:tc>
      </w:tr>
      <w:tr w:rsidR="00C16766" w:rsidRPr="00C16766" w14:paraId="621BBBF0" w14:textId="77777777" w:rsidTr="003A4111">
        <w:trPr>
          <w:trHeight w:val="283"/>
        </w:trPr>
        <w:tc>
          <w:tcPr>
            <w:tcW w:w="2446" w:type="pct"/>
            <w:tcBorders>
              <w:top w:val="single" w:sz="8" w:space="0" w:color="auto"/>
              <w:left w:val="nil"/>
              <w:bottom w:val="nil"/>
              <w:right w:val="nil"/>
            </w:tcBorders>
            <w:shd w:val="clear" w:color="auto" w:fill="auto"/>
            <w:noWrap/>
            <w:vAlign w:val="center"/>
            <w:hideMark/>
          </w:tcPr>
          <w:p w14:paraId="4ADEB8EA"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C16766">
              <w:rPr>
                <w:rFonts w:eastAsia="Times New Roman"/>
                <w:b/>
                <w:bCs/>
                <w:sz w:val="18"/>
                <w:szCs w:val="18"/>
                <w:bdr w:val="none" w:sz="0" w:space="0" w:color="auto"/>
                <w:lang w:eastAsia="es-ES"/>
              </w:rPr>
              <w:t>Inmovilizado intangible</w:t>
            </w:r>
          </w:p>
        </w:tc>
        <w:tc>
          <w:tcPr>
            <w:tcW w:w="486" w:type="pct"/>
            <w:tcBorders>
              <w:top w:val="single" w:sz="8" w:space="0" w:color="auto"/>
              <w:left w:val="nil"/>
              <w:bottom w:val="nil"/>
              <w:right w:val="nil"/>
            </w:tcBorders>
            <w:shd w:val="clear" w:color="auto" w:fill="auto"/>
            <w:noWrap/>
            <w:vAlign w:val="center"/>
            <w:hideMark/>
          </w:tcPr>
          <w:p w14:paraId="5D68BAC1"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C16766">
              <w:rPr>
                <w:rFonts w:eastAsia="Times New Roman"/>
                <w:b/>
                <w:bCs/>
                <w:sz w:val="18"/>
                <w:szCs w:val="18"/>
                <w:bdr w:val="none" w:sz="0" w:space="0" w:color="auto"/>
                <w:lang w:eastAsia="es-ES"/>
              </w:rPr>
              <w:t>5</w:t>
            </w:r>
          </w:p>
        </w:tc>
        <w:tc>
          <w:tcPr>
            <w:tcW w:w="1034" w:type="pct"/>
            <w:tcBorders>
              <w:top w:val="single" w:sz="8" w:space="0" w:color="auto"/>
              <w:left w:val="nil"/>
              <w:bottom w:val="nil"/>
              <w:right w:val="nil"/>
            </w:tcBorders>
            <w:shd w:val="clear" w:color="auto" w:fill="auto"/>
            <w:noWrap/>
            <w:vAlign w:val="center"/>
            <w:hideMark/>
          </w:tcPr>
          <w:p w14:paraId="15D15E79"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C16766">
              <w:rPr>
                <w:rFonts w:eastAsia="Times New Roman"/>
                <w:b/>
                <w:bCs/>
                <w:sz w:val="18"/>
                <w:szCs w:val="18"/>
                <w:bdr w:val="none" w:sz="0" w:space="0" w:color="auto"/>
                <w:lang w:eastAsia="es-ES"/>
              </w:rPr>
              <w:t>28.986,96</w:t>
            </w:r>
          </w:p>
        </w:tc>
        <w:tc>
          <w:tcPr>
            <w:tcW w:w="1034" w:type="pct"/>
            <w:tcBorders>
              <w:top w:val="single" w:sz="8" w:space="0" w:color="auto"/>
              <w:left w:val="nil"/>
              <w:bottom w:val="nil"/>
              <w:right w:val="nil"/>
            </w:tcBorders>
            <w:shd w:val="clear" w:color="auto" w:fill="auto"/>
            <w:noWrap/>
            <w:vAlign w:val="center"/>
            <w:hideMark/>
          </w:tcPr>
          <w:p w14:paraId="1C221210"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C16766">
              <w:rPr>
                <w:rFonts w:eastAsia="Times New Roman"/>
                <w:b/>
                <w:bCs/>
                <w:sz w:val="18"/>
                <w:szCs w:val="18"/>
                <w:bdr w:val="none" w:sz="0" w:space="0" w:color="auto"/>
                <w:lang w:eastAsia="es-ES"/>
              </w:rPr>
              <w:t>22.004,98</w:t>
            </w:r>
          </w:p>
        </w:tc>
      </w:tr>
      <w:tr w:rsidR="00C16766" w:rsidRPr="00C16766" w14:paraId="4E9474BB" w14:textId="77777777" w:rsidTr="003A4111">
        <w:trPr>
          <w:trHeight w:val="283"/>
        </w:trPr>
        <w:tc>
          <w:tcPr>
            <w:tcW w:w="2446" w:type="pct"/>
            <w:tcBorders>
              <w:top w:val="nil"/>
              <w:left w:val="nil"/>
              <w:bottom w:val="nil"/>
              <w:right w:val="nil"/>
            </w:tcBorders>
            <w:shd w:val="clear" w:color="auto" w:fill="auto"/>
            <w:noWrap/>
            <w:vAlign w:val="center"/>
            <w:hideMark/>
          </w:tcPr>
          <w:p w14:paraId="5D05D501"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C16766">
              <w:rPr>
                <w:rFonts w:eastAsia="Times New Roman"/>
                <w:b/>
                <w:bCs/>
                <w:sz w:val="18"/>
                <w:szCs w:val="18"/>
                <w:bdr w:val="none" w:sz="0" w:space="0" w:color="auto"/>
                <w:lang w:eastAsia="es-ES"/>
              </w:rPr>
              <w:t>Inmovilizado material</w:t>
            </w:r>
          </w:p>
        </w:tc>
        <w:tc>
          <w:tcPr>
            <w:tcW w:w="486" w:type="pct"/>
            <w:tcBorders>
              <w:top w:val="nil"/>
              <w:left w:val="nil"/>
              <w:bottom w:val="nil"/>
              <w:right w:val="nil"/>
            </w:tcBorders>
            <w:shd w:val="clear" w:color="auto" w:fill="auto"/>
            <w:noWrap/>
            <w:vAlign w:val="center"/>
            <w:hideMark/>
          </w:tcPr>
          <w:p w14:paraId="43C97A01"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C16766">
              <w:rPr>
                <w:rFonts w:eastAsia="Times New Roman"/>
                <w:b/>
                <w:bCs/>
                <w:sz w:val="18"/>
                <w:szCs w:val="18"/>
                <w:bdr w:val="none" w:sz="0" w:space="0" w:color="auto"/>
                <w:lang w:eastAsia="es-ES"/>
              </w:rPr>
              <w:t>6</w:t>
            </w:r>
          </w:p>
        </w:tc>
        <w:tc>
          <w:tcPr>
            <w:tcW w:w="1034" w:type="pct"/>
            <w:tcBorders>
              <w:top w:val="nil"/>
              <w:left w:val="nil"/>
              <w:bottom w:val="nil"/>
              <w:right w:val="nil"/>
            </w:tcBorders>
            <w:shd w:val="clear" w:color="auto" w:fill="auto"/>
            <w:noWrap/>
            <w:vAlign w:val="center"/>
            <w:hideMark/>
          </w:tcPr>
          <w:p w14:paraId="235A4EC2"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C16766">
              <w:rPr>
                <w:rFonts w:eastAsia="Times New Roman"/>
                <w:b/>
                <w:bCs/>
                <w:sz w:val="18"/>
                <w:szCs w:val="18"/>
                <w:bdr w:val="none" w:sz="0" w:space="0" w:color="auto"/>
                <w:lang w:eastAsia="es-ES"/>
              </w:rPr>
              <w:t>369.816,87</w:t>
            </w:r>
          </w:p>
        </w:tc>
        <w:tc>
          <w:tcPr>
            <w:tcW w:w="1034" w:type="pct"/>
            <w:tcBorders>
              <w:top w:val="nil"/>
              <w:left w:val="nil"/>
              <w:bottom w:val="nil"/>
              <w:right w:val="nil"/>
            </w:tcBorders>
            <w:shd w:val="clear" w:color="auto" w:fill="auto"/>
            <w:noWrap/>
            <w:vAlign w:val="center"/>
            <w:hideMark/>
          </w:tcPr>
          <w:p w14:paraId="5A8C2C83"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C16766">
              <w:rPr>
                <w:rFonts w:eastAsia="Times New Roman"/>
                <w:b/>
                <w:bCs/>
                <w:sz w:val="18"/>
                <w:szCs w:val="18"/>
                <w:bdr w:val="none" w:sz="0" w:space="0" w:color="auto"/>
                <w:lang w:eastAsia="es-ES"/>
              </w:rPr>
              <w:t>417.539,40</w:t>
            </w:r>
          </w:p>
        </w:tc>
      </w:tr>
      <w:tr w:rsidR="00C16766" w:rsidRPr="00C16766" w14:paraId="10E5E549" w14:textId="77777777" w:rsidTr="003A4111">
        <w:trPr>
          <w:trHeight w:val="283"/>
        </w:trPr>
        <w:tc>
          <w:tcPr>
            <w:tcW w:w="2446" w:type="pct"/>
            <w:tcBorders>
              <w:top w:val="nil"/>
              <w:left w:val="nil"/>
              <w:bottom w:val="nil"/>
              <w:right w:val="nil"/>
            </w:tcBorders>
            <w:shd w:val="clear" w:color="auto" w:fill="auto"/>
            <w:noWrap/>
            <w:vAlign w:val="center"/>
            <w:hideMark/>
          </w:tcPr>
          <w:p w14:paraId="304F0D4A"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C16766">
              <w:rPr>
                <w:rFonts w:eastAsia="Times New Roman"/>
                <w:b/>
                <w:bCs/>
                <w:sz w:val="18"/>
                <w:szCs w:val="18"/>
                <w:bdr w:val="none" w:sz="0" w:space="0" w:color="auto"/>
                <w:lang w:eastAsia="es-ES"/>
              </w:rPr>
              <w:t>Inversiones financieras a largo plazo</w:t>
            </w:r>
          </w:p>
        </w:tc>
        <w:tc>
          <w:tcPr>
            <w:tcW w:w="486" w:type="pct"/>
            <w:tcBorders>
              <w:top w:val="nil"/>
              <w:left w:val="nil"/>
              <w:bottom w:val="nil"/>
              <w:right w:val="nil"/>
            </w:tcBorders>
            <w:shd w:val="clear" w:color="auto" w:fill="auto"/>
            <w:noWrap/>
            <w:vAlign w:val="center"/>
            <w:hideMark/>
          </w:tcPr>
          <w:p w14:paraId="63BDA42D"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C16766">
              <w:rPr>
                <w:rFonts w:eastAsia="Times New Roman"/>
                <w:b/>
                <w:bCs/>
                <w:sz w:val="18"/>
                <w:szCs w:val="18"/>
                <w:bdr w:val="none" w:sz="0" w:space="0" w:color="auto"/>
                <w:lang w:eastAsia="es-ES"/>
              </w:rPr>
              <w:t>8</w:t>
            </w:r>
          </w:p>
        </w:tc>
        <w:tc>
          <w:tcPr>
            <w:tcW w:w="1034" w:type="pct"/>
            <w:tcBorders>
              <w:top w:val="nil"/>
              <w:left w:val="nil"/>
              <w:bottom w:val="nil"/>
              <w:right w:val="nil"/>
            </w:tcBorders>
            <w:shd w:val="clear" w:color="auto" w:fill="auto"/>
            <w:noWrap/>
            <w:vAlign w:val="center"/>
            <w:hideMark/>
          </w:tcPr>
          <w:p w14:paraId="7D503972"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C16766">
              <w:rPr>
                <w:rFonts w:eastAsia="Times New Roman"/>
                <w:b/>
                <w:bCs/>
                <w:sz w:val="18"/>
                <w:szCs w:val="18"/>
                <w:bdr w:val="none" w:sz="0" w:space="0" w:color="auto"/>
                <w:lang w:eastAsia="es-ES"/>
              </w:rPr>
              <w:t>6.000,00</w:t>
            </w:r>
          </w:p>
        </w:tc>
        <w:tc>
          <w:tcPr>
            <w:tcW w:w="1034" w:type="pct"/>
            <w:tcBorders>
              <w:top w:val="nil"/>
              <w:left w:val="nil"/>
              <w:bottom w:val="nil"/>
              <w:right w:val="nil"/>
            </w:tcBorders>
            <w:shd w:val="clear" w:color="auto" w:fill="auto"/>
            <w:noWrap/>
            <w:vAlign w:val="center"/>
            <w:hideMark/>
          </w:tcPr>
          <w:p w14:paraId="09B8C839"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C16766">
              <w:rPr>
                <w:rFonts w:eastAsia="Times New Roman"/>
                <w:b/>
                <w:bCs/>
                <w:sz w:val="18"/>
                <w:szCs w:val="18"/>
                <w:bdr w:val="none" w:sz="0" w:space="0" w:color="auto"/>
                <w:lang w:eastAsia="es-ES"/>
              </w:rPr>
              <w:t>6.000,00</w:t>
            </w:r>
          </w:p>
        </w:tc>
      </w:tr>
      <w:tr w:rsidR="00C16766" w:rsidRPr="00C16766" w14:paraId="55636FA3" w14:textId="77777777" w:rsidTr="003A4111">
        <w:trPr>
          <w:trHeight w:val="283"/>
        </w:trPr>
        <w:tc>
          <w:tcPr>
            <w:tcW w:w="2446" w:type="pct"/>
            <w:tcBorders>
              <w:top w:val="nil"/>
              <w:left w:val="nil"/>
              <w:bottom w:val="nil"/>
              <w:right w:val="nil"/>
            </w:tcBorders>
            <w:shd w:val="clear" w:color="auto" w:fill="auto"/>
            <w:noWrap/>
            <w:vAlign w:val="center"/>
            <w:hideMark/>
          </w:tcPr>
          <w:p w14:paraId="5E99EC4C"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C16766">
              <w:rPr>
                <w:rFonts w:eastAsia="Times New Roman"/>
                <w:sz w:val="18"/>
                <w:szCs w:val="18"/>
                <w:bdr w:val="none" w:sz="0" w:space="0" w:color="auto"/>
                <w:lang w:eastAsia="es-ES"/>
              </w:rPr>
              <w:t>Otros activos financieros</w:t>
            </w:r>
          </w:p>
        </w:tc>
        <w:tc>
          <w:tcPr>
            <w:tcW w:w="486" w:type="pct"/>
            <w:tcBorders>
              <w:top w:val="nil"/>
              <w:left w:val="nil"/>
              <w:bottom w:val="nil"/>
              <w:right w:val="nil"/>
            </w:tcBorders>
            <w:shd w:val="clear" w:color="auto" w:fill="auto"/>
            <w:noWrap/>
            <w:vAlign w:val="center"/>
            <w:hideMark/>
          </w:tcPr>
          <w:p w14:paraId="520B0416"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1034" w:type="pct"/>
            <w:tcBorders>
              <w:top w:val="nil"/>
              <w:left w:val="nil"/>
              <w:bottom w:val="nil"/>
              <w:right w:val="nil"/>
            </w:tcBorders>
            <w:shd w:val="clear" w:color="auto" w:fill="auto"/>
            <w:noWrap/>
            <w:vAlign w:val="center"/>
            <w:hideMark/>
          </w:tcPr>
          <w:p w14:paraId="0BA8B017"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C16766">
              <w:rPr>
                <w:rFonts w:eastAsia="Times New Roman"/>
                <w:sz w:val="18"/>
                <w:szCs w:val="18"/>
                <w:bdr w:val="none" w:sz="0" w:space="0" w:color="auto"/>
                <w:lang w:eastAsia="es-ES"/>
              </w:rPr>
              <w:t>6.000,00</w:t>
            </w:r>
          </w:p>
        </w:tc>
        <w:tc>
          <w:tcPr>
            <w:tcW w:w="1034" w:type="pct"/>
            <w:tcBorders>
              <w:top w:val="nil"/>
              <w:left w:val="nil"/>
              <w:bottom w:val="nil"/>
              <w:right w:val="nil"/>
            </w:tcBorders>
            <w:shd w:val="clear" w:color="auto" w:fill="auto"/>
            <w:noWrap/>
            <w:vAlign w:val="center"/>
            <w:hideMark/>
          </w:tcPr>
          <w:p w14:paraId="61780BA4"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C16766">
              <w:rPr>
                <w:rFonts w:eastAsia="Times New Roman"/>
                <w:sz w:val="18"/>
                <w:szCs w:val="18"/>
                <w:bdr w:val="none" w:sz="0" w:space="0" w:color="auto"/>
                <w:lang w:eastAsia="es-ES"/>
              </w:rPr>
              <w:t>6.000,00</w:t>
            </w:r>
          </w:p>
        </w:tc>
      </w:tr>
      <w:tr w:rsidR="00C16766" w:rsidRPr="00C16766" w14:paraId="72ED250A" w14:textId="77777777" w:rsidTr="003A4111">
        <w:trPr>
          <w:trHeight w:val="255"/>
        </w:trPr>
        <w:tc>
          <w:tcPr>
            <w:tcW w:w="2446" w:type="pct"/>
            <w:tcBorders>
              <w:top w:val="nil"/>
              <w:left w:val="nil"/>
              <w:bottom w:val="nil"/>
              <w:right w:val="nil"/>
            </w:tcBorders>
            <w:shd w:val="clear" w:color="auto" w:fill="auto"/>
            <w:noWrap/>
            <w:vAlign w:val="center"/>
            <w:hideMark/>
          </w:tcPr>
          <w:p w14:paraId="62BEB0FB"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p>
        </w:tc>
        <w:tc>
          <w:tcPr>
            <w:tcW w:w="486" w:type="pct"/>
            <w:tcBorders>
              <w:top w:val="nil"/>
              <w:left w:val="nil"/>
              <w:bottom w:val="nil"/>
              <w:right w:val="nil"/>
            </w:tcBorders>
            <w:shd w:val="clear" w:color="auto" w:fill="auto"/>
            <w:noWrap/>
            <w:vAlign w:val="center"/>
            <w:hideMark/>
          </w:tcPr>
          <w:p w14:paraId="4898752F"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20"/>
                <w:szCs w:val="20"/>
                <w:bdr w:val="none" w:sz="0" w:space="0" w:color="auto"/>
                <w:lang w:eastAsia="es-ES"/>
              </w:rPr>
            </w:pPr>
          </w:p>
        </w:tc>
        <w:tc>
          <w:tcPr>
            <w:tcW w:w="1034" w:type="pct"/>
            <w:tcBorders>
              <w:top w:val="nil"/>
              <w:left w:val="nil"/>
              <w:bottom w:val="nil"/>
              <w:right w:val="nil"/>
            </w:tcBorders>
            <w:shd w:val="clear" w:color="auto" w:fill="auto"/>
            <w:noWrap/>
            <w:vAlign w:val="center"/>
            <w:hideMark/>
          </w:tcPr>
          <w:p w14:paraId="1BD46A69"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20"/>
                <w:szCs w:val="20"/>
                <w:bdr w:val="none" w:sz="0" w:space="0" w:color="auto"/>
                <w:lang w:eastAsia="es-ES"/>
              </w:rPr>
            </w:pPr>
          </w:p>
        </w:tc>
        <w:tc>
          <w:tcPr>
            <w:tcW w:w="1034" w:type="pct"/>
            <w:tcBorders>
              <w:top w:val="nil"/>
              <w:left w:val="nil"/>
              <w:bottom w:val="nil"/>
              <w:right w:val="nil"/>
            </w:tcBorders>
            <w:shd w:val="clear" w:color="auto" w:fill="auto"/>
            <w:noWrap/>
            <w:vAlign w:val="center"/>
            <w:hideMark/>
          </w:tcPr>
          <w:p w14:paraId="3F030BEC"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r>
      <w:tr w:rsidR="00C16766" w:rsidRPr="00C16766" w14:paraId="348206BB" w14:textId="77777777" w:rsidTr="001A7C10">
        <w:trPr>
          <w:trHeight w:val="340"/>
        </w:trPr>
        <w:tc>
          <w:tcPr>
            <w:tcW w:w="2446" w:type="pct"/>
            <w:tcBorders>
              <w:top w:val="single" w:sz="8" w:space="0" w:color="auto"/>
              <w:left w:val="nil"/>
              <w:bottom w:val="single" w:sz="8" w:space="0" w:color="auto"/>
              <w:right w:val="nil"/>
            </w:tcBorders>
            <w:shd w:val="clear" w:color="auto" w:fill="F2F2F2"/>
            <w:noWrap/>
            <w:vAlign w:val="center"/>
            <w:hideMark/>
          </w:tcPr>
          <w:p w14:paraId="0EB2D557"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C16766">
              <w:rPr>
                <w:rFonts w:eastAsia="Times New Roman"/>
                <w:b/>
                <w:bCs/>
                <w:sz w:val="18"/>
                <w:szCs w:val="18"/>
                <w:bdr w:val="none" w:sz="0" w:space="0" w:color="auto"/>
                <w:lang w:eastAsia="es-ES"/>
              </w:rPr>
              <w:t>ACTIVO CORRIENTE</w:t>
            </w:r>
          </w:p>
        </w:tc>
        <w:tc>
          <w:tcPr>
            <w:tcW w:w="486" w:type="pct"/>
            <w:tcBorders>
              <w:top w:val="single" w:sz="8" w:space="0" w:color="auto"/>
              <w:left w:val="nil"/>
              <w:bottom w:val="single" w:sz="8" w:space="0" w:color="auto"/>
              <w:right w:val="nil"/>
            </w:tcBorders>
            <w:shd w:val="clear" w:color="auto" w:fill="F2F2F2"/>
            <w:noWrap/>
            <w:vAlign w:val="center"/>
            <w:hideMark/>
          </w:tcPr>
          <w:p w14:paraId="7DAF22E0"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C16766">
              <w:rPr>
                <w:rFonts w:eastAsia="Times New Roman"/>
                <w:sz w:val="18"/>
                <w:szCs w:val="18"/>
                <w:bdr w:val="none" w:sz="0" w:space="0" w:color="auto"/>
                <w:lang w:eastAsia="es-ES"/>
              </w:rPr>
              <w:t> </w:t>
            </w:r>
          </w:p>
        </w:tc>
        <w:tc>
          <w:tcPr>
            <w:tcW w:w="1034" w:type="pct"/>
            <w:tcBorders>
              <w:top w:val="single" w:sz="8" w:space="0" w:color="auto"/>
              <w:left w:val="nil"/>
              <w:bottom w:val="single" w:sz="8" w:space="0" w:color="auto"/>
              <w:right w:val="nil"/>
            </w:tcBorders>
            <w:shd w:val="clear" w:color="auto" w:fill="F2F2F2"/>
            <w:noWrap/>
            <w:vAlign w:val="center"/>
            <w:hideMark/>
          </w:tcPr>
          <w:p w14:paraId="42D9D506"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C16766">
              <w:rPr>
                <w:rFonts w:eastAsia="Times New Roman"/>
                <w:b/>
                <w:bCs/>
                <w:sz w:val="18"/>
                <w:szCs w:val="18"/>
                <w:bdr w:val="none" w:sz="0" w:space="0" w:color="auto"/>
                <w:lang w:eastAsia="es-ES"/>
              </w:rPr>
              <w:t>7.507.734,25</w:t>
            </w:r>
          </w:p>
        </w:tc>
        <w:tc>
          <w:tcPr>
            <w:tcW w:w="1034" w:type="pct"/>
            <w:tcBorders>
              <w:top w:val="single" w:sz="8" w:space="0" w:color="auto"/>
              <w:left w:val="nil"/>
              <w:bottom w:val="single" w:sz="8" w:space="0" w:color="auto"/>
              <w:right w:val="nil"/>
            </w:tcBorders>
            <w:shd w:val="clear" w:color="auto" w:fill="F2F2F2"/>
            <w:noWrap/>
            <w:vAlign w:val="center"/>
            <w:hideMark/>
          </w:tcPr>
          <w:p w14:paraId="39CE2584"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C16766">
              <w:rPr>
                <w:rFonts w:eastAsia="Times New Roman"/>
                <w:b/>
                <w:bCs/>
                <w:sz w:val="18"/>
                <w:szCs w:val="18"/>
                <w:bdr w:val="none" w:sz="0" w:space="0" w:color="auto"/>
                <w:lang w:eastAsia="es-ES"/>
              </w:rPr>
              <w:t>8.489.660,84</w:t>
            </w:r>
          </w:p>
        </w:tc>
      </w:tr>
      <w:tr w:rsidR="00C16766" w:rsidRPr="00C16766" w14:paraId="483E5B00" w14:textId="77777777" w:rsidTr="003A4111">
        <w:trPr>
          <w:trHeight w:val="283"/>
        </w:trPr>
        <w:tc>
          <w:tcPr>
            <w:tcW w:w="2446" w:type="pct"/>
            <w:tcBorders>
              <w:top w:val="nil"/>
              <w:left w:val="nil"/>
              <w:bottom w:val="nil"/>
              <w:right w:val="nil"/>
            </w:tcBorders>
            <w:shd w:val="clear" w:color="auto" w:fill="auto"/>
            <w:noWrap/>
            <w:vAlign w:val="center"/>
            <w:hideMark/>
          </w:tcPr>
          <w:p w14:paraId="7B48FC3C"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C16766">
              <w:rPr>
                <w:rFonts w:eastAsia="Times New Roman"/>
                <w:b/>
                <w:bCs/>
                <w:sz w:val="18"/>
                <w:szCs w:val="18"/>
                <w:bdr w:val="none" w:sz="0" w:space="0" w:color="auto"/>
                <w:lang w:eastAsia="es-ES"/>
              </w:rPr>
              <w:t>Deudores comerciales y otras cuentas a cobrar</w:t>
            </w:r>
          </w:p>
        </w:tc>
        <w:tc>
          <w:tcPr>
            <w:tcW w:w="486" w:type="pct"/>
            <w:tcBorders>
              <w:top w:val="nil"/>
              <w:left w:val="nil"/>
              <w:bottom w:val="nil"/>
              <w:right w:val="nil"/>
            </w:tcBorders>
            <w:shd w:val="clear" w:color="auto" w:fill="auto"/>
            <w:noWrap/>
            <w:vAlign w:val="center"/>
            <w:hideMark/>
          </w:tcPr>
          <w:p w14:paraId="3A0194DD"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1034" w:type="pct"/>
            <w:tcBorders>
              <w:top w:val="nil"/>
              <w:left w:val="nil"/>
              <w:bottom w:val="nil"/>
              <w:right w:val="nil"/>
            </w:tcBorders>
            <w:shd w:val="clear" w:color="auto" w:fill="auto"/>
            <w:noWrap/>
            <w:vAlign w:val="center"/>
            <w:hideMark/>
          </w:tcPr>
          <w:p w14:paraId="69B8C0EB"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C16766">
              <w:rPr>
                <w:rFonts w:eastAsia="Times New Roman"/>
                <w:b/>
                <w:bCs/>
                <w:sz w:val="18"/>
                <w:szCs w:val="18"/>
                <w:bdr w:val="none" w:sz="0" w:space="0" w:color="auto"/>
                <w:lang w:eastAsia="es-ES"/>
              </w:rPr>
              <w:t>5.375.926,46</w:t>
            </w:r>
          </w:p>
        </w:tc>
        <w:tc>
          <w:tcPr>
            <w:tcW w:w="1034" w:type="pct"/>
            <w:tcBorders>
              <w:top w:val="nil"/>
              <w:left w:val="nil"/>
              <w:bottom w:val="nil"/>
              <w:right w:val="nil"/>
            </w:tcBorders>
            <w:shd w:val="clear" w:color="auto" w:fill="auto"/>
            <w:noWrap/>
            <w:vAlign w:val="center"/>
            <w:hideMark/>
          </w:tcPr>
          <w:p w14:paraId="6FCDE104"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C16766">
              <w:rPr>
                <w:rFonts w:eastAsia="Times New Roman"/>
                <w:b/>
                <w:bCs/>
                <w:sz w:val="18"/>
                <w:szCs w:val="18"/>
                <w:bdr w:val="none" w:sz="0" w:space="0" w:color="auto"/>
                <w:lang w:eastAsia="es-ES"/>
              </w:rPr>
              <w:t>6.138.758,32</w:t>
            </w:r>
          </w:p>
        </w:tc>
      </w:tr>
      <w:tr w:rsidR="00C16766" w:rsidRPr="00C16766" w14:paraId="02B19C45" w14:textId="77777777" w:rsidTr="003A4111">
        <w:trPr>
          <w:trHeight w:val="283"/>
        </w:trPr>
        <w:tc>
          <w:tcPr>
            <w:tcW w:w="2446" w:type="pct"/>
            <w:tcBorders>
              <w:top w:val="nil"/>
              <w:left w:val="nil"/>
              <w:bottom w:val="nil"/>
              <w:right w:val="nil"/>
            </w:tcBorders>
            <w:shd w:val="clear" w:color="auto" w:fill="auto"/>
            <w:noWrap/>
            <w:vAlign w:val="center"/>
            <w:hideMark/>
          </w:tcPr>
          <w:p w14:paraId="1B35F548"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C16766">
              <w:rPr>
                <w:rFonts w:eastAsia="Times New Roman"/>
                <w:sz w:val="18"/>
                <w:szCs w:val="18"/>
                <w:bdr w:val="none" w:sz="0" w:space="0" w:color="auto"/>
                <w:lang w:eastAsia="es-ES"/>
              </w:rPr>
              <w:t>Clientes, empresas del grupo</w:t>
            </w:r>
          </w:p>
        </w:tc>
        <w:tc>
          <w:tcPr>
            <w:tcW w:w="486" w:type="pct"/>
            <w:tcBorders>
              <w:top w:val="nil"/>
              <w:left w:val="nil"/>
              <w:bottom w:val="nil"/>
              <w:right w:val="nil"/>
            </w:tcBorders>
            <w:shd w:val="clear" w:color="auto" w:fill="auto"/>
            <w:noWrap/>
            <w:vAlign w:val="center"/>
            <w:hideMark/>
          </w:tcPr>
          <w:p w14:paraId="000F7C50"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C16766">
              <w:rPr>
                <w:rFonts w:eastAsia="Times New Roman"/>
                <w:sz w:val="18"/>
                <w:szCs w:val="18"/>
                <w:bdr w:val="none" w:sz="0" w:space="0" w:color="auto"/>
                <w:lang w:eastAsia="es-ES"/>
              </w:rPr>
              <w:t>8</w:t>
            </w:r>
          </w:p>
        </w:tc>
        <w:tc>
          <w:tcPr>
            <w:tcW w:w="1034" w:type="pct"/>
            <w:tcBorders>
              <w:top w:val="nil"/>
              <w:left w:val="nil"/>
              <w:bottom w:val="nil"/>
              <w:right w:val="nil"/>
            </w:tcBorders>
            <w:shd w:val="clear" w:color="auto" w:fill="auto"/>
            <w:noWrap/>
            <w:vAlign w:val="center"/>
            <w:hideMark/>
          </w:tcPr>
          <w:p w14:paraId="6D20C288"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C16766">
              <w:rPr>
                <w:rFonts w:eastAsia="Times New Roman"/>
                <w:sz w:val="18"/>
                <w:szCs w:val="18"/>
                <w:bdr w:val="none" w:sz="0" w:space="0" w:color="auto"/>
                <w:lang w:eastAsia="es-ES"/>
              </w:rPr>
              <w:t>90.434,00</w:t>
            </w:r>
          </w:p>
        </w:tc>
        <w:tc>
          <w:tcPr>
            <w:tcW w:w="1034" w:type="pct"/>
            <w:tcBorders>
              <w:top w:val="nil"/>
              <w:left w:val="nil"/>
              <w:bottom w:val="nil"/>
              <w:right w:val="nil"/>
            </w:tcBorders>
            <w:shd w:val="clear" w:color="auto" w:fill="auto"/>
            <w:noWrap/>
            <w:vAlign w:val="center"/>
            <w:hideMark/>
          </w:tcPr>
          <w:p w14:paraId="1CD3C176"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C16766">
              <w:rPr>
                <w:rFonts w:eastAsia="Times New Roman"/>
                <w:sz w:val="18"/>
                <w:szCs w:val="18"/>
                <w:bdr w:val="none" w:sz="0" w:space="0" w:color="auto"/>
                <w:lang w:eastAsia="es-ES"/>
              </w:rPr>
              <w:t>57.567,77</w:t>
            </w:r>
          </w:p>
        </w:tc>
      </w:tr>
      <w:tr w:rsidR="00C16766" w:rsidRPr="00C16766" w14:paraId="03A837AB" w14:textId="77777777" w:rsidTr="003A4111">
        <w:trPr>
          <w:trHeight w:val="283"/>
        </w:trPr>
        <w:tc>
          <w:tcPr>
            <w:tcW w:w="2446" w:type="pct"/>
            <w:tcBorders>
              <w:top w:val="nil"/>
              <w:left w:val="nil"/>
              <w:bottom w:val="nil"/>
              <w:right w:val="nil"/>
            </w:tcBorders>
            <w:shd w:val="clear" w:color="auto" w:fill="auto"/>
            <w:noWrap/>
            <w:vAlign w:val="center"/>
            <w:hideMark/>
          </w:tcPr>
          <w:p w14:paraId="72C4B2B8"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C16766">
              <w:rPr>
                <w:rFonts w:eastAsia="Times New Roman"/>
                <w:sz w:val="18"/>
                <w:szCs w:val="18"/>
                <w:bdr w:val="none" w:sz="0" w:space="0" w:color="auto"/>
                <w:lang w:eastAsia="es-ES"/>
              </w:rPr>
              <w:t>Deudores varios</w:t>
            </w:r>
          </w:p>
        </w:tc>
        <w:tc>
          <w:tcPr>
            <w:tcW w:w="486" w:type="pct"/>
            <w:tcBorders>
              <w:top w:val="nil"/>
              <w:left w:val="nil"/>
              <w:bottom w:val="nil"/>
              <w:right w:val="nil"/>
            </w:tcBorders>
            <w:shd w:val="clear" w:color="auto" w:fill="auto"/>
            <w:noWrap/>
            <w:vAlign w:val="center"/>
            <w:hideMark/>
          </w:tcPr>
          <w:p w14:paraId="7F092AC3"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C16766">
              <w:rPr>
                <w:rFonts w:eastAsia="Times New Roman"/>
                <w:sz w:val="18"/>
                <w:szCs w:val="18"/>
                <w:bdr w:val="none" w:sz="0" w:space="0" w:color="auto"/>
                <w:lang w:eastAsia="es-ES"/>
              </w:rPr>
              <w:t>8</w:t>
            </w:r>
          </w:p>
        </w:tc>
        <w:tc>
          <w:tcPr>
            <w:tcW w:w="1034" w:type="pct"/>
            <w:tcBorders>
              <w:top w:val="nil"/>
              <w:left w:val="nil"/>
              <w:bottom w:val="nil"/>
              <w:right w:val="nil"/>
            </w:tcBorders>
            <w:shd w:val="clear" w:color="auto" w:fill="auto"/>
            <w:noWrap/>
            <w:vAlign w:val="center"/>
            <w:hideMark/>
          </w:tcPr>
          <w:p w14:paraId="1DBA7D98"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C16766">
              <w:rPr>
                <w:rFonts w:eastAsia="Times New Roman"/>
                <w:sz w:val="18"/>
                <w:szCs w:val="18"/>
                <w:bdr w:val="none" w:sz="0" w:space="0" w:color="auto"/>
                <w:lang w:eastAsia="es-ES"/>
              </w:rPr>
              <w:t>103.173,55</w:t>
            </w:r>
          </w:p>
        </w:tc>
        <w:tc>
          <w:tcPr>
            <w:tcW w:w="1034" w:type="pct"/>
            <w:tcBorders>
              <w:top w:val="nil"/>
              <w:left w:val="nil"/>
              <w:bottom w:val="nil"/>
              <w:right w:val="nil"/>
            </w:tcBorders>
            <w:shd w:val="clear" w:color="auto" w:fill="auto"/>
            <w:noWrap/>
            <w:vAlign w:val="center"/>
            <w:hideMark/>
          </w:tcPr>
          <w:p w14:paraId="1670E259"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C16766">
              <w:rPr>
                <w:rFonts w:eastAsia="Times New Roman"/>
                <w:sz w:val="18"/>
                <w:szCs w:val="18"/>
                <w:bdr w:val="none" w:sz="0" w:space="0" w:color="auto"/>
                <w:lang w:eastAsia="es-ES"/>
              </w:rPr>
              <w:t>147.156,81</w:t>
            </w:r>
          </w:p>
        </w:tc>
      </w:tr>
      <w:tr w:rsidR="00C16766" w:rsidRPr="00C16766" w14:paraId="11DE61DA" w14:textId="77777777" w:rsidTr="003A4111">
        <w:trPr>
          <w:trHeight w:val="283"/>
        </w:trPr>
        <w:tc>
          <w:tcPr>
            <w:tcW w:w="2446" w:type="pct"/>
            <w:tcBorders>
              <w:top w:val="nil"/>
              <w:left w:val="nil"/>
              <w:bottom w:val="nil"/>
              <w:right w:val="nil"/>
            </w:tcBorders>
            <w:shd w:val="clear" w:color="auto" w:fill="auto"/>
            <w:noWrap/>
            <w:vAlign w:val="center"/>
            <w:hideMark/>
          </w:tcPr>
          <w:p w14:paraId="676C4B99"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C16766">
              <w:rPr>
                <w:rFonts w:eastAsia="Times New Roman"/>
                <w:sz w:val="18"/>
                <w:szCs w:val="18"/>
                <w:bdr w:val="none" w:sz="0" w:space="0" w:color="auto"/>
                <w:lang w:eastAsia="es-ES"/>
              </w:rPr>
              <w:t>Otros créditos con las Administraciones Públicas</w:t>
            </w:r>
          </w:p>
        </w:tc>
        <w:tc>
          <w:tcPr>
            <w:tcW w:w="486" w:type="pct"/>
            <w:tcBorders>
              <w:top w:val="nil"/>
              <w:left w:val="nil"/>
              <w:bottom w:val="nil"/>
              <w:right w:val="nil"/>
            </w:tcBorders>
            <w:shd w:val="clear" w:color="auto" w:fill="auto"/>
            <w:noWrap/>
            <w:vAlign w:val="center"/>
            <w:hideMark/>
          </w:tcPr>
          <w:p w14:paraId="409D1A6D"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C16766">
              <w:rPr>
                <w:rFonts w:eastAsia="Times New Roman"/>
                <w:sz w:val="18"/>
                <w:szCs w:val="18"/>
                <w:bdr w:val="none" w:sz="0" w:space="0" w:color="auto"/>
                <w:lang w:eastAsia="es-ES"/>
              </w:rPr>
              <w:t>11</w:t>
            </w:r>
          </w:p>
        </w:tc>
        <w:tc>
          <w:tcPr>
            <w:tcW w:w="1034" w:type="pct"/>
            <w:tcBorders>
              <w:top w:val="nil"/>
              <w:left w:val="nil"/>
              <w:bottom w:val="nil"/>
              <w:right w:val="nil"/>
            </w:tcBorders>
            <w:shd w:val="clear" w:color="auto" w:fill="auto"/>
            <w:noWrap/>
            <w:vAlign w:val="center"/>
            <w:hideMark/>
          </w:tcPr>
          <w:p w14:paraId="660BAC60"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C16766">
              <w:rPr>
                <w:rFonts w:eastAsia="Times New Roman"/>
                <w:sz w:val="18"/>
                <w:szCs w:val="18"/>
                <w:bdr w:val="none" w:sz="0" w:space="0" w:color="auto"/>
                <w:lang w:eastAsia="es-ES"/>
              </w:rPr>
              <w:t>5.182.318,91</w:t>
            </w:r>
          </w:p>
        </w:tc>
        <w:tc>
          <w:tcPr>
            <w:tcW w:w="1034" w:type="pct"/>
            <w:tcBorders>
              <w:top w:val="nil"/>
              <w:left w:val="nil"/>
              <w:bottom w:val="nil"/>
              <w:right w:val="nil"/>
            </w:tcBorders>
            <w:shd w:val="clear" w:color="auto" w:fill="auto"/>
            <w:noWrap/>
            <w:vAlign w:val="center"/>
            <w:hideMark/>
          </w:tcPr>
          <w:p w14:paraId="68E0C47A"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C16766">
              <w:rPr>
                <w:rFonts w:eastAsia="Times New Roman"/>
                <w:sz w:val="18"/>
                <w:szCs w:val="18"/>
                <w:bdr w:val="none" w:sz="0" w:space="0" w:color="auto"/>
                <w:lang w:eastAsia="es-ES"/>
              </w:rPr>
              <w:t>5.934.033,74</w:t>
            </w:r>
          </w:p>
        </w:tc>
      </w:tr>
      <w:tr w:rsidR="00C16766" w:rsidRPr="00C16766" w14:paraId="46A69A5E" w14:textId="77777777" w:rsidTr="003A4111">
        <w:trPr>
          <w:trHeight w:val="283"/>
        </w:trPr>
        <w:tc>
          <w:tcPr>
            <w:tcW w:w="2446" w:type="pct"/>
            <w:tcBorders>
              <w:top w:val="nil"/>
              <w:left w:val="nil"/>
              <w:bottom w:val="nil"/>
              <w:right w:val="nil"/>
            </w:tcBorders>
            <w:shd w:val="clear" w:color="auto" w:fill="auto"/>
            <w:noWrap/>
            <w:vAlign w:val="center"/>
            <w:hideMark/>
          </w:tcPr>
          <w:p w14:paraId="1B5CA065"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C16766">
              <w:rPr>
                <w:rFonts w:eastAsia="Times New Roman"/>
                <w:b/>
                <w:bCs/>
                <w:sz w:val="18"/>
                <w:szCs w:val="18"/>
                <w:bdr w:val="none" w:sz="0" w:space="0" w:color="auto"/>
                <w:lang w:eastAsia="es-ES"/>
              </w:rPr>
              <w:t xml:space="preserve">Periodificaciones a corto plazo </w:t>
            </w:r>
          </w:p>
        </w:tc>
        <w:tc>
          <w:tcPr>
            <w:tcW w:w="486" w:type="pct"/>
            <w:tcBorders>
              <w:top w:val="nil"/>
              <w:left w:val="nil"/>
              <w:bottom w:val="nil"/>
              <w:right w:val="nil"/>
            </w:tcBorders>
            <w:shd w:val="clear" w:color="auto" w:fill="auto"/>
            <w:noWrap/>
            <w:vAlign w:val="center"/>
            <w:hideMark/>
          </w:tcPr>
          <w:p w14:paraId="4B81FF02"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C16766">
              <w:rPr>
                <w:rFonts w:eastAsia="Times New Roman"/>
                <w:b/>
                <w:bCs/>
                <w:sz w:val="18"/>
                <w:szCs w:val="18"/>
                <w:bdr w:val="none" w:sz="0" w:space="0" w:color="auto"/>
                <w:lang w:eastAsia="es-ES"/>
              </w:rPr>
              <w:t>8</w:t>
            </w:r>
          </w:p>
        </w:tc>
        <w:tc>
          <w:tcPr>
            <w:tcW w:w="1034" w:type="pct"/>
            <w:tcBorders>
              <w:top w:val="nil"/>
              <w:left w:val="nil"/>
              <w:bottom w:val="nil"/>
              <w:right w:val="nil"/>
            </w:tcBorders>
            <w:shd w:val="clear" w:color="auto" w:fill="auto"/>
            <w:noWrap/>
            <w:vAlign w:val="center"/>
            <w:hideMark/>
          </w:tcPr>
          <w:p w14:paraId="5520D208"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C16766">
              <w:rPr>
                <w:rFonts w:eastAsia="Times New Roman"/>
                <w:b/>
                <w:bCs/>
                <w:sz w:val="18"/>
                <w:szCs w:val="18"/>
                <w:bdr w:val="none" w:sz="0" w:space="0" w:color="auto"/>
                <w:lang w:eastAsia="es-ES"/>
              </w:rPr>
              <w:t>703.134,63</w:t>
            </w:r>
          </w:p>
        </w:tc>
        <w:tc>
          <w:tcPr>
            <w:tcW w:w="1034" w:type="pct"/>
            <w:tcBorders>
              <w:top w:val="nil"/>
              <w:left w:val="nil"/>
              <w:bottom w:val="nil"/>
              <w:right w:val="nil"/>
            </w:tcBorders>
            <w:shd w:val="clear" w:color="auto" w:fill="auto"/>
            <w:noWrap/>
            <w:vAlign w:val="center"/>
            <w:hideMark/>
          </w:tcPr>
          <w:p w14:paraId="672662BB"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C16766">
              <w:rPr>
                <w:rFonts w:eastAsia="Times New Roman"/>
                <w:b/>
                <w:bCs/>
                <w:sz w:val="18"/>
                <w:szCs w:val="18"/>
                <w:bdr w:val="none" w:sz="0" w:space="0" w:color="auto"/>
                <w:lang w:eastAsia="es-ES"/>
              </w:rPr>
              <w:t>703.089,84</w:t>
            </w:r>
          </w:p>
        </w:tc>
      </w:tr>
      <w:tr w:rsidR="00C16766" w:rsidRPr="00C16766" w14:paraId="18F795D4" w14:textId="77777777" w:rsidTr="003A4111">
        <w:trPr>
          <w:trHeight w:val="283"/>
        </w:trPr>
        <w:tc>
          <w:tcPr>
            <w:tcW w:w="2446" w:type="pct"/>
            <w:tcBorders>
              <w:top w:val="nil"/>
              <w:left w:val="nil"/>
              <w:bottom w:val="nil"/>
              <w:right w:val="nil"/>
            </w:tcBorders>
            <w:shd w:val="clear" w:color="auto" w:fill="auto"/>
            <w:noWrap/>
            <w:vAlign w:val="center"/>
            <w:hideMark/>
          </w:tcPr>
          <w:p w14:paraId="007CDA59"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C16766">
              <w:rPr>
                <w:rFonts w:eastAsia="Times New Roman"/>
                <w:b/>
                <w:bCs/>
                <w:sz w:val="18"/>
                <w:szCs w:val="18"/>
                <w:bdr w:val="none" w:sz="0" w:space="0" w:color="auto"/>
                <w:lang w:eastAsia="es-ES"/>
              </w:rPr>
              <w:t xml:space="preserve">Efectivo y otros activos líquidos equivalentes </w:t>
            </w:r>
          </w:p>
        </w:tc>
        <w:tc>
          <w:tcPr>
            <w:tcW w:w="486" w:type="pct"/>
            <w:tcBorders>
              <w:top w:val="nil"/>
              <w:left w:val="nil"/>
              <w:bottom w:val="nil"/>
              <w:right w:val="nil"/>
            </w:tcBorders>
            <w:shd w:val="clear" w:color="auto" w:fill="auto"/>
            <w:noWrap/>
            <w:vAlign w:val="center"/>
            <w:hideMark/>
          </w:tcPr>
          <w:p w14:paraId="50D145C6"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C16766">
              <w:rPr>
                <w:rFonts w:eastAsia="Times New Roman"/>
                <w:b/>
                <w:bCs/>
                <w:sz w:val="18"/>
                <w:szCs w:val="18"/>
                <w:bdr w:val="none" w:sz="0" w:space="0" w:color="auto"/>
                <w:lang w:eastAsia="es-ES"/>
              </w:rPr>
              <w:t>8</w:t>
            </w:r>
          </w:p>
        </w:tc>
        <w:tc>
          <w:tcPr>
            <w:tcW w:w="1034" w:type="pct"/>
            <w:tcBorders>
              <w:top w:val="nil"/>
              <w:left w:val="nil"/>
              <w:bottom w:val="nil"/>
              <w:right w:val="nil"/>
            </w:tcBorders>
            <w:shd w:val="clear" w:color="auto" w:fill="auto"/>
            <w:noWrap/>
            <w:vAlign w:val="center"/>
            <w:hideMark/>
          </w:tcPr>
          <w:p w14:paraId="076E94AD"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C16766">
              <w:rPr>
                <w:rFonts w:eastAsia="Times New Roman"/>
                <w:b/>
                <w:bCs/>
                <w:sz w:val="18"/>
                <w:szCs w:val="18"/>
                <w:bdr w:val="none" w:sz="0" w:space="0" w:color="auto"/>
                <w:lang w:eastAsia="es-ES"/>
              </w:rPr>
              <w:t>1.428.673,16</w:t>
            </w:r>
          </w:p>
        </w:tc>
        <w:tc>
          <w:tcPr>
            <w:tcW w:w="1034" w:type="pct"/>
            <w:tcBorders>
              <w:top w:val="nil"/>
              <w:left w:val="nil"/>
              <w:bottom w:val="nil"/>
              <w:right w:val="nil"/>
            </w:tcBorders>
            <w:shd w:val="clear" w:color="auto" w:fill="auto"/>
            <w:noWrap/>
            <w:vAlign w:val="center"/>
            <w:hideMark/>
          </w:tcPr>
          <w:p w14:paraId="384A6453"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C16766">
              <w:rPr>
                <w:rFonts w:eastAsia="Times New Roman"/>
                <w:b/>
                <w:bCs/>
                <w:sz w:val="18"/>
                <w:szCs w:val="18"/>
                <w:bdr w:val="none" w:sz="0" w:space="0" w:color="auto"/>
                <w:lang w:eastAsia="es-ES"/>
              </w:rPr>
              <w:t>1.647.812,68</w:t>
            </w:r>
          </w:p>
        </w:tc>
      </w:tr>
      <w:tr w:rsidR="00C16766" w:rsidRPr="00C16766" w14:paraId="5FB94480" w14:textId="77777777" w:rsidTr="001A7C10">
        <w:trPr>
          <w:trHeight w:val="340"/>
        </w:trPr>
        <w:tc>
          <w:tcPr>
            <w:tcW w:w="2446" w:type="pct"/>
            <w:tcBorders>
              <w:top w:val="single" w:sz="8" w:space="0" w:color="auto"/>
              <w:left w:val="nil"/>
              <w:bottom w:val="single" w:sz="8" w:space="0" w:color="auto"/>
              <w:right w:val="nil"/>
            </w:tcBorders>
            <w:shd w:val="clear" w:color="auto" w:fill="F2F2F2"/>
            <w:noWrap/>
            <w:vAlign w:val="center"/>
            <w:hideMark/>
          </w:tcPr>
          <w:p w14:paraId="6D3B990A"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C16766">
              <w:rPr>
                <w:rFonts w:eastAsia="Times New Roman"/>
                <w:b/>
                <w:bCs/>
                <w:sz w:val="18"/>
                <w:szCs w:val="18"/>
                <w:bdr w:val="none" w:sz="0" w:space="0" w:color="auto"/>
                <w:lang w:eastAsia="es-ES"/>
              </w:rPr>
              <w:t>TOTAL ACTIVO</w:t>
            </w:r>
          </w:p>
        </w:tc>
        <w:tc>
          <w:tcPr>
            <w:tcW w:w="486" w:type="pct"/>
            <w:tcBorders>
              <w:top w:val="single" w:sz="8" w:space="0" w:color="auto"/>
              <w:left w:val="nil"/>
              <w:bottom w:val="single" w:sz="8" w:space="0" w:color="auto"/>
              <w:right w:val="nil"/>
            </w:tcBorders>
            <w:shd w:val="clear" w:color="auto" w:fill="F2F2F2"/>
            <w:noWrap/>
            <w:vAlign w:val="center"/>
            <w:hideMark/>
          </w:tcPr>
          <w:p w14:paraId="226B0939"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C16766">
              <w:rPr>
                <w:rFonts w:eastAsia="Times New Roman"/>
                <w:sz w:val="18"/>
                <w:szCs w:val="18"/>
                <w:bdr w:val="none" w:sz="0" w:space="0" w:color="auto"/>
                <w:lang w:eastAsia="es-ES"/>
              </w:rPr>
              <w:t> </w:t>
            </w:r>
          </w:p>
        </w:tc>
        <w:tc>
          <w:tcPr>
            <w:tcW w:w="1034" w:type="pct"/>
            <w:tcBorders>
              <w:top w:val="single" w:sz="8" w:space="0" w:color="auto"/>
              <w:left w:val="nil"/>
              <w:bottom w:val="single" w:sz="8" w:space="0" w:color="auto"/>
              <w:right w:val="nil"/>
            </w:tcBorders>
            <w:shd w:val="clear" w:color="auto" w:fill="F2F2F2"/>
            <w:noWrap/>
            <w:vAlign w:val="center"/>
            <w:hideMark/>
          </w:tcPr>
          <w:p w14:paraId="7F4D9B75"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C16766">
              <w:rPr>
                <w:rFonts w:eastAsia="Times New Roman"/>
                <w:b/>
                <w:bCs/>
                <w:sz w:val="18"/>
                <w:szCs w:val="18"/>
                <w:bdr w:val="none" w:sz="0" w:space="0" w:color="auto"/>
                <w:lang w:eastAsia="es-ES"/>
              </w:rPr>
              <w:t>7.912.538,08</w:t>
            </w:r>
          </w:p>
        </w:tc>
        <w:tc>
          <w:tcPr>
            <w:tcW w:w="1034" w:type="pct"/>
            <w:tcBorders>
              <w:top w:val="single" w:sz="8" w:space="0" w:color="auto"/>
              <w:left w:val="nil"/>
              <w:bottom w:val="single" w:sz="8" w:space="0" w:color="auto"/>
              <w:right w:val="nil"/>
            </w:tcBorders>
            <w:shd w:val="clear" w:color="auto" w:fill="F2F2F2"/>
            <w:noWrap/>
            <w:vAlign w:val="center"/>
            <w:hideMark/>
          </w:tcPr>
          <w:p w14:paraId="5F51C9D8" w14:textId="77777777" w:rsidR="00C16766" w:rsidRPr="00C16766" w:rsidRDefault="00C16766" w:rsidP="00C1676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C16766">
              <w:rPr>
                <w:rFonts w:eastAsia="Times New Roman"/>
                <w:b/>
                <w:bCs/>
                <w:sz w:val="18"/>
                <w:szCs w:val="18"/>
                <w:bdr w:val="none" w:sz="0" w:space="0" w:color="auto"/>
                <w:lang w:eastAsia="es-ES"/>
              </w:rPr>
              <w:t>8.935.205,22</w:t>
            </w:r>
          </w:p>
        </w:tc>
      </w:tr>
    </w:tbl>
    <w:p w14:paraId="6185C4F4" w14:textId="77777777" w:rsidR="006220A2" w:rsidRDefault="006220A2"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napToGrid w:val="0"/>
          <w:sz w:val="20"/>
        </w:rPr>
      </w:pPr>
    </w:p>
    <w:p w14:paraId="63E1B867" w14:textId="77777777" w:rsidR="006220A2" w:rsidRPr="005B6BD0" w:rsidRDefault="006220A2" w:rsidP="003A4111">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center"/>
        <w:outlineLvl w:val="0"/>
        <w:rPr>
          <w:b/>
          <w:snapToGrid w:val="0"/>
          <w:sz w:val="16"/>
          <w:szCs w:val="18"/>
        </w:rPr>
      </w:pPr>
      <w:r w:rsidRPr="005B6BD0">
        <w:rPr>
          <w:i/>
          <w:iCs/>
          <w:sz w:val="16"/>
          <w:szCs w:val="18"/>
        </w:rPr>
        <w:t>Las Cuentas Anuales de la Sociedad, que forman una sola unidad, comprenden estos Balances, las Cuentas de Pérdidas y Ganancias, el Estado de Cambios en el Patrimonio Neto, el Estado de Flujos de Efectivo adjuntos y la Memoria Anual adjunta que consta de 19 Notas</w:t>
      </w:r>
    </w:p>
    <w:p w14:paraId="656C399B" w14:textId="77777777" w:rsidR="003849D9" w:rsidRDefault="003849D9" w:rsidP="003849D9">
      <w:pPr>
        <w:widowControl w:val="0"/>
        <w:outlineLvl w:val="0"/>
        <w:rPr>
          <w:sz w:val="20"/>
        </w:rPr>
      </w:pPr>
      <w:r>
        <w:rPr>
          <w:sz w:val="20"/>
        </w:rPr>
        <w:tab/>
      </w:r>
    </w:p>
    <w:p w14:paraId="03EAE89F" w14:textId="77777777" w:rsidR="003A4111" w:rsidRDefault="006220A2"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sz w:val="20"/>
        </w:rPr>
      </w:pPr>
      <w:r w:rsidRPr="003849D9">
        <w:rPr>
          <w:sz w:val="20"/>
        </w:rPr>
        <w:br w:type="page"/>
      </w:r>
    </w:p>
    <w:p w14:paraId="65EAD228" w14:textId="77777777" w:rsidR="003A4111" w:rsidRDefault="003A4111"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sz w:val="20"/>
        </w:rPr>
      </w:pPr>
    </w:p>
    <w:p w14:paraId="7C8D43C9" w14:textId="77777777" w:rsidR="006220A2" w:rsidRPr="000A27FA" w:rsidRDefault="006220A2"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napToGrid w:val="0"/>
          <w:sz w:val="20"/>
        </w:rPr>
      </w:pPr>
      <w:r w:rsidRPr="000A27FA">
        <w:rPr>
          <w:b/>
          <w:snapToGrid w:val="0"/>
          <w:sz w:val="20"/>
        </w:rPr>
        <w:t>PROMOTUR TURISMO CANARIAS, S.A.</w:t>
      </w:r>
    </w:p>
    <w:p w14:paraId="526E6E81" w14:textId="77777777" w:rsidR="006220A2" w:rsidRPr="000A27FA" w:rsidRDefault="006220A2"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b/>
          <w:spacing w:val="-1"/>
          <w:sz w:val="20"/>
        </w:rPr>
      </w:pPr>
      <w:r w:rsidRPr="000A27FA">
        <w:rPr>
          <w:b/>
          <w:spacing w:val="-1"/>
          <w:sz w:val="20"/>
        </w:rPr>
        <w:t>BALANCE DE SITUACIÓN AL 31 DE DICIEMBRE DE 201</w:t>
      </w:r>
      <w:r w:rsidR="00D63680">
        <w:rPr>
          <w:b/>
          <w:spacing w:val="-1"/>
          <w:sz w:val="20"/>
        </w:rPr>
        <w:t>8 Y 2017</w:t>
      </w:r>
      <w:r w:rsidRPr="000A27FA">
        <w:rPr>
          <w:b/>
          <w:spacing w:val="-1"/>
          <w:sz w:val="20"/>
        </w:rPr>
        <w:t xml:space="preserve"> </w:t>
      </w:r>
      <w:r>
        <w:rPr>
          <w:b/>
          <w:spacing w:val="-1"/>
          <w:sz w:val="20"/>
        </w:rPr>
        <w:t>(Expresado en e</w:t>
      </w:r>
      <w:r w:rsidRPr="000A27FA">
        <w:rPr>
          <w:b/>
          <w:spacing w:val="-1"/>
          <w:sz w:val="20"/>
        </w:rPr>
        <w:t>uros)</w:t>
      </w:r>
    </w:p>
    <w:p w14:paraId="719227B2" w14:textId="77777777" w:rsidR="006220A2" w:rsidRDefault="006220A2" w:rsidP="006220A2">
      <w:pPr>
        <w:widowControl w:val="0"/>
        <w:tabs>
          <w:tab w:val="left" w:pos="284"/>
          <w:tab w:val="left" w:pos="567"/>
          <w:tab w:val="left" w:pos="851"/>
        </w:tabs>
        <w:rPr>
          <w:b/>
          <w:sz w:val="18"/>
          <w:szCs w:val="18"/>
        </w:rPr>
      </w:pPr>
    </w:p>
    <w:tbl>
      <w:tblPr>
        <w:tblW w:w="5000" w:type="pct"/>
        <w:tblCellMar>
          <w:left w:w="70" w:type="dxa"/>
          <w:right w:w="70" w:type="dxa"/>
        </w:tblCellMar>
        <w:tblLook w:val="04A0" w:firstRow="1" w:lastRow="0" w:firstColumn="1" w:lastColumn="0" w:noHBand="0" w:noVBand="1"/>
      </w:tblPr>
      <w:tblGrid>
        <w:gridCol w:w="4500"/>
        <w:gridCol w:w="871"/>
        <w:gridCol w:w="1918"/>
        <w:gridCol w:w="1916"/>
      </w:tblGrid>
      <w:tr w:rsidR="00D63680" w:rsidRPr="00D63680" w14:paraId="51873462" w14:textId="77777777" w:rsidTr="001A7C10">
        <w:trPr>
          <w:trHeight w:val="238"/>
        </w:trPr>
        <w:tc>
          <w:tcPr>
            <w:tcW w:w="2444" w:type="pct"/>
            <w:tcBorders>
              <w:top w:val="single" w:sz="8" w:space="0" w:color="auto"/>
              <w:left w:val="nil"/>
              <w:bottom w:val="nil"/>
              <w:right w:val="nil"/>
            </w:tcBorders>
            <w:shd w:val="clear" w:color="auto" w:fill="F2F2F2"/>
            <w:vAlign w:val="bottom"/>
            <w:hideMark/>
          </w:tcPr>
          <w:p w14:paraId="0F09D9E5"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p>
        </w:tc>
        <w:tc>
          <w:tcPr>
            <w:tcW w:w="473" w:type="pct"/>
            <w:tcBorders>
              <w:top w:val="single" w:sz="8" w:space="0" w:color="auto"/>
              <w:left w:val="nil"/>
              <w:bottom w:val="nil"/>
              <w:right w:val="nil"/>
            </w:tcBorders>
            <w:shd w:val="clear" w:color="auto" w:fill="F2F2F2"/>
            <w:vAlign w:val="bottom"/>
            <w:hideMark/>
          </w:tcPr>
          <w:p w14:paraId="07F8CDFB"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p>
        </w:tc>
        <w:tc>
          <w:tcPr>
            <w:tcW w:w="1042" w:type="pct"/>
            <w:tcBorders>
              <w:top w:val="single" w:sz="8" w:space="0" w:color="auto"/>
              <w:left w:val="nil"/>
              <w:bottom w:val="nil"/>
              <w:right w:val="nil"/>
            </w:tcBorders>
            <w:shd w:val="clear" w:color="auto" w:fill="F2F2F2"/>
            <w:noWrap/>
            <w:vAlign w:val="bottom"/>
            <w:hideMark/>
          </w:tcPr>
          <w:p w14:paraId="6F02DAF7"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D63680">
              <w:rPr>
                <w:rFonts w:eastAsia="Times New Roman"/>
                <w:b/>
                <w:bCs/>
                <w:sz w:val="18"/>
                <w:szCs w:val="18"/>
                <w:bdr w:val="none" w:sz="0" w:space="0" w:color="auto"/>
                <w:lang w:eastAsia="es-ES"/>
              </w:rPr>
              <w:t>Al 31 de diciembre</w:t>
            </w:r>
          </w:p>
        </w:tc>
        <w:tc>
          <w:tcPr>
            <w:tcW w:w="1041" w:type="pct"/>
            <w:tcBorders>
              <w:top w:val="single" w:sz="8" w:space="0" w:color="auto"/>
              <w:left w:val="nil"/>
              <w:bottom w:val="nil"/>
              <w:right w:val="nil"/>
            </w:tcBorders>
            <w:shd w:val="clear" w:color="auto" w:fill="F2F2F2"/>
            <w:noWrap/>
            <w:vAlign w:val="bottom"/>
            <w:hideMark/>
          </w:tcPr>
          <w:p w14:paraId="5B972C31"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D63680">
              <w:rPr>
                <w:rFonts w:eastAsia="Times New Roman"/>
                <w:b/>
                <w:bCs/>
                <w:sz w:val="18"/>
                <w:szCs w:val="18"/>
                <w:bdr w:val="none" w:sz="0" w:space="0" w:color="auto"/>
                <w:lang w:eastAsia="es-ES"/>
              </w:rPr>
              <w:t>Al 31 de diciembre</w:t>
            </w:r>
          </w:p>
        </w:tc>
      </w:tr>
      <w:tr w:rsidR="00D63680" w:rsidRPr="00D63680" w14:paraId="3A712B6A" w14:textId="77777777" w:rsidTr="001A7C10">
        <w:trPr>
          <w:trHeight w:val="238"/>
        </w:trPr>
        <w:tc>
          <w:tcPr>
            <w:tcW w:w="2444" w:type="pct"/>
            <w:tcBorders>
              <w:top w:val="nil"/>
              <w:left w:val="nil"/>
              <w:bottom w:val="single" w:sz="8" w:space="0" w:color="auto"/>
              <w:right w:val="nil"/>
            </w:tcBorders>
            <w:shd w:val="clear" w:color="auto" w:fill="F2F2F2"/>
            <w:vAlign w:val="bottom"/>
            <w:hideMark/>
          </w:tcPr>
          <w:p w14:paraId="4AF1729C"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D63680">
              <w:rPr>
                <w:rFonts w:eastAsia="Times New Roman"/>
                <w:b/>
                <w:bCs/>
                <w:sz w:val="18"/>
                <w:szCs w:val="18"/>
                <w:bdr w:val="none" w:sz="0" w:space="0" w:color="auto"/>
                <w:lang w:eastAsia="es-ES"/>
              </w:rPr>
              <w:t>PATRIMONIO NETO Y PASIVO</w:t>
            </w:r>
          </w:p>
        </w:tc>
        <w:tc>
          <w:tcPr>
            <w:tcW w:w="473" w:type="pct"/>
            <w:tcBorders>
              <w:top w:val="nil"/>
              <w:left w:val="nil"/>
              <w:bottom w:val="single" w:sz="8" w:space="0" w:color="auto"/>
              <w:right w:val="nil"/>
            </w:tcBorders>
            <w:shd w:val="clear" w:color="auto" w:fill="F2F2F2"/>
            <w:vAlign w:val="bottom"/>
            <w:hideMark/>
          </w:tcPr>
          <w:p w14:paraId="2BC6B0CD"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D63680">
              <w:rPr>
                <w:rFonts w:eastAsia="Times New Roman"/>
                <w:b/>
                <w:bCs/>
                <w:sz w:val="18"/>
                <w:szCs w:val="18"/>
                <w:bdr w:val="none" w:sz="0" w:space="0" w:color="auto"/>
                <w:lang w:eastAsia="es-ES"/>
              </w:rPr>
              <w:t>Nota</w:t>
            </w:r>
          </w:p>
        </w:tc>
        <w:tc>
          <w:tcPr>
            <w:tcW w:w="1042" w:type="pct"/>
            <w:tcBorders>
              <w:top w:val="single" w:sz="8" w:space="0" w:color="auto"/>
              <w:left w:val="nil"/>
              <w:bottom w:val="single" w:sz="8" w:space="0" w:color="auto"/>
              <w:right w:val="nil"/>
            </w:tcBorders>
            <w:shd w:val="clear" w:color="auto" w:fill="F2F2F2"/>
            <w:vAlign w:val="bottom"/>
            <w:hideMark/>
          </w:tcPr>
          <w:p w14:paraId="0079720E"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D63680">
              <w:rPr>
                <w:rFonts w:eastAsia="Times New Roman"/>
                <w:b/>
                <w:bCs/>
                <w:sz w:val="18"/>
                <w:szCs w:val="18"/>
                <w:bdr w:val="none" w:sz="0" w:space="0" w:color="auto"/>
                <w:lang w:eastAsia="es-ES"/>
              </w:rPr>
              <w:t>2018</w:t>
            </w:r>
          </w:p>
        </w:tc>
        <w:tc>
          <w:tcPr>
            <w:tcW w:w="1041" w:type="pct"/>
            <w:tcBorders>
              <w:top w:val="single" w:sz="8" w:space="0" w:color="auto"/>
              <w:left w:val="nil"/>
              <w:bottom w:val="single" w:sz="8" w:space="0" w:color="auto"/>
              <w:right w:val="nil"/>
            </w:tcBorders>
            <w:shd w:val="clear" w:color="auto" w:fill="F2F2F2"/>
            <w:vAlign w:val="bottom"/>
            <w:hideMark/>
          </w:tcPr>
          <w:p w14:paraId="4E1944CC"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D63680">
              <w:rPr>
                <w:rFonts w:eastAsia="Times New Roman"/>
                <w:b/>
                <w:bCs/>
                <w:sz w:val="18"/>
                <w:szCs w:val="18"/>
                <w:bdr w:val="none" w:sz="0" w:space="0" w:color="auto"/>
                <w:lang w:eastAsia="es-ES"/>
              </w:rPr>
              <w:t>2017</w:t>
            </w:r>
          </w:p>
        </w:tc>
      </w:tr>
      <w:tr w:rsidR="00D63680" w:rsidRPr="00D63680" w14:paraId="30F5B130" w14:textId="77777777" w:rsidTr="001A7C10">
        <w:trPr>
          <w:trHeight w:val="340"/>
        </w:trPr>
        <w:tc>
          <w:tcPr>
            <w:tcW w:w="2444" w:type="pct"/>
            <w:tcBorders>
              <w:top w:val="nil"/>
              <w:left w:val="nil"/>
              <w:bottom w:val="single" w:sz="8" w:space="0" w:color="auto"/>
              <w:right w:val="nil"/>
            </w:tcBorders>
            <w:shd w:val="clear" w:color="auto" w:fill="F2F2F2"/>
            <w:vAlign w:val="center"/>
            <w:hideMark/>
          </w:tcPr>
          <w:p w14:paraId="229B56A1"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D63680">
              <w:rPr>
                <w:rFonts w:eastAsia="Times New Roman"/>
                <w:b/>
                <w:bCs/>
                <w:sz w:val="18"/>
                <w:szCs w:val="18"/>
                <w:bdr w:val="none" w:sz="0" w:space="0" w:color="auto"/>
                <w:lang w:eastAsia="es-ES"/>
              </w:rPr>
              <w:t>PATRIMONIO NETO</w:t>
            </w:r>
          </w:p>
        </w:tc>
        <w:tc>
          <w:tcPr>
            <w:tcW w:w="473" w:type="pct"/>
            <w:tcBorders>
              <w:top w:val="nil"/>
              <w:left w:val="nil"/>
              <w:bottom w:val="single" w:sz="8" w:space="0" w:color="auto"/>
              <w:right w:val="nil"/>
            </w:tcBorders>
            <w:shd w:val="clear" w:color="auto" w:fill="F2F2F2"/>
            <w:vAlign w:val="center"/>
            <w:hideMark/>
          </w:tcPr>
          <w:p w14:paraId="3C571F27"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p>
        </w:tc>
        <w:tc>
          <w:tcPr>
            <w:tcW w:w="1042" w:type="pct"/>
            <w:tcBorders>
              <w:top w:val="nil"/>
              <w:left w:val="nil"/>
              <w:bottom w:val="single" w:sz="8" w:space="0" w:color="auto"/>
              <w:right w:val="nil"/>
            </w:tcBorders>
            <w:shd w:val="clear" w:color="auto" w:fill="F2F2F2"/>
            <w:vAlign w:val="center"/>
            <w:hideMark/>
          </w:tcPr>
          <w:p w14:paraId="7552EBA3"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D63680">
              <w:rPr>
                <w:rFonts w:eastAsia="Times New Roman"/>
                <w:b/>
                <w:bCs/>
                <w:sz w:val="18"/>
                <w:szCs w:val="18"/>
                <w:bdr w:val="none" w:sz="0" w:space="0" w:color="auto"/>
                <w:lang w:eastAsia="es-ES"/>
              </w:rPr>
              <w:t>832.933,96</w:t>
            </w:r>
          </w:p>
        </w:tc>
        <w:tc>
          <w:tcPr>
            <w:tcW w:w="1041" w:type="pct"/>
            <w:tcBorders>
              <w:top w:val="nil"/>
              <w:left w:val="nil"/>
              <w:bottom w:val="single" w:sz="8" w:space="0" w:color="auto"/>
              <w:right w:val="nil"/>
            </w:tcBorders>
            <w:shd w:val="clear" w:color="auto" w:fill="F2F2F2"/>
            <w:vAlign w:val="center"/>
            <w:hideMark/>
          </w:tcPr>
          <w:p w14:paraId="0926CF91"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D63680">
              <w:rPr>
                <w:rFonts w:eastAsia="Times New Roman"/>
                <w:b/>
                <w:bCs/>
                <w:sz w:val="18"/>
                <w:szCs w:val="18"/>
                <w:bdr w:val="none" w:sz="0" w:space="0" w:color="auto"/>
                <w:lang w:eastAsia="es-ES"/>
              </w:rPr>
              <w:t>853.906,64</w:t>
            </w:r>
          </w:p>
        </w:tc>
      </w:tr>
      <w:tr w:rsidR="00D63680" w:rsidRPr="00D63680" w14:paraId="0818B818" w14:textId="77777777" w:rsidTr="003A4111">
        <w:trPr>
          <w:trHeight w:val="283"/>
        </w:trPr>
        <w:tc>
          <w:tcPr>
            <w:tcW w:w="2444" w:type="pct"/>
            <w:tcBorders>
              <w:top w:val="nil"/>
              <w:left w:val="nil"/>
              <w:bottom w:val="nil"/>
              <w:right w:val="nil"/>
            </w:tcBorders>
            <w:shd w:val="clear" w:color="auto" w:fill="auto"/>
            <w:vAlign w:val="center"/>
            <w:hideMark/>
          </w:tcPr>
          <w:p w14:paraId="5C9B4B2A"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D63680">
              <w:rPr>
                <w:rFonts w:eastAsia="Times New Roman"/>
                <w:b/>
                <w:bCs/>
                <w:sz w:val="18"/>
                <w:szCs w:val="18"/>
                <w:bdr w:val="none" w:sz="0" w:space="0" w:color="auto"/>
                <w:lang w:eastAsia="es-ES"/>
              </w:rPr>
              <w:t>Fondos propios</w:t>
            </w:r>
          </w:p>
        </w:tc>
        <w:tc>
          <w:tcPr>
            <w:tcW w:w="473" w:type="pct"/>
            <w:tcBorders>
              <w:top w:val="nil"/>
              <w:left w:val="nil"/>
              <w:bottom w:val="nil"/>
              <w:right w:val="nil"/>
            </w:tcBorders>
            <w:shd w:val="clear" w:color="auto" w:fill="auto"/>
            <w:vAlign w:val="center"/>
            <w:hideMark/>
          </w:tcPr>
          <w:p w14:paraId="4C9F6419"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p>
        </w:tc>
        <w:tc>
          <w:tcPr>
            <w:tcW w:w="1042" w:type="pct"/>
            <w:tcBorders>
              <w:top w:val="nil"/>
              <w:left w:val="nil"/>
              <w:bottom w:val="nil"/>
              <w:right w:val="nil"/>
            </w:tcBorders>
            <w:shd w:val="clear" w:color="auto" w:fill="auto"/>
            <w:vAlign w:val="center"/>
            <w:hideMark/>
          </w:tcPr>
          <w:p w14:paraId="19CFE4C2"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D63680">
              <w:rPr>
                <w:rFonts w:eastAsia="Times New Roman"/>
                <w:b/>
                <w:bCs/>
                <w:sz w:val="18"/>
                <w:szCs w:val="18"/>
                <w:bdr w:val="none" w:sz="0" w:space="0" w:color="auto"/>
                <w:lang w:eastAsia="es-ES"/>
              </w:rPr>
              <w:t>600.000,00</w:t>
            </w:r>
          </w:p>
        </w:tc>
        <w:tc>
          <w:tcPr>
            <w:tcW w:w="1041" w:type="pct"/>
            <w:tcBorders>
              <w:top w:val="nil"/>
              <w:left w:val="nil"/>
              <w:bottom w:val="nil"/>
              <w:right w:val="nil"/>
            </w:tcBorders>
            <w:shd w:val="clear" w:color="auto" w:fill="auto"/>
            <w:vAlign w:val="center"/>
            <w:hideMark/>
          </w:tcPr>
          <w:p w14:paraId="57879980"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D63680">
              <w:rPr>
                <w:rFonts w:eastAsia="Times New Roman"/>
                <w:b/>
                <w:bCs/>
                <w:sz w:val="18"/>
                <w:szCs w:val="18"/>
                <w:bdr w:val="none" w:sz="0" w:space="0" w:color="auto"/>
                <w:lang w:eastAsia="es-ES"/>
              </w:rPr>
              <w:t>600.000,00</w:t>
            </w:r>
          </w:p>
        </w:tc>
      </w:tr>
      <w:tr w:rsidR="00D63680" w:rsidRPr="00D63680" w14:paraId="6E6ED025" w14:textId="77777777" w:rsidTr="003A4111">
        <w:trPr>
          <w:trHeight w:val="283"/>
        </w:trPr>
        <w:tc>
          <w:tcPr>
            <w:tcW w:w="2444" w:type="pct"/>
            <w:tcBorders>
              <w:top w:val="nil"/>
              <w:left w:val="nil"/>
              <w:bottom w:val="nil"/>
              <w:right w:val="nil"/>
            </w:tcBorders>
            <w:shd w:val="clear" w:color="auto" w:fill="auto"/>
            <w:vAlign w:val="center"/>
            <w:hideMark/>
          </w:tcPr>
          <w:p w14:paraId="375B161C"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D63680">
              <w:rPr>
                <w:rFonts w:eastAsia="Times New Roman"/>
                <w:sz w:val="18"/>
                <w:szCs w:val="18"/>
                <w:bdr w:val="none" w:sz="0" w:space="0" w:color="auto"/>
                <w:lang w:eastAsia="es-ES"/>
              </w:rPr>
              <w:t xml:space="preserve">Capital </w:t>
            </w:r>
          </w:p>
        </w:tc>
        <w:tc>
          <w:tcPr>
            <w:tcW w:w="473" w:type="pct"/>
            <w:tcBorders>
              <w:top w:val="nil"/>
              <w:left w:val="nil"/>
              <w:bottom w:val="nil"/>
              <w:right w:val="nil"/>
            </w:tcBorders>
            <w:shd w:val="clear" w:color="auto" w:fill="auto"/>
            <w:vAlign w:val="center"/>
            <w:hideMark/>
          </w:tcPr>
          <w:p w14:paraId="3C6BFC26"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D63680">
              <w:rPr>
                <w:rFonts w:eastAsia="Times New Roman"/>
                <w:sz w:val="18"/>
                <w:szCs w:val="18"/>
                <w:bdr w:val="none" w:sz="0" w:space="0" w:color="auto"/>
                <w:lang w:eastAsia="es-ES"/>
              </w:rPr>
              <w:t>8.3</w:t>
            </w:r>
          </w:p>
        </w:tc>
        <w:tc>
          <w:tcPr>
            <w:tcW w:w="1042" w:type="pct"/>
            <w:tcBorders>
              <w:top w:val="nil"/>
              <w:left w:val="nil"/>
              <w:bottom w:val="nil"/>
              <w:right w:val="nil"/>
            </w:tcBorders>
            <w:shd w:val="clear" w:color="auto" w:fill="auto"/>
            <w:vAlign w:val="center"/>
            <w:hideMark/>
          </w:tcPr>
          <w:p w14:paraId="15B51EB1"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63680">
              <w:rPr>
                <w:rFonts w:eastAsia="Times New Roman"/>
                <w:sz w:val="18"/>
                <w:szCs w:val="18"/>
                <w:bdr w:val="none" w:sz="0" w:space="0" w:color="auto"/>
                <w:lang w:eastAsia="es-ES"/>
              </w:rPr>
              <w:t>600.000,00</w:t>
            </w:r>
          </w:p>
        </w:tc>
        <w:tc>
          <w:tcPr>
            <w:tcW w:w="1041" w:type="pct"/>
            <w:tcBorders>
              <w:top w:val="nil"/>
              <w:left w:val="nil"/>
              <w:bottom w:val="nil"/>
              <w:right w:val="nil"/>
            </w:tcBorders>
            <w:shd w:val="clear" w:color="auto" w:fill="auto"/>
            <w:vAlign w:val="center"/>
            <w:hideMark/>
          </w:tcPr>
          <w:p w14:paraId="60671A74"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63680">
              <w:rPr>
                <w:rFonts w:eastAsia="Times New Roman"/>
                <w:sz w:val="18"/>
                <w:szCs w:val="18"/>
                <w:bdr w:val="none" w:sz="0" w:space="0" w:color="auto"/>
                <w:lang w:eastAsia="es-ES"/>
              </w:rPr>
              <w:t>600.000,00</w:t>
            </w:r>
          </w:p>
        </w:tc>
      </w:tr>
      <w:tr w:rsidR="00D63680" w:rsidRPr="00D63680" w14:paraId="59F1281E" w14:textId="77777777" w:rsidTr="003A4111">
        <w:trPr>
          <w:trHeight w:val="283"/>
        </w:trPr>
        <w:tc>
          <w:tcPr>
            <w:tcW w:w="2444" w:type="pct"/>
            <w:tcBorders>
              <w:top w:val="nil"/>
              <w:left w:val="nil"/>
              <w:bottom w:val="nil"/>
              <w:right w:val="nil"/>
            </w:tcBorders>
            <w:shd w:val="clear" w:color="auto" w:fill="auto"/>
            <w:vAlign w:val="center"/>
            <w:hideMark/>
          </w:tcPr>
          <w:p w14:paraId="2C340CE2"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D63680">
              <w:rPr>
                <w:rFonts w:eastAsia="Times New Roman"/>
                <w:b/>
                <w:bCs/>
                <w:sz w:val="18"/>
                <w:szCs w:val="18"/>
                <w:bdr w:val="none" w:sz="0" w:space="0" w:color="auto"/>
                <w:lang w:eastAsia="es-ES"/>
              </w:rPr>
              <w:t>Otras aportaciones de socios</w:t>
            </w:r>
          </w:p>
        </w:tc>
        <w:tc>
          <w:tcPr>
            <w:tcW w:w="473" w:type="pct"/>
            <w:tcBorders>
              <w:top w:val="nil"/>
              <w:left w:val="nil"/>
              <w:bottom w:val="nil"/>
              <w:right w:val="nil"/>
            </w:tcBorders>
            <w:shd w:val="clear" w:color="auto" w:fill="auto"/>
            <w:vAlign w:val="center"/>
            <w:hideMark/>
          </w:tcPr>
          <w:p w14:paraId="63DF143D"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D63680">
              <w:rPr>
                <w:rFonts w:eastAsia="Times New Roman"/>
                <w:b/>
                <w:bCs/>
                <w:sz w:val="18"/>
                <w:szCs w:val="18"/>
                <w:bdr w:val="none" w:sz="0" w:space="0" w:color="auto"/>
                <w:lang w:eastAsia="es-ES"/>
              </w:rPr>
              <w:t>8</w:t>
            </w:r>
          </w:p>
        </w:tc>
        <w:tc>
          <w:tcPr>
            <w:tcW w:w="1042" w:type="pct"/>
            <w:tcBorders>
              <w:top w:val="nil"/>
              <w:left w:val="nil"/>
              <w:bottom w:val="nil"/>
              <w:right w:val="nil"/>
            </w:tcBorders>
            <w:shd w:val="clear" w:color="auto" w:fill="auto"/>
            <w:vAlign w:val="center"/>
            <w:hideMark/>
          </w:tcPr>
          <w:p w14:paraId="001855B6"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D63680">
              <w:rPr>
                <w:rFonts w:eastAsia="Times New Roman"/>
                <w:b/>
                <w:bCs/>
                <w:sz w:val="18"/>
                <w:szCs w:val="18"/>
                <w:bdr w:val="none" w:sz="0" w:space="0" w:color="auto"/>
                <w:lang w:eastAsia="es-ES"/>
              </w:rPr>
              <w:t>2.165.867,00</w:t>
            </w:r>
          </w:p>
        </w:tc>
        <w:tc>
          <w:tcPr>
            <w:tcW w:w="1041" w:type="pct"/>
            <w:tcBorders>
              <w:top w:val="nil"/>
              <w:left w:val="nil"/>
              <w:bottom w:val="nil"/>
              <w:right w:val="nil"/>
            </w:tcBorders>
            <w:shd w:val="clear" w:color="auto" w:fill="auto"/>
            <w:vAlign w:val="center"/>
            <w:hideMark/>
          </w:tcPr>
          <w:p w14:paraId="409CC9A9"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D63680">
              <w:rPr>
                <w:rFonts w:eastAsia="Times New Roman"/>
                <w:b/>
                <w:bCs/>
                <w:sz w:val="18"/>
                <w:szCs w:val="18"/>
                <w:bdr w:val="none" w:sz="0" w:space="0" w:color="auto"/>
                <w:lang w:eastAsia="es-ES"/>
              </w:rPr>
              <w:t>2.165.867,00</w:t>
            </w:r>
          </w:p>
        </w:tc>
      </w:tr>
      <w:tr w:rsidR="00D63680" w:rsidRPr="00D63680" w14:paraId="2BBF5B57" w14:textId="77777777" w:rsidTr="003A4111">
        <w:trPr>
          <w:trHeight w:val="283"/>
        </w:trPr>
        <w:tc>
          <w:tcPr>
            <w:tcW w:w="2444" w:type="pct"/>
            <w:tcBorders>
              <w:top w:val="nil"/>
              <w:left w:val="nil"/>
              <w:bottom w:val="nil"/>
              <w:right w:val="nil"/>
            </w:tcBorders>
            <w:shd w:val="clear" w:color="auto" w:fill="auto"/>
            <w:vAlign w:val="center"/>
            <w:hideMark/>
          </w:tcPr>
          <w:p w14:paraId="139CF891"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D63680">
              <w:rPr>
                <w:rFonts w:eastAsia="Times New Roman"/>
                <w:b/>
                <w:bCs/>
                <w:sz w:val="18"/>
                <w:szCs w:val="18"/>
                <w:bdr w:val="none" w:sz="0" w:space="0" w:color="auto"/>
                <w:lang w:eastAsia="es-ES"/>
              </w:rPr>
              <w:t>Resultado del ejercicio</w:t>
            </w:r>
          </w:p>
        </w:tc>
        <w:tc>
          <w:tcPr>
            <w:tcW w:w="473" w:type="pct"/>
            <w:tcBorders>
              <w:top w:val="nil"/>
              <w:left w:val="nil"/>
              <w:bottom w:val="nil"/>
              <w:right w:val="nil"/>
            </w:tcBorders>
            <w:shd w:val="clear" w:color="auto" w:fill="auto"/>
            <w:vAlign w:val="center"/>
            <w:hideMark/>
          </w:tcPr>
          <w:p w14:paraId="07F89B36"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D63680">
              <w:rPr>
                <w:rFonts w:eastAsia="Times New Roman"/>
                <w:b/>
                <w:bCs/>
                <w:sz w:val="18"/>
                <w:szCs w:val="18"/>
                <w:bdr w:val="none" w:sz="0" w:space="0" w:color="auto"/>
                <w:lang w:eastAsia="es-ES"/>
              </w:rPr>
              <w:t>3</w:t>
            </w:r>
          </w:p>
        </w:tc>
        <w:tc>
          <w:tcPr>
            <w:tcW w:w="1042" w:type="pct"/>
            <w:tcBorders>
              <w:top w:val="nil"/>
              <w:left w:val="nil"/>
              <w:bottom w:val="nil"/>
              <w:right w:val="nil"/>
            </w:tcBorders>
            <w:shd w:val="clear" w:color="auto" w:fill="auto"/>
            <w:vAlign w:val="center"/>
            <w:hideMark/>
          </w:tcPr>
          <w:p w14:paraId="6767137F"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D63680">
              <w:rPr>
                <w:rFonts w:eastAsia="Times New Roman"/>
                <w:b/>
                <w:bCs/>
                <w:sz w:val="18"/>
                <w:szCs w:val="18"/>
                <w:bdr w:val="none" w:sz="0" w:space="0" w:color="auto"/>
                <w:lang w:eastAsia="es-ES"/>
              </w:rPr>
              <w:t>(2.165.867,00)</w:t>
            </w:r>
          </w:p>
        </w:tc>
        <w:tc>
          <w:tcPr>
            <w:tcW w:w="1041" w:type="pct"/>
            <w:tcBorders>
              <w:top w:val="nil"/>
              <w:left w:val="nil"/>
              <w:bottom w:val="nil"/>
              <w:right w:val="nil"/>
            </w:tcBorders>
            <w:shd w:val="clear" w:color="auto" w:fill="auto"/>
            <w:vAlign w:val="center"/>
            <w:hideMark/>
          </w:tcPr>
          <w:p w14:paraId="7863E7C5"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D63680">
              <w:rPr>
                <w:rFonts w:eastAsia="Times New Roman"/>
                <w:b/>
                <w:bCs/>
                <w:sz w:val="18"/>
                <w:szCs w:val="18"/>
                <w:bdr w:val="none" w:sz="0" w:space="0" w:color="auto"/>
                <w:lang w:eastAsia="es-ES"/>
              </w:rPr>
              <w:t>(2.165.867,00)</w:t>
            </w:r>
          </w:p>
        </w:tc>
      </w:tr>
      <w:tr w:rsidR="00D63680" w:rsidRPr="00D63680" w14:paraId="43B01F83" w14:textId="77777777" w:rsidTr="003A4111">
        <w:trPr>
          <w:trHeight w:val="283"/>
        </w:trPr>
        <w:tc>
          <w:tcPr>
            <w:tcW w:w="2444" w:type="pct"/>
            <w:tcBorders>
              <w:top w:val="nil"/>
              <w:left w:val="nil"/>
              <w:bottom w:val="nil"/>
              <w:right w:val="nil"/>
            </w:tcBorders>
            <w:shd w:val="clear" w:color="auto" w:fill="auto"/>
            <w:vAlign w:val="center"/>
            <w:hideMark/>
          </w:tcPr>
          <w:p w14:paraId="671FEC4C"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D63680">
              <w:rPr>
                <w:rFonts w:eastAsia="Times New Roman"/>
                <w:b/>
                <w:bCs/>
                <w:sz w:val="18"/>
                <w:szCs w:val="18"/>
                <w:bdr w:val="none" w:sz="0" w:space="0" w:color="auto"/>
                <w:lang w:eastAsia="es-ES"/>
              </w:rPr>
              <w:t>Subvenciones, donaciones y legados recibidos</w:t>
            </w:r>
          </w:p>
        </w:tc>
        <w:tc>
          <w:tcPr>
            <w:tcW w:w="473" w:type="pct"/>
            <w:tcBorders>
              <w:top w:val="nil"/>
              <w:left w:val="nil"/>
              <w:bottom w:val="nil"/>
              <w:right w:val="nil"/>
            </w:tcBorders>
            <w:shd w:val="clear" w:color="auto" w:fill="auto"/>
            <w:vAlign w:val="center"/>
            <w:hideMark/>
          </w:tcPr>
          <w:p w14:paraId="4EB91BB1"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D63680">
              <w:rPr>
                <w:rFonts w:eastAsia="Times New Roman"/>
                <w:b/>
                <w:bCs/>
                <w:sz w:val="18"/>
                <w:szCs w:val="18"/>
                <w:bdr w:val="none" w:sz="0" w:space="0" w:color="auto"/>
                <w:lang w:eastAsia="es-ES"/>
              </w:rPr>
              <w:t>15</w:t>
            </w:r>
          </w:p>
        </w:tc>
        <w:tc>
          <w:tcPr>
            <w:tcW w:w="1042" w:type="pct"/>
            <w:tcBorders>
              <w:top w:val="nil"/>
              <w:left w:val="nil"/>
              <w:bottom w:val="nil"/>
              <w:right w:val="nil"/>
            </w:tcBorders>
            <w:shd w:val="clear" w:color="auto" w:fill="auto"/>
            <w:noWrap/>
            <w:vAlign w:val="center"/>
            <w:hideMark/>
          </w:tcPr>
          <w:p w14:paraId="2E682759"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D63680">
              <w:rPr>
                <w:rFonts w:eastAsia="Times New Roman"/>
                <w:b/>
                <w:bCs/>
                <w:sz w:val="18"/>
                <w:szCs w:val="18"/>
                <w:bdr w:val="none" w:sz="0" w:space="0" w:color="auto"/>
                <w:lang w:eastAsia="es-ES"/>
              </w:rPr>
              <w:t>232.933,96</w:t>
            </w:r>
          </w:p>
        </w:tc>
        <w:tc>
          <w:tcPr>
            <w:tcW w:w="1041" w:type="pct"/>
            <w:tcBorders>
              <w:top w:val="nil"/>
              <w:left w:val="nil"/>
              <w:bottom w:val="nil"/>
              <w:right w:val="nil"/>
            </w:tcBorders>
            <w:shd w:val="clear" w:color="auto" w:fill="auto"/>
            <w:noWrap/>
            <w:vAlign w:val="center"/>
            <w:hideMark/>
          </w:tcPr>
          <w:p w14:paraId="6CBA5733"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D63680">
              <w:rPr>
                <w:rFonts w:eastAsia="Times New Roman"/>
                <w:b/>
                <w:bCs/>
                <w:sz w:val="18"/>
                <w:szCs w:val="18"/>
                <w:bdr w:val="none" w:sz="0" w:space="0" w:color="auto"/>
                <w:lang w:eastAsia="es-ES"/>
              </w:rPr>
              <w:t>253.906,64</w:t>
            </w:r>
          </w:p>
        </w:tc>
      </w:tr>
      <w:tr w:rsidR="00D63680" w:rsidRPr="00D63680" w14:paraId="2D4ABEBA" w14:textId="77777777" w:rsidTr="003A4111">
        <w:trPr>
          <w:trHeight w:val="255"/>
        </w:trPr>
        <w:tc>
          <w:tcPr>
            <w:tcW w:w="2444" w:type="pct"/>
            <w:tcBorders>
              <w:top w:val="nil"/>
              <w:left w:val="nil"/>
              <w:bottom w:val="nil"/>
              <w:right w:val="nil"/>
            </w:tcBorders>
            <w:shd w:val="clear" w:color="auto" w:fill="auto"/>
            <w:vAlign w:val="center"/>
            <w:hideMark/>
          </w:tcPr>
          <w:p w14:paraId="56B5B24A"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473" w:type="pct"/>
            <w:tcBorders>
              <w:top w:val="nil"/>
              <w:left w:val="nil"/>
              <w:bottom w:val="nil"/>
              <w:right w:val="nil"/>
            </w:tcBorders>
            <w:shd w:val="clear" w:color="auto" w:fill="auto"/>
            <w:vAlign w:val="center"/>
            <w:hideMark/>
          </w:tcPr>
          <w:p w14:paraId="1385A896"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ascii="Times New Roman" w:eastAsia="Times New Roman" w:hAnsi="Times New Roman" w:cs="Times New Roman"/>
                <w:color w:val="auto"/>
                <w:sz w:val="20"/>
                <w:szCs w:val="20"/>
                <w:bdr w:val="none" w:sz="0" w:space="0" w:color="auto"/>
                <w:lang w:eastAsia="es-ES"/>
              </w:rPr>
            </w:pPr>
          </w:p>
        </w:tc>
        <w:tc>
          <w:tcPr>
            <w:tcW w:w="1042" w:type="pct"/>
            <w:tcBorders>
              <w:top w:val="nil"/>
              <w:left w:val="nil"/>
              <w:bottom w:val="nil"/>
              <w:right w:val="nil"/>
            </w:tcBorders>
            <w:shd w:val="clear" w:color="auto" w:fill="auto"/>
            <w:vAlign w:val="center"/>
            <w:hideMark/>
          </w:tcPr>
          <w:p w14:paraId="09A144F5"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c>
          <w:tcPr>
            <w:tcW w:w="1041" w:type="pct"/>
            <w:tcBorders>
              <w:top w:val="nil"/>
              <w:left w:val="nil"/>
              <w:bottom w:val="nil"/>
              <w:right w:val="nil"/>
            </w:tcBorders>
            <w:shd w:val="clear" w:color="auto" w:fill="auto"/>
            <w:vAlign w:val="center"/>
            <w:hideMark/>
          </w:tcPr>
          <w:p w14:paraId="0ADF22E7"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r>
      <w:tr w:rsidR="00D63680" w:rsidRPr="00D63680" w14:paraId="3C105260" w14:textId="77777777" w:rsidTr="001A7C10">
        <w:trPr>
          <w:trHeight w:val="340"/>
        </w:trPr>
        <w:tc>
          <w:tcPr>
            <w:tcW w:w="2444" w:type="pct"/>
            <w:tcBorders>
              <w:top w:val="single" w:sz="8" w:space="0" w:color="auto"/>
              <w:left w:val="nil"/>
              <w:bottom w:val="single" w:sz="8" w:space="0" w:color="auto"/>
              <w:right w:val="nil"/>
            </w:tcBorders>
            <w:shd w:val="clear" w:color="auto" w:fill="F2F2F2"/>
            <w:vAlign w:val="center"/>
            <w:hideMark/>
          </w:tcPr>
          <w:p w14:paraId="2783B200"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D63680">
              <w:rPr>
                <w:rFonts w:eastAsia="Times New Roman"/>
                <w:b/>
                <w:bCs/>
                <w:sz w:val="18"/>
                <w:szCs w:val="18"/>
                <w:bdr w:val="none" w:sz="0" w:space="0" w:color="auto"/>
                <w:lang w:eastAsia="es-ES"/>
              </w:rPr>
              <w:t>PASIVO NO CORRIENTE</w:t>
            </w:r>
          </w:p>
        </w:tc>
        <w:tc>
          <w:tcPr>
            <w:tcW w:w="473" w:type="pct"/>
            <w:tcBorders>
              <w:top w:val="single" w:sz="8" w:space="0" w:color="auto"/>
              <w:left w:val="nil"/>
              <w:bottom w:val="single" w:sz="8" w:space="0" w:color="auto"/>
              <w:right w:val="nil"/>
            </w:tcBorders>
            <w:shd w:val="clear" w:color="auto" w:fill="F2F2F2"/>
            <w:vAlign w:val="center"/>
            <w:hideMark/>
          </w:tcPr>
          <w:p w14:paraId="025067F8"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p>
        </w:tc>
        <w:tc>
          <w:tcPr>
            <w:tcW w:w="1042" w:type="pct"/>
            <w:tcBorders>
              <w:top w:val="single" w:sz="8" w:space="0" w:color="auto"/>
              <w:left w:val="nil"/>
              <w:bottom w:val="single" w:sz="8" w:space="0" w:color="auto"/>
              <w:right w:val="nil"/>
            </w:tcBorders>
            <w:shd w:val="clear" w:color="auto" w:fill="F2F2F2"/>
            <w:vAlign w:val="center"/>
            <w:hideMark/>
          </w:tcPr>
          <w:p w14:paraId="61B150E3"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D63680">
              <w:rPr>
                <w:rFonts w:eastAsia="Times New Roman"/>
                <w:b/>
                <w:bCs/>
                <w:sz w:val="18"/>
                <w:szCs w:val="18"/>
                <w:bdr w:val="none" w:sz="0" w:space="0" w:color="auto"/>
                <w:lang w:eastAsia="es-ES"/>
              </w:rPr>
              <w:t>77.644,64</w:t>
            </w:r>
          </w:p>
        </w:tc>
        <w:tc>
          <w:tcPr>
            <w:tcW w:w="1041" w:type="pct"/>
            <w:tcBorders>
              <w:top w:val="single" w:sz="8" w:space="0" w:color="auto"/>
              <w:left w:val="nil"/>
              <w:bottom w:val="single" w:sz="8" w:space="0" w:color="auto"/>
              <w:right w:val="nil"/>
            </w:tcBorders>
            <w:shd w:val="clear" w:color="auto" w:fill="F2F2F2"/>
            <w:vAlign w:val="center"/>
            <w:hideMark/>
          </w:tcPr>
          <w:p w14:paraId="6A78EC5B"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D63680">
              <w:rPr>
                <w:rFonts w:eastAsia="Times New Roman"/>
                <w:b/>
                <w:bCs/>
                <w:sz w:val="18"/>
                <w:szCs w:val="18"/>
                <w:bdr w:val="none" w:sz="0" w:space="0" w:color="auto"/>
                <w:lang w:eastAsia="es-ES"/>
              </w:rPr>
              <w:t>84.635,54</w:t>
            </w:r>
          </w:p>
        </w:tc>
      </w:tr>
      <w:tr w:rsidR="00D63680" w:rsidRPr="00D63680" w14:paraId="1C4E6620" w14:textId="77777777" w:rsidTr="003A4111">
        <w:trPr>
          <w:trHeight w:val="283"/>
        </w:trPr>
        <w:tc>
          <w:tcPr>
            <w:tcW w:w="2444" w:type="pct"/>
            <w:tcBorders>
              <w:top w:val="nil"/>
              <w:left w:val="nil"/>
              <w:bottom w:val="nil"/>
              <w:right w:val="nil"/>
            </w:tcBorders>
            <w:shd w:val="clear" w:color="auto" w:fill="auto"/>
            <w:vAlign w:val="center"/>
            <w:hideMark/>
          </w:tcPr>
          <w:p w14:paraId="5934F541"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D63680">
              <w:rPr>
                <w:rFonts w:eastAsia="Times New Roman"/>
                <w:b/>
                <w:bCs/>
                <w:sz w:val="18"/>
                <w:szCs w:val="18"/>
                <w:bdr w:val="none" w:sz="0" w:space="0" w:color="auto"/>
                <w:lang w:eastAsia="es-ES"/>
              </w:rPr>
              <w:t>Pasivos por impuesto diferido</w:t>
            </w:r>
          </w:p>
        </w:tc>
        <w:tc>
          <w:tcPr>
            <w:tcW w:w="473" w:type="pct"/>
            <w:tcBorders>
              <w:top w:val="nil"/>
              <w:left w:val="nil"/>
              <w:bottom w:val="nil"/>
              <w:right w:val="nil"/>
            </w:tcBorders>
            <w:shd w:val="clear" w:color="auto" w:fill="auto"/>
            <w:vAlign w:val="center"/>
            <w:hideMark/>
          </w:tcPr>
          <w:p w14:paraId="5FB1AA49"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D63680">
              <w:rPr>
                <w:rFonts w:eastAsia="Times New Roman"/>
                <w:b/>
                <w:bCs/>
                <w:sz w:val="18"/>
                <w:szCs w:val="18"/>
                <w:bdr w:val="none" w:sz="0" w:space="0" w:color="auto"/>
                <w:lang w:eastAsia="es-ES"/>
              </w:rPr>
              <w:t>11</w:t>
            </w:r>
          </w:p>
        </w:tc>
        <w:tc>
          <w:tcPr>
            <w:tcW w:w="1042" w:type="pct"/>
            <w:tcBorders>
              <w:top w:val="nil"/>
              <w:left w:val="nil"/>
              <w:bottom w:val="nil"/>
              <w:right w:val="nil"/>
            </w:tcBorders>
            <w:shd w:val="clear" w:color="auto" w:fill="auto"/>
            <w:vAlign w:val="center"/>
            <w:hideMark/>
          </w:tcPr>
          <w:p w14:paraId="3DDE8D09"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D63680">
              <w:rPr>
                <w:rFonts w:eastAsia="Times New Roman"/>
                <w:b/>
                <w:bCs/>
                <w:sz w:val="18"/>
                <w:szCs w:val="18"/>
                <w:bdr w:val="none" w:sz="0" w:space="0" w:color="auto"/>
                <w:lang w:eastAsia="es-ES"/>
              </w:rPr>
              <w:t>77.644,64</w:t>
            </w:r>
          </w:p>
        </w:tc>
        <w:tc>
          <w:tcPr>
            <w:tcW w:w="1041" w:type="pct"/>
            <w:tcBorders>
              <w:top w:val="nil"/>
              <w:left w:val="nil"/>
              <w:bottom w:val="nil"/>
              <w:right w:val="nil"/>
            </w:tcBorders>
            <w:shd w:val="clear" w:color="auto" w:fill="auto"/>
            <w:vAlign w:val="center"/>
            <w:hideMark/>
          </w:tcPr>
          <w:p w14:paraId="1DD555EF"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D63680">
              <w:rPr>
                <w:rFonts w:eastAsia="Times New Roman"/>
                <w:b/>
                <w:bCs/>
                <w:sz w:val="18"/>
                <w:szCs w:val="18"/>
                <w:bdr w:val="none" w:sz="0" w:space="0" w:color="auto"/>
                <w:lang w:eastAsia="es-ES"/>
              </w:rPr>
              <w:t>84.635,54</w:t>
            </w:r>
          </w:p>
        </w:tc>
      </w:tr>
      <w:tr w:rsidR="00D63680" w:rsidRPr="00D63680" w14:paraId="280F2943" w14:textId="77777777" w:rsidTr="003A4111">
        <w:trPr>
          <w:trHeight w:val="255"/>
        </w:trPr>
        <w:tc>
          <w:tcPr>
            <w:tcW w:w="2444" w:type="pct"/>
            <w:tcBorders>
              <w:top w:val="nil"/>
              <w:left w:val="nil"/>
              <w:bottom w:val="nil"/>
              <w:right w:val="nil"/>
            </w:tcBorders>
            <w:shd w:val="clear" w:color="auto" w:fill="auto"/>
            <w:vAlign w:val="center"/>
            <w:hideMark/>
          </w:tcPr>
          <w:p w14:paraId="06B0AB3A"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473" w:type="pct"/>
            <w:tcBorders>
              <w:top w:val="nil"/>
              <w:left w:val="nil"/>
              <w:bottom w:val="nil"/>
              <w:right w:val="nil"/>
            </w:tcBorders>
            <w:shd w:val="clear" w:color="auto" w:fill="auto"/>
            <w:vAlign w:val="center"/>
            <w:hideMark/>
          </w:tcPr>
          <w:p w14:paraId="42A57C21"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ascii="Times New Roman" w:eastAsia="Times New Roman" w:hAnsi="Times New Roman" w:cs="Times New Roman"/>
                <w:color w:val="auto"/>
                <w:sz w:val="20"/>
                <w:szCs w:val="20"/>
                <w:bdr w:val="none" w:sz="0" w:space="0" w:color="auto"/>
                <w:lang w:eastAsia="es-ES"/>
              </w:rPr>
            </w:pPr>
          </w:p>
        </w:tc>
        <w:tc>
          <w:tcPr>
            <w:tcW w:w="1042" w:type="pct"/>
            <w:tcBorders>
              <w:top w:val="nil"/>
              <w:left w:val="nil"/>
              <w:bottom w:val="nil"/>
              <w:right w:val="nil"/>
            </w:tcBorders>
            <w:shd w:val="clear" w:color="auto" w:fill="auto"/>
            <w:vAlign w:val="center"/>
            <w:hideMark/>
          </w:tcPr>
          <w:p w14:paraId="6197D055"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c>
          <w:tcPr>
            <w:tcW w:w="1041" w:type="pct"/>
            <w:tcBorders>
              <w:top w:val="nil"/>
              <w:left w:val="nil"/>
              <w:bottom w:val="nil"/>
              <w:right w:val="nil"/>
            </w:tcBorders>
            <w:shd w:val="clear" w:color="auto" w:fill="auto"/>
            <w:vAlign w:val="center"/>
            <w:hideMark/>
          </w:tcPr>
          <w:p w14:paraId="18203E9F"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r>
      <w:tr w:rsidR="00D63680" w:rsidRPr="00D63680" w14:paraId="42DFC190" w14:textId="77777777" w:rsidTr="001A7C10">
        <w:trPr>
          <w:trHeight w:val="340"/>
        </w:trPr>
        <w:tc>
          <w:tcPr>
            <w:tcW w:w="2444" w:type="pct"/>
            <w:tcBorders>
              <w:top w:val="single" w:sz="8" w:space="0" w:color="auto"/>
              <w:left w:val="nil"/>
              <w:bottom w:val="single" w:sz="8" w:space="0" w:color="auto"/>
              <w:right w:val="nil"/>
            </w:tcBorders>
            <w:shd w:val="clear" w:color="auto" w:fill="F2F2F2"/>
            <w:vAlign w:val="center"/>
            <w:hideMark/>
          </w:tcPr>
          <w:p w14:paraId="68AEBE76"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D63680">
              <w:rPr>
                <w:rFonts w:eastAsia="Times New Roman"/>
                <w:b/>
                <w:bCs/>
                <w:sz w:val="18"/>
                <w:szCs w:val="18"/>
                <w:bdr w:val="none" w:sz="0" w:space="0" w:color="auto"/>
                <w:lang w:eastAsia="es-ES"/>
              </w:rPr>
              <w:t>PASIVO CORRIENTE</w:t>
            </w:r>
          </w:p>
        </w:tc>
        <w:tc>
          <w:tcPr>
            <w:tcW w:w="473" w:type="pct"/>
            <w:tcBorders>
              <w:top w:val="single" w:sz="8" w:space="0" w:color="auto"/>
              <w:left w:val="nil"/>
              <w:bottom w:val="single" w:sz="8" w:space="0" w:color="auto"/>
              <w:right w:val="nil"/>
            </w:tcBorders>
            <w:shd w:val="clear" w:color="auto" w:fill="F2F2F2"/>
            <w:vAlign w:val="center"/>
            <w:hideMark/>
          </w:tcPr>
          <w:p w14:paraId="12CDADE1"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p>
        </w:tc>
        <w:tc>
          <w:tcPr>
            <w:tcW w:w="1042" w:type="pct"/>
            <w:tcBorders>
              <w:top w:val="single" w:sz="8" w:space="0" w:color="auto"/>
              <w:left w:val="nil"/>
              <w:bottom w:val="single" w:sz="8" w:space="0" w:color="auto"/>
              <w:right w:val="nil"/>
            </w:tcBorders>
            <w:shd w:val="clear" w:color="auto" w:fill="F2F2F2"/>
            <w:vAlign w:val="center"/>
            <w:hideMark/>
          </w:tcPr>
          <w:p w14:paraId="779451A0"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D63680">
              <w:rPr>
                <w:rFonts w:eastAsia="Times New Roman"/>
                <w:b/>
                <w:bCs/>
                <w:sz w:val="18"/>
                <w:szCs w:val="18"/>
                <w:bdr w:val="none" w:sz="0" w:space="0" w:color="auto"/>
                <w:lang w:eastAsia="es-ES"/>
              </w:rPr>
              <w:t>7.001.959,48</w:t>
            </w:r>
          </w:p>
        </w:tc>
        <w:tc>
          <w:tcPr>
            <w:tcW w:w="1041" w:type="pct"/>
            <w:tcBorders>
              <w:top w:val="single" w:sz="8" w:space="0" w:color="auto"/>
              <w:left w:val="nil"/>
              <w:bottom w:val="single" w:sz="8" w:space="0" w:color="auto"/>
              <w:right w:val="nil"/>
            </w:tcBorders>
            <w:shd w:val="clear" w:color="auto" w:fill="F2F2F2"/>
            <w:vAlign w:val="center"/>
            <w:hideMark/>
          </w:tcPr>
          <w:p w14:paraId="100C4C82"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D63680">
              <w:rPr>
                <w:rFonts w:eastAsia="Times New Roman"/>
                <w:b/>
                <w:bCs/>
                <w:sz w:val="18"/>
                <w:szCs w:val="18"/>
                <w:bdr w:val="none" w:sz="0" w:space="0" w:color="auto"/>
                <w:lang w:eastAsia="es-ES"/>
              </w:rPr>
              <w:t>7.996.663,04</w:t>
            </w:r>
          </w:p>
        </w:tc>
      </w:tr>
      <w:tr w:rsidR="00D63680" w:rsidRPr="00D63680" w14:paraId="1902EB23" w14:textId="77777777" w:rsidTr="003A4111">
        <w:trPr>
          <w:trHeight w:val="283"/>
        </w:trPr>
        <w:tc>
          <w:tcPr>
            <w:tcW w:w="2444" w:type="pct"/>
            <w:tcBorders>
              <w:top w:val="nil"/>
              <w:left w:val="nil"/>
              <w:bottom w:val="nil"/>
              <w:right w:val="nil"/>
            </w:tcBorders>
            <w:shd w:val="clear" w:color="auto" w:fill="auto"/>
            <w:vAlign w:val="center"/>
            <w:hideMark/>
          </w:tcPr>
          <w:p w14:paraId="1D117CD8"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D63680">
              <w:rPr>
                <w:rFonts w:eastAsia="Times New Roman"/>
                <w:b/>
                <w:bCs/>
                <w:sz w:val="18"/>
                <w:szCs w:val="18"/>
                <w:bdr w:val="none" w:sz="0" w:space="0" w:color="auto"/>
                <w:lang w:eastAsia="es-ES"/>
              </w:rPr>
              <w:t>Deudas a corto plazo</w:t>
            </w:r>
          </w:p>
        </w:tc>
        <w:tc>
          <w:tcPr>
            <w:tcW w:w="473" w:type="pct"/>
            <w:tcBorders>
              <w:top w:val="nil"/>
              <w:left w:val="nil"/>
              <w:bottom w:val="nil"/>
              <w:right w:val="nil"/>
            </w:tcBorders>
            <w:shd w:val="clear" w:color="auto" w:fill="auto"/>
            <w:vAlign w:val="center"/>
            <w:hideMark/>
          </w:tcPr>
          <w:p w14:paraId="42EF218B"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D63680">
              <w:rPr>
                <w:rFonts w:eastAsia="Times New Roman"/>
                <w:b/>
                <w:bCs/>
                <w:sz w:val="18"/>
                <w:szCs w:val="18"/>
                <w:bdr w:val="none" w:sz="0" w:space="0" w:color="auto"/>
                <w:lang w:eastAsia="es-ES"/>
              </w:rPr>
              <w:t>8</w:t>
            </w:r>
          </w:p>
        </w:tc>
        <w:tc>
          <w:tcPr>
            <w:tcW w:w="1042" w:type="pct"/>
            <w:tcBorders>
              <w:top w:val="nil"/>
              <w:left w:val="nil"/>
              <w:bottom w:val="nil"/>
              <w:right w:val="nil"/>
            </w:tcBorders>
            <w:shd w:val="clear" w:color="auto" w:fill="auto"/>
            <w:vAlign w:val="center"/>
            <w:hideMark/>
          </w:tcPr>
          <w:p w14:paraId="6AE69860"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D63680">
              <w:rPr>
                <w:rFonts w:eastAsia="Times New Roman"/>
                <w:b/>
                <w:bCs/>
                <w:sz w:val="18"/>
                <w:szCs w:val="18"/>
                <w:bdr w:val="none" w:sz="0" w:space="0" w:color="auto"/>
                <w:lang w:eastAsia="es-ES"/>
              </w:rPr>
              <w:t>2.654,10</w:t>
            </w:r>
          </w:p>
        </w:tc>
        <w:tc>
          <w:tcPr>
            <w:tcW w:w="1041" w:type="pct"/>
            <w:tcBorders>
              <w:top w:val="nil"/>
              <w:left w:val="nil"/>
              <w:bottom w:val="nil"/>
              <w:right w:val="nil"/>
            </w:tcBorders>
            <w:shd w:val="clear" w:color="auto" w:fill="auto"/>
            <w:vAlign w:val="center"/>
            <w:hideMark/>
          </w:tcPr>
          <w:p w14:paraId="2B7094A3"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D63680">
              <w:rPr>
                <w:rFonts w:eastAsia="Times New Roman"/>
                <w:b/>
                <w:bCs/>
                <w:sz w:val="18"/>
                <w:szCs w:val="18"/>
                <w:bdr w:val="none" w:sz="0" w:space="0" w:color="auto"/>
                <w:lang w:eastAsia="es-ES"/>
              </w:rPr>
              <w:t>18.152,87</w:t>
            </w:r>
          </w:p>
        </w:tc>
      </w:tr>
      <w:tr w:rsidR="00D63680" w:rsidRPr="00D63680" w14:paraId="58A422E5" w14:textId="77777777" w:rsidTr="003A4111">
        <w:trPr>
          <w:trHeight w:val="283"/>
        </w:trPr>
        <w:tc>
          <w:tcPr>
            <w:tcW w:w="2444" w:type="pct"/>
            <w:tcBorders>
              <w:top w:val="nil"/>
              <w:left w:val="nil"/>
              <w:bottom w:val="nil"/>
              <w:right w:val="nil"/>
            </w:tcBorders>
            <w:shd w:val="clear" w:color="auto" w:fill="auto"/>
            <w:vAlign w:val="center"/>
            <w:hideMark/>
          </w:tcPr>
          <w:p w14:paraId="200360DA"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D63680">
              <w:rPr>
                <w:rFonts w:eastAsia="Times New Roman"/>
                <w:sz w:val="18"/>
                <w:szCs w:val="18"/>
                <w:bdr w:val="none" w:sz="0" w:space="0" w:color="auto"/>
                <w:lang w:eastAsia="es-ES"/>
              </w:rPr>
              <w:t>Deudas con entidades de crédito</w:t>
            </w:r>
          </w:p>
        </w:tc>
        <w:tc>
          <w:tcPr>
            <w:tcW w:w="473" w:type="pct"/>
            <w:tcBorders>
              <w:top w:val="nil"/>
              <w:left w:val="nil"/>
              <w:bottom w:val="nil"/>
              <w:right w:val="nil"/>
            </w:tcBorders>
            <w:shd w:val="clear" w:color="auto" w:fill="auto"/>
            <w:vAlign w:val="center"/>
            <w:hideMark/>
          </w:tcPr>
          <w:p w14:paraId="3CA75B72"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p>
        </w:tc>
        <w:tc>
          <w:tcPr>
            <w:tcW w:w="1042" w:type="pct"/>
            <w:tcBorders>
              <w:top w:val="nil"/>
              <w:left w:val="nil"/>
              <w:bottom w:val="nil"/>
              <w:right w:val="nil"/>
            </w:tcBorders>
            <w:shd w:val="clear" w:color="auto" w:fill="auto"/>
            <w:vAlign w:val="center"/>
            <w:hideMark/>
          </w:tcPr>
          <w:p w14:paraId="7B6BEC7E"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63680">
              <w:rPr>
                <w:rFonts w:eastAsia="Times New Roman"/>
                <w:sz w:val="18"/>
                <w:szCs w:val="18"/>
                <w:bdr w:val="none" w:sz="0" w:space="0" w:color="auto"/>
                <w:lang w:eastAsia="es-ES"/>
              </w:rPr>
              <w:t>2.654,10</w:t>
            </w:r>
          </w:p>
        </w:tc>
        <w:tc>
          <w:tcPr>
            <w:tcW w:w="1041" w:type="pct"/>
            <w:tcBorders>
              <w:top w:val="nil"/>
              <w:left w:val="nil"/>
              <w:bottom w:val="nil"/>
              <w:right w:val="nil"/>
            </w:tcBorders>
            <w:shd w:val="clear" w:color="auto" w:fill="auto"/>
            <w:vAlign w:val="center"/>
            <w:hideMark/>
          </w:tcPr>
          <w:p w14:paraId="765C93EF"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63680">
              <w:rPr>
                <w:rFonts w:eastAsia="Times New Roman"/>
                <w:sz w:val="18"/>
                <w:szCs w:val="18"/>
                <w:bdr w:val="none" w:sz="0" w:space="0" w:color="auto"/>
                <w:lang w:eastAsia="es-ES"/>
              </w:rPr>
              <w:t>9.360,41</w:t>
            </w:r>
          </w:p>
        </w:tc>
      </w:tr>
      <w:tr w:rsidR="00D63680" w:rsidRPr="00D63680" w14:paraId="28461B3D" w14:textId="77777777" w:rsidTr="003A4111">
        <w:trPr>
          <w:trHeight w:val="283"/>
        </w:trPr>
        <w:tc>
          <w:tcPr>
            <w:tcW w:w="2444" w:type="pct"/>
            <w:tcBorders>
              <w:top w:val="nil"/>
              <w:left w:val="nil"/>
              <w:bottom w:val="nil"/>
              <w:right w:val="nil"/>
            </w:tcBorders>
            <w:shd w:val="clear" w:color="auto" w:fill="auto"/>
            <w:vAlign w:val="center"/>
            <w:hideMark/>
          </w:tcPr>
          <w:p w14:paraId="2BDB9AC3"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D63680">
              <w:rPr>
                <w:rFonts w:eastAsia="Times New Roman"/>
                <w:sz w:val="18"/>
                <w:szCs w:val="18"/>
                <w:bdr w:val="none" w:sz="0" w:space="0" w:color="auto"/>
                <w:lang w:eastAsia="es-ES"/>
              </w:rPr>
              <w:t>Otros pasivos financieros</w:t>
            </w:r>
          </w:p>
        </w:tc>
        <w:tc>
          <w:tcPr>
            <w:tcW w:w="473" w:type="pct"/>
            <w:tcBorders>
              <w:top w:val="nil"/>
              <w:left w:val="nil"/>
              <w:bottom w:val="nil"/>
              <w:right w:val="nil"/>
            </w:tcBorders>
            <w:shd w:val="clear" w:color="auto" w:fill="auto"/>
            <w:vAlign w:val="center"/>
            <w:hideMark/>
          </w:tcPr>
          <w:p w14:paraId="22CCF013"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p>
        </w:tc>
        <w:tc>
          <w:tcPr>
            <w:tcW w:w="1042" w:type="pct"/>
            <w:tcBorders>
              <w:top w:val="nil"/>
              <w:left w:val="nil"/>
              <w:bottom w:val="nil"/>
              <w:right w:val="nil"/>
            </w:tcBorders>
            <w:shd w:val="clear" w:color="auto" w:fill="auto"/>
            <w:noWrap/>
            <w:vAlign w:val="center"/>
            <w:hideMark/>
          </w:tcPr>
          <w:p w14:paraId="2B22DC73"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63680">
              <w:rPr>
                <w:rFonts w:eastAsia="Times New Roman"/>
                <w:sz w:val="18"/>
                <w:szCs w:val="18"/>
                <w:bdr w:val="none" w:sz="0" w:space="0" w:color="auto"/>
                <w:lang w:eastAsia="es-ES"/>
              </w:rPr>
              <w:t xml:space="preserve"> -</w:t>
            </w:r>
          </w:p>
        </w:tc>
        <w:tc>
          <w:tcPr>
            <w:tcW w:w="1041" w:type="pct"/>
            <w:tcBorders>
              <w:top w:val="nil"/>
              <w:left w:val="nil"/>
              <w:bottom w:val="nil"/>
              <w:right w:val="nil"/>
            </w:tcBorders>
            <w:shd w:val="clear" w:color="auto" w:fill="auto"/>
            <w:vAlign w:val="center"/>
            <w:hideMark/>
          </w:tcPr>
          <w:p w14:paraId="736FEF8E"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63680">
              <w:rPr>
                <w:rFonts w:eastAsia="Times New Roman"/>
                <w:sz w:val="18"/>
                <w:szCs w:val="18"/>
                <w:bdr w:val="none" w:sz="0" w:space="0" w:color="auto"/>
                <w:lang w:eastAsia="es-ES"/>
              </w:rPr>
              <w:t>8.792,46</w:t>
            </w:r>
          </w:p>
        </w:tc>
      </w:tr>
      <w:tr w:rsidR="00D63680" w:rsidRPr="00D63680" w14:paraId="5A4182F8" w14:textId="77777777" w:rsidTr="003A4111">
        <w:trPr>
          <w:trHeight w:val="283"/>
        </w:trPr>
        <w:tc>
          <w:tcPr>
            <w:tcW w:w="2444" w:type="pct"/>
            <w:tcBorders>
              <w:top w:val="nil"/>
              <w:left w:val="nil"/>
              <w:bottom w:val="nil"/>
              <w:right w:val="nil"/>
            </w:tcBorders>
            <w:shd w:val="clear" w:color="auto" w:fill="auto"/>
            <w:noWrap/>
            <w:vAlign w:val="center"/>
            <w:hideMark/>
          </w:tcPr>
          <w:p w14:paraId="248FC85B"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D63680">
              <w:rPr>
                <w:rFonts w:eastAsia="Times New Roman"/>
                <w:b/>
                <w:bCs/>
                <w:sz w:val="18"/>
                <w:szCs w:val="18"/>
                <w:bdr w:val="none" w:sz="0" w:space="0" w:color="auto"/>
                <w:lang w:eastAsia="es-ES"/>
              </w:rPr>
              <w:t>Acreedores comerciales y otras cuentas a pagar</w:t>
            </w:r>
          </w:p>
        </w:tc>
        <w:tc>
          <w:tcPr>
            <w:tcW w:w="473" w:type="pct"/>
            <w:tcBorders>
              <w:top w:val="nil"/>
              <w:left w:val="nil"/>
              <w:bottom w:val="nil"/>
              <w:right w:val="nil"/>
            </w:tcBorders>
            <w:shd w:val="clear" w:color="auto" w:fill="auto"/>
            <w:noWrap/>
            <w:vAlign w:val="center"/>
            <w:hideMark/>
          </w:tcPr>
          <w:p w14:paraId="3B0612B1"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p>
        </w:tc>
        <w:tc>
          <w:tcPr>
            <w:tcW w:w="1042" w:type="pct"/>
            <w:tcBorders>
              <w:top w:val="nil"/>
              <w:left w:val="nil"/>
              <w:bottom w:val="nil"/>
              <w:right w:val="nil"/>
            </w:tcBorders>
            <w:shd w:val="clear" w:color="auto" w:fill="auto"/>
            <w:noWrap/>
            <w:vAlign w:val="center"/>
            <w:hideMark/>
          </w:tcPr>
          <w:p w14:paraId="7307DCA6"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D63680">
              <w:rPr>
                <w:rFonts w:eastAsia="Times New Roman"/>
                <w:b/>
                <w:bCs/>
                <w:sz w:val="18"/>
                <w:szCs w:val="18"/>
                <w:bdr w:val="none" w:sz="0" w:space="0" w:color="auto"/>
                <w:lang w:eastAsia="es-ES"/>
              </w:rPr>
              <w:t>6.887.155,78</w:t>
            </w:r>
          </w:p>
        </w:tc>
        <w:tc>
          <w:tcPr>
            <w:tcW w:w="1041" w:type="pct"/>
            <w:tcBorders>
              <w:top w:val="nil"/>
              <w:left w:val="nil"/>
              <w:bottom w:val="nil"/>
              <w:right w:val="nil"/>
            </w:tcBorders>
            <w:shd w:val="clear" w:color="auto" w:fill="auto"/>
            <w:noWrap/>
            <w:vAlign w:val="center"/>
            <w:hideMark/>
          </w:tcPr>
          <w:p w14:paraId="0FA8D008"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D63680">
              <w:rPr>
                <w:rFonts w:eastAsia="Times New Roman"/>
                <w:b/>
                <w:bCs/>
                <w:sz w:val="18"/>
                <w:szCs w:val="18"/>
                <w:bdr w:val="none" w:sz="0" w:space="0" w:color="auto"/>
                <w:lang w:eastAsia="es-ES"/>
              </w:rPr>
              <w:t>7.894.902,63</w:t>
            </w:r>
          </w:p>
        </w:tc>
      </w:tr>
      <w:tr w:rsidR="00D63680" w:rsidRPr="00D63680" w14:paraId="5A9E6E03" w14:textId="77777777" w:rsidTr="003A4111">
        <w:trPr>
          <w:trHeight w:val="283"/>
        </w:trPr>
        <w:tc>
          <w:tcPr>
            <w:tcW w:w="2444" w:type="pct"/>
            <w:tcBorders>
              <w:top w:val="nil"/>
              <w:left w:val="nil"/>
              <w:bottom w:val="nil"/>
              <w:right w:val="nil"/>
            </w:tcBorders>
            <w:shd w:val="clear" w:color="auto" w:fill="auto"/>
            <w:vAlign w:val="center"/>
            <w:hideMark/>
          </w:tcPr>
          <w:p w14:paraId="1E4A498D"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D63680">
              <w:rPr>
                <w:rFonts w:eastAsia="Times New Roman"/>
                <w:sz w:val="18"/>
                <w:szCs w:val="18"/>
                <w:bdr w:val="none" w:sz="0" w:space="0" w:color="auto"/>
                <w:lang w:eastAsia="es-ES"/>
              </w:rPr>
              <w:t>Acreedores varios</w:t>
            </w:r>
          </w:p>
        </w:tc>
        <w:tc>
          <w:tcPr>
            <w:tcW w:w="473" w:type="pct"/>
            <w:tcBorders>
              <w:top w:val="nil"/>
              <w:left w:val="nil"/>
              <w:bottom w:val="nil"/>
              <w:right w:val="nil"/>
            </w:tcBorders>
            <w:shd w:val="clear" w:color="auto" w:fill="auto"/>
            <w:vAlign w:val="center"/>
            <w:hideMark/>
          </w:tcPr>
          <w:p w14:paraId="22F45774"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D63680">
              <w:rPr>
                <w:rFonts w:eastAsia="Times New Roman"/>
                <w:sz w:val="18"/>
                <w:szCs w:val="18"/>
                <w:bdr w:val="none" w:sz="0" w:space="0" w:color="auto"/>
                <w:lang w:eastAsia="es-ES"/>
              </w:rPr>
              <w:t>8</w:t>
            </w:r>
          </w:p>
        </w:tc>
        <w:tc>
          <w:tcPr>
            <w:tcW w:w="1042" w:type="pct"/>
            <w:tcBorders>
              <w:top w:val="nil"/>
              <w:left w:val="nil"/>
              <w:bottom w:val="nil"/>
              <w:right w:val="nil"/>
            </w:tcBorders>
            <w:shd w:val="clear" w:color="auto" w:fill="auto"/>
            <w:vAlign w:val="center"/>
            <w:hideMark/>
          </w:tcPr>
          <w:p w14:paraId="12CBBD95"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63680">
              <w:rPr>
                <w:rFonts w:eastAsia="Times New Roman"/>
                <w:sz w:val="18"/>
                <w:szCs w:val="18"/>
                <w:bdr w:val="none" w:sz="0" w:space="0" w:color="auto"/>
                <w:lang w:eastAsia="es-ES"/>
              </w:rPr>
              <w:t>6.014.500,35</w:t>
            </w:r>
          </w:p>
        </w:tc>
        <w:tc>
          <w:tcPr>
            <w:tcW w:w="1041" w:type="pct"/>
            <w:tcBorders>
              <w:top w:val="nil"/>
              <w:left w:val="nil"/>
              <w:bottom w:val="nil"/>
              <w:right w:val="nil"/>
            </w:tcBorders>
            <w:shd w:val="clear" w:color="auto" w:fill="auto"/>
            <w:vAlign w:val="center"/>
            <w:hideMark/>
          </w:tcPr>
          <w:p w14:paraId="2D34B8B3"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63680">
              <w:rPr>
                <w:rFonts w:eastAsia="Times New Roman"/>
                <w:sz w:val="18"/>
                <w:szCs w:val="18"/>
                <w:bdr w:val="none" w:sz="0" w:space="0" w:color="auto"/>
                <w:lang w:eastAsia="es-ES"/>
              </w:rPr>
              <w:t>6.672.272,13</w:t>
            </w:r>
          </w:p>
        </w:tc>
      </w:tr>
      <w:tr w:rsidR="00D63680" w:rsidRPr="00D63680" w14:paraId="16BE4837" w14:textId="77777777" w:rsidTr="003A4111">
        <w:trPr>
          <w:trHeight w:val="283"/>
        </w:trPr>
        <w:tc>
          <w:tcPr>
            <w:tcW w:w="2444" w:type="pct"/>
            <w:tcBorders>
              <w:top w:val="nil"/>
              <w:left w:val="nil"/>
              <w:bottom w:val="nil"/>
              <w:right w:val="nil"/>
            </w:tcBorders>
            <w:shd w:val="clear" w:color="auto" w:fill="auto"/>
            <w:vAlign w:val="center"/>
            <w:hideMark/>
          </w:tcPr>
          <w:p w14:paraId="0AEF51C5"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D63680">
              <w:rPr>
                <w:rFonts w:eastAsia="Times New Roman"/>
                <w:sz w:val="18"/>
                <w:szCs w:val="18"/>
                <w:bdr w:val="none" w:sz="0" w:space="0" w:color="auto"/>
                <w:lang w:eastAsia="es-ES"/>
              </w:rPr>
              <w:t>Personal (remuneraciones pendientes de pago)</w:t>
            </w:r>
          </w:p>
        </w:tc>
        <w:tc>
          <w:tcPr>
            <w:tcW w:w="473" w:type="pct"/>
            <w:tcBorders>
              <w:top w:val="nil"/>
              <w:left w:val="nil"/>
              <w:bottom w:val="nil"/>
              <w:right w:val="nil"/>
            </w:tcBorders>
            <w:shd w:val="clear" w:color="auto" w:fill="auto"/>
            <w:vAlign w:val="center"/>
            <w:hideMark/>
          </w:tcPr>
          <w:p w14:paraId="1A209C87"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D63680">
              <w:rPr>
                <w:rFonts w:eastAsia="Times New Roman"/>
                <w:sz w:val="18"/>
                <w:szCs w:val="18"/>
                <w:bdr w:val="none" w:sz="0" w:space="0" w:color="auto"/>
                <w:lang w:eastAsia="es-ES"/>
              </w:rPr>
              <w:t>8</w:t>
            </w:r>
          </w:p>
        </w:tc>
        <w:tc>
          <w:tcPr>
            <w:tcW w:w="1042" w:type="pct"/>
            <w:tcBorders>
              <w:top w:val="nil"/>
              <w:left w:val="nil"/>
              <w:bottom w:val="nil"/>
              <w:right w:val="nil"/>
            </w:tcBorders>
            <w:shd w:val="clear" w:color="auto" w:fill="auto"/>
            <w:vAlign w:val="center"/>
            <w:hideMark/>
          </w:tcPr>
          <w:p w14:paraId="7021B617"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63680">
              <w:rPr>
                <w:rFonts w:eastAsia="Times New Roman"/>
                <w:sz w:val="18"/>
                <w:szCs w:val="18"/>
                <w:bdr w:val="none" w:sz="0" w:space="0" w:color="auto"/>
                <w:lang w:eastAsia="es-ES"/>
              </w:rPr>
              <w:t>77.537,61</w:t>
            </w:r>
          </w:p>
        </w:tc>
        <w:tc>
          <w:tcPr>
            <w:tcW w:w="1041" w:type="pct"/>
            <w:tcBorders>
              <w:top w:val="nil"/>
              <w:left w:val="nil"/>
              <w:bottom w:val="nil"/>
              <w:right w:val="nil"/>
            </w:tcBorders>
            <w:shd w:val="clear" w:color="auto" w:fill="auto"/>
            <w:vAlign w:val="center"/>
            <w:hideMark/>
          </w:tcPr>
          <w:p w14:paraId="58538265"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63680">
              <w:rPr>
                <w:rFonts w:eastAsia="Times New Roman"/>
                <w:sz w:val="18"/>
                <w:szCs w:val="18"/>
                <w:bdr w:val="none" w:sz="0" w:space="0" w:color="auto"/>
                <w:lang w:eastAsia="es-ES"/>
              </w:rPr>
              <w:t>80.376,66</w:t>
            </w:r>
          </w:p>
        </w:tc>
      </w:tr>
      <w:tr w:rsidR="00D63680" w:rsidRPr="00D63680" w14:paraId="7235FED4" w14:textId="77777777" w:rsidTr="003A4111">
        <w:trPr>
          <w:trHeight w:val="283"/>
        </w:trPr>
        <w:tc>
          <w:tcPr>
            <w:tcW w:w="2444" w:type="pct"/>
            <w:tcBorders>
              <w:top w:val="nil"/>
              <w:left w:val="nil"/>
              <w:bottom w:val="nil"/>
              <w:right w:val="nil"/>
            </w:tcBorders>
            <w:shd w:val="clear" w:color="auto" w:fill="auto"/>
            <w:vAlign w:val="center"/>
            <w:hideMark/>
          </w:tcPr>
          <w:p w14:paraId="1CE5328F"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D63680">
              <w:rPr>
                <w:rFonts w:eastAsia="Times New Roman"/>
                <w:sz w:val="18"/>
                <w:szCs w:val="18"/>
                <w:bdr w:val="none" w:sz="0" w:space="0" w:color="auto"/>
                <w:lang w:eastAsia="es-ES"/>
              </w:rPr>
              <w:t>Otras deudas con las Administraciones Públicas</w:t>
            </w:r>
          </w:p>
        </w:tc>
        <w:tc>
          <w:tcPr>
            <w:tcW w:w="473" w:type="pct"/>
            <w:tcBorders>
              <w:top w:val="nil"/>
              <w:left w:val="nil"/>
              <w:bottom w:val="nil"/>
              <w:right w:val="nil"/>
            </w:tcBorders>
            <w:shd w:val="clear" w:color="auto" w:fill="auto"/>
            <w:vAlign w:val="center"/>
            <w:hideMark/>
          </w:tcPr>
          <w:p w14:paraId="1FD163DB"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D63680">
              <w:rPr>
                <w:rFonts w:eastAsia="Times New Roman"/>
                <w:sz w:val="18"/>
                <w:szCs w:val="18"/>
                <w:bdr w:val="none" w:sz="0" w:space="0" w:color="auto"/>
                <w:lang w:eastAsia="es-ES"/>
              </w:rPr>
              <w:t>11</w:t>
            </w:r>
          </w:p>
        </w:tc>
        <w:tc>
          <w:tcPr>
            <w:tcW w:w="1042" w:type="pct"/>
            <w:tcBorders>
              <w:top w:val="nil"/>
              <w:left w:val="nil"/>
              <w:bottom w:val="nil"/>
              <w:right w:val="nil"/>
            </w:tcBorders>
            <w:shd w:val="clear" w:color="auto" w:fill="auto"/>
            <w:vAlign w:val="center"/>
            <w:hideMark/>
          </w:tcPr>
          <w:p w14:paraId="3EF07C1C"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63680">
              <w:rPr>
                <w:rFonts w:eastAsia="Times New Roman"/>
                <w:sz w:val="18"/>
                <w:szCs w:val="18"/>
                <w:bdr w:val="none" w:sz="0" w:space="0" w:color="auto"/>
                <w:lang w:eastAsia="es-ES"/>
              </w:rPr>
              <w:t>795.117,82</w:t>
            </w:r>
          </w:p>
        </w:tc>
        <w:tc>
          <w:tcPr>
            <w:tcW w:w="1041" w:type="pct"/>
            <w:tcBorders>
              <w:top w:val="nil"/>
              <w:left w:val="nil"/>
              <w:bottom w:val="nil"/>
              <w:right w:val="nil"/>
            </w:tcBorders>
            <w:shd w:val="clear" w:color="auto" w:fill="auto"/>
            <w:vAlign w:val="center"/>
            <w:hideMark/>
          </w:tcPr>
          <w:p w14:paraId="2AD616D0"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63680">
              <w:rPr>
                <w:rFonts w:eastAsia="Times New Roman"/>
                <w:sz w:val="18"/>
                <w:szCs w:val="18"/>
                <w:bdr w:val="none" w:sz="0" w:space="0" w:color="auto"/>
                <w:lang w:eastAsia="es-ES"/>
              </w:rPr>
              <w:t>1.142.253,84</w:t>
            </w:r>
          </w:p>
        </w:tc>
      </w:tr>
      <w:tr w:rsidR="00D63680" w:rsidRPr="00D63680" w14:paraId="7DCD1E44" w14:textId="77777777" w:rsidTr="003A4111">
        <w:trPr>
          <w:trHeight w:val="283"/>
        </w:trPr>
        <w:tc>
          <w:tcPr>
            <w:tcW w:w="2444" w:type="pct"/>
            <w:tcBorders>
              <w:top w:val="nil"/>
              <w:left w:val="nil"/>
              <w:bottom w:val="nil"/>
              <w:right w:val="nil"/>
            </w:tcBorders>
            <w:shd w:val="clear" w:color="auto" w:fill="auto"/>
            <w:vAlign w:val="center"/>
            <w:hideMark/>
          </w:tcPr>
          <w:p w14:paraId="1C7DFFFB"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D63680">
              <w:rPr>
                <w:rFonts w:eastAsia="Times New Roman"/>
                <w:b/>
                <w:bCs/>
                <w:sz w:val="18"/>
                <w:szCs w:val="18"/>
                <w:bdr w:val="none" w:sz="0" w:space="0" w:color="auto"/>
                <w:lang w:eastAsia="es-ES"/>
              </w:rPr>
              <w:t>Periodificaciones a corto plazo</w:t>
            </w:r>
          </w:p>
        </w:tc>
        <w:tc>
          <w:tcPr>
            <w:tcW w:w="473" w:type="pct"/>
            <w:tcBorders>
              <w:top w:val="nil"/>
              <w:left w:val="nil"/>
              <w:bottom w:val="nil"/>
              <w:right w:val="nil"/>
            </w:tcBorders>
            <w:shd w:val="clear" w:color="auto" w:fill="auto"/>
            <w:vAlign w:val="center"/>
            <w:hideMark/>
          </w:tcPr>
          <w:p w14:paraId="28D2087E"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p>
        </w:tc>
        <w:tc>
          <w:tcPr>
            <w:tcW w:w="1042" w:type="pct"/>
            <w:tcBorders>
              <w:top w:val="nil"/>
              <w:left w:val="nil"/>
              <w:bottom w:val="nil"/>
              <w:right w:val="nil"/>
            </w:tcBorders>
            <w:shd w:val="clear" w:color="auto" w:fill="auto"/>
            <w:vAlign w:val="center"/>
            <w:hideMark/>
          </w:tcPr>
          <w:p w14:paraId="1C9C881E" w14:textId="77777777" w:rsidR="00D63680" w:rsidRPr="00FE082B"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sz w:val="18"/>
                <w:szCs w:val="18"/>
                <w:bdr w:val="none" w:sz="0" w:space="0" w:color="auto"/>
                <w:lang w:eastAsia="es-ES"/>
              </w:rPr>
            </w:pPr>
            <w:r w:rsidRPr="00FE082B">
              <w:rPr>
                <w:rFonts w:eastAsia="Times New Roman"/>
                <w:b/>
                <w:sz w:val="18"/>
                <w:szCs w:val="18"/>
                <w:bdr w:val="none" w:sz="0" w:space="0" w:color="auto"/>
                <w:lang w:eastAsia="es-ES"/>
              </w:rPr>
              <w:t>112.149,60</w:t>
            </w:r>
          </w:p>
        </w:tc>
        <w:tc>
          <w:tcPr>
            <w:tcW w:w="1041" w:type="pct"/>
            <w:tcBorders>
              <w:top w:val="nil"/>
              <w:left w:val="nil"/>
              <w:bottom w:val="nil"/>
              <w:right w:val="nil"/>
            </w:tcBorders>
            <w:shd w:val="clear" w:color="auto" w:fill="auto"/>
            <w:vAlign w:val="center"/>
            <w:hideMark/>
          </w:tcPr>
          <w:p w14:paraId="3C1E9F2C" w14:textId="77777777" w:rsidR="00D63680" w:rsidRPr="00FE082B"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sz w:val="18"/>
                <w:szCs w:val="18"/>
                <w:bdr w:val="none" w:sz="0" w:space="0" w:color="auto"/>
                <w:lang w:eastAsia="es-ES"/>
              </w:rPr>
            </w:pPr>
            <w:r w:rsidRPr="00FE082B">
              <w:rPr>
                <w:rFonts w:eastAsia="Times New Roman"/>
                <w:b/>
                <w:sz w:val="18"/>
                <w:szCs w:val="18"/>
                <w:bdr w:val="none" w:sz="0" w:space="0" w:color="auto"/>
                <w:lang w:eastAsia="es-ES"/>
              </w:rPr>
              <w:t>83.607,54</w:t>
            </w:r>
          </w:p>
        </w:tc>
      </w:tr>
      <w:tr w:rsidR="00D63680" w:rsidRPr="00D63680" w14:paraId="649A75B5" w14:textId="77777777" w:rsidTr="001A7C10">
        <w:trPr>
          <w:trHeight w:val="340"/>
        </w:trPr>
        <w:tc>
          <w:tcPr>
            <w:tcW w:w="2444" w:type="pct"/>
            <w:tcBorders>
              <w:top w:val="single" w:sz="8" w:space="0" w:color="auto"/>
              <w:left w:val="nil"/>
              <w:bottom w:val="single" w:sz="8" w:space="0" w:color="auto"/>
              <w:right w:val="nil"/>
            </w:tcBorders>
            <w:shd w:val="clear" w:color="auto" w:fill="F2F2F2"/>
            <w:vAlign w:val="center"/>
            <w:hideMark/>
          </w:tcPr>
          <w:p w14:paraId="410F1B40"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D63680">
              <w:rPr>
                <w:rFonts w:eastAsia="Times New Roman"/>
                <w:b/>
                <w:bCs/>
                <w:sz w:val="18"/>
                <w:szCs w:val="18"/>
                <w:bdr w:val="none" w:sz="0" w:space="0" w:color="auto"/>
                <w:lang w:eastAsia="es-ES"/>
              </w:rPr>
              <w:t>TOTAL PATRIMONIO NETO Y PASIVO</w:t>
            </w:r>
          </w:p>
        </w:tc>
        <w:tc>
          <w:tcPr>
            <w:tcW w:w="473" w:type="pct"/>
            <w:tcBorders>
              <w:top w:val="single" w:sz="8" w:space="0" w:color="auto"/>
              <w:left w:val="nil"/>
              <w:bottom w:val="single" w:sz="8" w:space="0" w:color="auto"/>
              <w:right w:val="nil"/>
            </w:tcBorders>
            <w:shd w:val="clear" w:color="auto" w:fill="F2F2F2"/>
            <w:vAlign w:val="center"/>
            <w:hideMark/>
          </w:tcPr>
          <w:p w14:paraId="7B954C86"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p>
        </w:tc>
        <w:tc>
          <w:tcPr>
            <w:tcW w:w="1042" w:type="pct"/>
            <w:tcBorders>
              <w:top w:val="single" w:sz="8" w:space="0" w:color="auto"/>
              <w:left w:val="nil"/>
              <w:bottom w:val="single" w:sz="8" w:space="0" w:color="auto"/>
              <w:right w:val="nil"/>
            </w:tcBorders>
            <w:shd w:val="clear" w:color="auto" w:fill="F2F2F2"/>
            <w:vAlign w:val="center"/>
            <w:hideMark/>
          </w:tcPr>
          <w:p w14:paraId="29A5AE90"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D63680">
              <w:rPr>
                <w:rFonts w:eastAsia="Times New Roman"/>
                <w:b/>
                <w:bCs/>
                <w:sz w:val="18"/>
                <w:szCs w:val="18"/>
                <w:bdr w:val="none" w:sz="0" w:space="0" w:color="auto"/>
                <w:lang w:eastAsia="es-ES"/>
              </w:rPr>
              <w:t>7.912.538,08</w:t>
            </w:r>
          </w:p>
        </w:tc>
        <w:tc>
          <w:tcPr>
            <w:tcW w:w="1041" w:type="pct"/>
            <w:tcBorders>
              <w:top w:val="single" w:sz="8" w:space="0" w:color="auto"/>
              <w:left w:val="nil"/>
              <w:bottom w:val="single" w:sz="8" w:space="0" w:color="auto"/>
              <w:right w:val="nil"/>
            </w:tcBorders>
            <w:shd w:val="clear" w:color="auto" w:fill="F2F2F2"/>
            <w:vAlign w:val="center"/>
            <w:hideMark/>
          </w:tcPr>
          <w:p w14:paraId="542683C8" w14:textId="77777777" w:rsidR="00D63680" w:rsidRPr="00D63680" w:rsidRDefault="00D63680" w:rsidP="005B6BD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D63680">
              <w:rPr>
                <w:rFonts w:eastAsia="Times New Roman"/>
                <w:b/>
                <w:bCs/>
                <w:sz w:val="18"/>
                <w:szCs w:val="18"/>
                <w:bdr w:val="none" w:sz="0" w:space="0" w:color="auto"/>
                <w:lang w:eastAsia="es-ES"/>
              </w:rPr>
              <w:t>8.935.205,22</w:t>
            </w:r>
          </w:p>
        </w:tc>
      </w:tr>
    </w:tbl>
    <w:p w14:paraId="14A289BB" w14:textId="77777777" w:rsidR="006220A2" w:rsidRDefault="006220A2" w:rsidP="006220A2">
      <w:pPr>
        <w:widowControl w:val="0"/>
        <w:tabs>
          <w:tab w:val="left" w:pos="284"/>
          <w:tab w:val="left" w:pos="567"/>
          <w:tab w:val="left" w:pos="851"/>
        </w:tabs>
        <w:rPr>
          <w:b/>
          <w:sz w:val="18"/>
          <w:szCs w:val="18"/>
        </w:rPr>
      </w:pPr>
    </w:p>
    <w:p w14:paraId="3A8A90C4" w14:textId="77777777" w:rsidR="006220A2" w:rsidRPr="005B6BD0" w:rsidRDefault="006220A2" w:rsidP="003A4111">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center"/>
        <w:outlineLvl w:val="0"/>
        <w:rPr>
          <w:b/>
          <w:snapToGrid w:val="0"/>
          <w:sz w:val="18"/>
        </w:rPr>
      </w:pPr>
      <w:r w:rsidRPr="005B6BD0">
        <w:rPr>
          <w:i/>
          <w:iCs/>
          <w:sz w:val="16"/>
          <w:szCs w:val="18"/>
        </w:rPr>
        <w:t>Las Cuentas Anuales de la Sociedad, que forman una sola unidad, comprenden estos Balances, las Cuentas de Pérdidas y Ganancias, el Estado de Cambios en el Patrimonio Neto, el Estado de Flujos de Efectivo adjuntos y la Memoria Anual adjunta que consta de 19 Notas</w:t>
      </w:r>
    </w:p>
    <w:p w14:paraId="70E09421" w14:textId="77777777" w:rsidR="006220A2" w:rsidRDefault="006220A2" w:rsidP="006220A2">
      <w:pPr>
        <w:widowControl w:val="0"/>
        <w:tabs>
          <w:tab w:val="left" w:pos="284"/>
          <w:tab w:val="left" w:pos="567"/>
          <w:tab w:val="left" w:pos="851"/>
        </w:tabs>
        <w:rPr>
          <w:b/>
          <w:snapToGrid w:val="0"/>
          <w:sz w:val="20"/>
        </w:rPr>
      </w:pPr>
    </w:p>
    <w:p w14:paraId="729FA986" w14:textId="77777777" w:rsidR="003A4111" w:rsidRDefault="006220A2" w:rsidP="006220A2">
      <w:pPr>
        <w:widowControl w:val="0"/>
        <w:tabs>
          <w:tab w:val="left" w:pos="284"/>
          <w:tab w:val="left" w:pos="567"/>
          <w:tab w:val="left" w:pos="851"/>
        </w:tabs>
        <w:rPr>
          <w:b/>
          <w:snapToGrid w:val="0"/>
          <w:sz w:val="20"/>
        </w:rPr>
      </w:pPr>
      <w:r>
        <w:rPr>
          <w:b/>
          <w:snapToGrid w:val="0"/>
          <w:sz w:val="20"/>
        </w:rPr>
        <w:br w:type="page"/>
      </w:r>
    </w:p>
    <w:p w14:paraId="72377D7A" w14:textId="77777777" w:rsidR="003A4111" w:rsidRDefault="003A4111" w:rsidP="006220A2">
      <w:pPr>
        <w:widowControl w:val="0"/>
        <w:tabs>
          <w:tab w:val="left" w:pos="284"/>
          <w:tab w:val="left" w:pos="567"/>
          <w:tab w:val="left" w:pos="851"/>
        </w:tabs>
        <w:rPr>
          <w:b/>
          <w:snapToGrid w:val="0"/>
          <w:sz w:val="20"/>
        </w:rPr>
      </w:pPr>
    </w:p>
    <w:p w14:paraId="55D59EA4" w14:textId="77777777" w:rsidR="006220A2" w:rsidRPr="00D43E6F" w:rsidRDefault="006220A2" w:rsidP="006220A2">
      <w:pPr>
        <w:widowControl w:val="0"/>
        <w:tabs>
          <w:tab w:val="left" w:pos="284"/>
          <w:tab w:val="left" w:pos="567"/>
          <w:tab w:val="left" w:pos="851"/>
        </w:tabs>
        <w:rPr>
          <w:b/>
          <w:snapToGrid w:val="0"/>
          <w:sz w:val="20"/>
        </w:rPr>
      </w:pPr>
      <w:r w:rsidRPr="00D43E6F">
        <w:rPr>
          <w:b/>
          <w:snapToGrid w:val="0"/>
          <w:sz w:val="20"/>
        </w:rPr>
        <w:t>PROMOTUR TURISMO CANARIAS, S.A.</w:t>
      </w:r>
    </w:p>
    <w:p w14:paraId="7F33D403" w14:textId="77777777" w:rsidR="006220A2" w:rsidRDefault="006220A2"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b/>
          <w:bCs/>
          <w:sz w:val="20"/>
        </w:rPr>
      </w:pPr>
      <w:r w:rsidRPr="00D43E6F">
        <w:rPr>
          <w:b/>
          <w:sz w:val="20"/>
        </w:rPr>
        <w:t xml:space="preserve">CUENTA DE PÉRDIDAS Y GANANCIAS CORRESPONDIENTE </w:t>
      </w:r>
      <w:r>
        <w:rPr>
          <w:b/>
          <w:sz w:val="20"/>
        </w:rPr>
        <w:t xml:space="preserve">AL </w:t>
      </w:r>
      <w:r w:rsidRPr="00D43E6F">
        <w:rPr>
          <w:b/>
          <w:sz w:val="20"/>
        </w:rPr>
        <w:t>EJERCICIOS ANUAL TERMI</w:t>
      </w:r>
      <w:r>
        <w:rPr>
          <w:b/>
          <w:sz w:val="20"/>
        </w:rPr>
        <w:t xml:space="preserve">NADO EL 31 DE DICIEMBRE DE </w:t>
      </w:r>
      <w:r w:rsidR="00801015">
        <w:rPr>
          <w:b/>
          <w:sz w:val="20"/>
        </w:rPr>
        <w:t>2018 Y 2017</w:t>
      </w:r>
      <w:r>
        <w:rPr>
          <w:b/>
          <w:sz w:val="20"/>
        </w:rPr>
        <w:t xml:space="preserve"> </w:t>
      </w:r>
      <w:r>
        <w:rPr>
          <w:b/>
          <w:bCs/>
          <w:sz w:val="20"/>
        </w:rPr>
        <w:t>(Expresada</w:t>
      </w:r>
      <w:r w:rsidRPr="00D43E6F">
        <w:rPr>
          <w:b/>
          <w:bCs/>
          <w:sz w:val="20"/>
        </w:rPr>
        <w:t xml:space="preserve"> en </w:t>
      </w:r>
      <w:r>
        <w:rPr>
          <w:b/>
          <w:bCs/>
          <w:sz w:val="20"/>
        </w:rPr>
        <w:t>e</w:t>
      </w:r>
      <w:r w:rsidRPr="00D43E6F">
        <w:rPr>
          <w:b/>
          <w:bCs/>
          <w:sz w:val="20"/>
        </w:rPr>
        <w:t>uros)</w:t>
      </w:r>
    </w:p>
    <w:p w14:paraId="02598083" w14:textId="77777777" w:rsidR="006220A2" w:rsidRPr="00452010" w:rsidRDefault="006220A2" w:rsidP="006220A2">
      <w:pPr>
        <w:rPr>
          <w:sz w:val="20"/>
        </w:rPr>
      </w:pPr>
    </w:p>
    <w:tbl>
      <w:tblPr>
        <w:tblW w:w="5000" w:type="pct"/>
        <w:tblCellMar>
          <w:left w:w="70" w:type="dxa"/>
          <w:right w:w="70" w:type="dxa"/>
        </w:tblCellMar>
        <w:tblLook w:val="04A0" w:firstRow="1" w:lastRow="0" w:firstColumn="1" w:lastColumn="0" w:noHBand="0" w:noVBand="1"/>
      </w:tblPr>
      <w:tblGrid>
        <w:gridCol w:w="4913"/>
        <w:gridCol w:w="764"/>
        <w:gridCol w:w="1764"/>
        <w:gridCol w:w="1764"/>
      </w:tblGrid>
      <w:tr w:rsidR="00801015" w:rsidRPr="00801015" w14:paraId="72994A19" w14:textId="77777777" w:rsidTr="001A7C10">
        <w:trPr>
          <w:trHeight w:val="238"/>
        </w:trPr>
        <w:tc>
          <w:tcPr>
            <w:tcW w:w="2669" w:type="pct"/>
            <w:tcBorders>
              <w:top w:val="single" w:sz="4" w:space="0" w:color="auto"/>
              <w:left w:val="nil"/>
              <w:bottom w:val="nil"/>
              <w:right w:val="nil"/>
            </w:tcBorders>
            <w:shd w:val="clear" w:color="auto" w:fill="F2F2F2"/>
            <w:noWrap/>
            <w:vAlign w:val="bottom"/>
            <w:hideMark/>
          </w:tcPr>
          <w:p w14:paraId="3EA3DA29"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01015">
              <w:rPr>
                <w:rFonts w:eastAsia="Times New Roman"/>
                <w:sz w:val="18"/>
                <w:szCs w:val="18"/>
                <w:bdr w:val="none" w:sz="0" w:space="0" w:color="auto"/>
                <w:lang w:eastAsia="es-ES"/>
              </w:rPr>
              <w:t> </w:t>
            </w:r>
          </w:p>
        </w:tc>
        <w:tc>
          <w:tcPr>
            <w:tcW w:w="415" w:type="pct"/>
            <w:tcBorders>
              <w:top w:val="single" w:sz="4" w:space="0" w:color="auto"/>
              <w:left w:val="nil"/>
              <w:bottom w:val="nil"/>
              <w:right w:val="nil"/>
            </w:tcBorders>
            <w:shd w:val="clear" w:color="auto" w:fill="F2F2F2"/>
            <w:noWrap/>
            <w:vAlign w:val="bottom"/>
            <w:hideMark/>
          </w:tcPr>
          <w:p w14:paraId="2EF5360F"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01015">
              <w:rPr>
                <w:rFonts w:eastAsia="Times New Roman"/>
                <w:sz w:val="18"/>
                <w:szCs w:val="18"/>
                <w:bdr w:val="none" w:sz="0" w:space="0" w:color="auto"/>
                <w:lang w:eastAsia="es-ES"/>
              </w:rPr>
              <w:t> </w:t>
            </w:r>
          </w:p>
        </w:tc>
        <w:tc>
          <w:tcPr>
            <w:tcW w:w="958" w:type="pct"/>
            <w:tcBorders>
              <w:top w:val="single" w:sz="4" w:space="0" w:color="auto"/>
              <w:left w:val="nil"/>
              <w:bottom w:val="nil"/>
              <w:right w:val="nil"/>
            </w:tcBorders>
            <w:shd w:val="clear" w:color="auto" w:fill="F2F2F2"/>
            <w:noWrap/>
            <w:vAlign w:val="center"/>
            <w:hideMark/>
          </w:tcPr>
          <w:p w14:paraId="10279BCB"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Al 31 de diciembre</w:t>
            </w:r>
          </w:p>
        </w:tc>
        <w:tc>
          <w:tcPr>
            <w:tcW w:w="958" w:type="pct"/>
            <w:tcBorders>
              <w:top w:val="single" w:sz="4" w:space="0" w:color="auto"/>
              <w:left w:val="nil"/>
              <w:bottom w:val="nil"/>
              <w:right w:val="nil"/>
            </w:tcBorders>
            <w:shd w:val="clear" w:color="auto" w:fill="F2F2F2"/>
            <w:noWrap/>
            <w:vAlign w:val="center"/>
            <w:hideMark/>
          </w:tcPr>
          <w:p w14:paraId="5A907304"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Al 31 de diciembre</w:t>
            </w:r>
          </w:p>
        </w:tc>
      </w:tr>
      <w:tr w:rsidR="00801015" w:rsidRPr="00801015" w14:paraId="43DBDFCA" w14:textId="77777777" w:rsidTr="001A7C10">
        <w:trPr>
          <w:trHeight w:val="238"/>
        </w:trPr>
        <w:tc>
          <w:tcPr>
            <w:tcW w:w="2669" w:type="pct"/>
            <w:tcBorders>
              <w:top w:val="nil"/>
              <w:left w:val="nil"/>
              <w:bottom w:val="nil"/>
              <w:right w:val="nil"/>
            </w:tcBorders>
            <w:shd w:val="clear" w:color="auto" w:fill="F2F2F2"/>
            <w:noWrap/>
            <w:vAlign w:val="center"/>
            <w:hideMark/>
          </w:tcPr>
          <w:p w14:paraId="7DBCA5A0"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CUENTA DE PÉRDIDAS Y GANANCIAS</w:t>
            </w:r>
          </w:p>
        </w:tc>
        <w:tc>
          <w:tcPr>
            <w:tcW w:w="415" w:type="pct"/>
            <w:tcBorders>
              <w:top w:val="single" w:sz="8" w:space="0" w:color="auto"/>
              <w:left w:val="nil"/>
              <w:bottom w:val="nil"/>
              <w:right w:val="nil"/>
            </w:tcBorders>
            <w:shd w:val="clear" w:color="auto" w:fill="F2F2F2"/>
            <w:noWrap/>
            <w:vAlign w:val="center"/>
            <w:hideMark/>
          </w:tcPr>
          <w:p w14:paraId="492AF7C4"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Nota</w:t>
            </w:r>
            <w:r w:rsidR="00065019">
              <w:rPr>
                <w:rFonts w:eastAsia="Times New Roman"/>
                <w:b/>
                <w:bCs/>
                <w:sz w:val="18"/>
                <w:szCs w:val="18"/>
                <w:bdr w:val="none" w:sz="0" w:space="0" w:color="auto"/>
                <w:lang w:eastAsia="es-ES"/>
              </w:rPr>
              <w:t>s</w:t>
            </w:r>
          </w:p>
        </w:tc>
        <w:tc>
          <w:tcPr>
            <w:tcW w:w="958" w:type="pct"/>
            <w:tcBorders>
              <w:top w:val="single" w:sz="8" w:space="0" w:color="auto"/>
              <w:left w:val="nil"/>
              <w:bottom w:val="nil"/>
              <w:right w:val="nil"/>
            </w:tcBorders>
            <w:shd w:val="clear" w:color="auto" w:fill="F2F2F2"/>
            <w:noWrap/>
            <w:vAlign w:val="center"/>
            <w:hideMark/>
          </w:tcPr>
          <w:p w14:paraId="106FF1CC"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2018</w:t>
            </w:r>
          </w:p>
        </w:tc>
        <w:tc>
          <w:tcPr>
            <w:tcW w:w="958" w:type="pct"/>
            <w:tcBorders>
              <w:top w:val="single" w:sz="8" w:space="0" w:color="auto"/>
              <w:left w:val="nil"/>
              <w:bottom w:val="nil"/>
              <w:right w:val="nil"/>
            </w:tcBorders>
            <w:shd w:val="clear" w:color="auto" w:fill="F2F2F2"/>
            <w:noWrap/>
            <w:vAlign w:val="center"/>
            <w:hideMark/>
          </w:tcPr>
          <w:p w14:paraId="319BDF8D"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2017</w:t>
            </w:r>
          </w:p>
        </w:tc>
      </w:tr>
      <w:tr w:rsidR="00801015" w:rsidRPr="00801015" w14:paraId="3C1853B1" w14:textId="77777777" w:rsidTr="003A4111">
        <w:trPr>
          <w:trHeight w:val="283"/>
        </w:trPr>
        <w:tc>
          <w:tcPr>
            <w:tcW w:w="2669" w:type="pct"/>
            <w:tcBorders>
              <w:top w:val="single" w:sz="8" w:space="0" w:color="auto"/>
              <w:left w:val="nil"/>
              <w:bottom w:val="nil"/>
              <w:right w:val="nil"/>
            </w:tcBorders>
            <w:shd w:val="clear" w:color="auto" w:fill="auto"/>
            <w:noWrap/>
            <w:vAlign w:val="center"/>
            <w:hideMark/>
          </w:tcPr>
          <w:p w14:paraId="652531BB"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u w:val="single"/>
                <w:bdr w:val="none" w:sz="0" w:space="0" w:color="auto"/>
                <w:lang w:eastAsia="es-ES"/>
              </w:rPr>
            </w:pPr>
            <w:r w:rsidRPr="00801015">
              <w:rPr>
                <w:rFonts w:eastAsia="Times New Roman"/>
                <w:b/>
                <w:bCs/>
                <w:sz w:val="18"/>
                <w:szCs w:val="18"/>
                <w:u w:val="single"/>
                <w:bdr w:val="none" w:sz="0" w:space="0" w:color="auto"/>
                <w:lang w:eastAsia="es-ES"/>
              </w:rPr>
              <w:t>OPERACIONES CONTINUADAS</w:t>
            </w:r>
          </w:p>
        </w:tc>
        <w:tc>
          <w:tcPr>
            <w:tcW w:w="415" w:type="pct"/>
            <w:tcBorders>
              <w:top w:val="single" w:sz="8" w:space="0" w:color="auto"/>
              <w:left w:val="nil"/>
              <w:bottom w:val="nil"/>
              <w:right w:val="nil"/>
            </w:tcBorders>
            <w:shd w:val="clear" w:color="auto" w:fill="auto"/>
            <w:noWrap/>
            <w:vAlign w:val="center"/>
            <w:hideMark/>
          </w:tcPr>
          <w:p w14:paraId="5EF1BB9B"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01015">
              <w:rPr>
                <w:rFonts w:eastAsia="Times New Roman"/>
                <w:sz w:val="18"/>
                <w:szCs w:val="18"/>
                <w:bdr w:val="none" w:sz="0" w:space="0" w:color="auto"/>
                <w:lang w:eastAsia="es-ES"/>
              </w:rPr>
              <w:t> </w:t>
            </w:r>
          </w:p>
        </w:tc>
        <w:tc>
          <w:tcPr>
            <w:tcW w:w="958" w:type="pct"/>
            <w:tcBorders>
              <w:top w:val="single" w:sz="8" w:space="0" w:color="auto"/>
              <w:left w:val="nil"/>
              <w:bottom w:val="nil"/>
              <w:right w:val="nil"/>
            </w:tcBorders>
            <w:shd w:val="clear" w:color="auto" w:fill="auto"/>
            <w:noWrap/>
            <w:vAlign w:val="center"/>
            <w:hideMark/>
          </w:tcPr>
          <w:p w14:paraId="7AB71FFE"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01015">
              <w:rPr>
                <w:rFonts w:eastAsia="Times New Roman"/>
                <w:sz w:val="18"/>
                <w:szCs w:val="18"/>
                <w:bdr w:val="none" w:sz="0" w:space="0" w:color="auto"/>
                <w:lang w:eastAsia="es-ES"/>
              </w:rPr>
              <w:t> </w:t>
            </w:r>
          </w:p>
        </w:tc>
        <w:tc>
          <w:tcPr>
            <w:tcW w:w="958" w:type="pct"/>
            <w:tcBorders>
              <w:top w:val="single" w:sz="8" w:space="0" w:color="auto"/>
              <w:left w:val="nil"/>
              <w:bottom w:val="nil"/>
              <w:right w:val="nil"/>
            </w:tcBorders>
            <w:shd w:val="clear" w:color="auto" w:fill="auto"/>
            <w:noWrap/>
            <w:vAlign w:val="center"/>
            <w:hideMark/>
          </w:tcPr>
          <w:p w14:paraId="5E5348AF"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01015">
              <w:rPr>
                <w:rFonts w:eastAsia="Times New Roman"/>
                <w:sz w:val="18"/>
                <w:szCs w:val="18"/>
                <w:bdr w:val="none" w:sz="0" w:space="0" w:color="auto"/>
                <w:lang w:eastAsia="es-ES"/>
              </w:rPr>
              <w:t> </w:t>
            </w:r>
          </w:p>
        </w:tc>
      </w:tr>
      <w:tr w:rsidR="00801015" w:rsidRPr="00801015" w14:paraId="38E57BD3" w14:textId="77777777" w:rsidTr="003A4111">
        <w:trPr>
          <w:trHeight w:val="283"/>
        </w:trPr>
        <w:tc>
          <w:tcPr>
            <w:tcW w:w="2669" w:type="pct"/>
            <w:tcBorders>
              <w:top w:val="nil"/>
              <w:left w:val="nil"/>
              <w:bottom w:val="nil"/>
              <w:right w:val="nil"/>
            </w:tcBorders>
            <w:shd w:val="clear" w:color="auto" w:fill="auto"/>
            <w:noWrap/>
            <w:vAlign w:val="center"/>
            <w:hideMark/>
          </w:tcPr>
          <w:p w14:paraId="0C4F7948"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Importe neto de la cifra de negocios</w:t>
            </w:r>
          </w:p>
        </w:tc>
        <w:tc>
          <w:tcPr>
            <w:tcW w:w="415" w:type="pct"/>
            <w:tcBorders>
              <w:top w:val="nil"/>
              <w:left w:val="nil"/>
              <w:bottom w:val="nil"/>
              <w:right w:val="nil"/>
            </w:tcBorders>
            <w:shd w:val="clear" w:color="auto" w:fill="auto"/>
            <w:noWrap/>
            <w:vAlign w:val="center"/>
            <w:hideMark/>
          </w:tcPr>
          <w:p w14:paraId="5FEC79AC"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12a</w:t>
            </w:r>
          </w:p>
        </w:tc>
        <w:tc>
          <w:tcPr>
            <w:tcW w:w="958" w:type="pct"/>
            <w:tcBorders>
              <w:top w:val="nil"/>
              <w:left w:val="nil"/>
              <w:bottom w:val="nil"/>
              <w:right w:val="nil"/>
            </w:tcBorders>
            <w:shd w:val="clear" w:color="auto" w:fill="auto"/>
            <w:noWrap/>
            <w:vAlign w:val="center"/>
            <w:hideMark/>
          </w:tcPr>
          <w:p w14:paraId="0E04B65F"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90.434,00</w:t>
            </w:r>
          </w:p>
        </w:tc>
        <w:tc>
          <w:tcPr>
            <w:tcW w:w="958" w:type="pct"/>
            <w:tcBorders>
              <w:top w:val="nil"/>
              <w:left w:val="nil"/>
              <w:bottom w:val="nil"/>
              <w:right w:val="nil"/>
            </w:tcBorders>
            <w:shd w:val="clear" w:color="auto" w:fill="auto"/>
            <w:noWrap/>
            <w:vAlign w:val="center"/>
            <w:hideMark/>
          </w:tcPr>
          <w:p w14:paraId="65D509CA"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52.934,00</w:t>
            </w:r>
          </w:p>
        </w:tc>
      </w:tr>
      <w:tr w:rsidR="00801015" w:rsidRPr="00801015" w14:paraId="2CE8CD40" w14:textId="77777777" w:rsidTr="003A4111">
        <w:trPr>
          <w:trHeight w:val="283"/>
        </w:trPr>
        <w:tc>
          <w:tcPr>
            <w:tcW w:w="2669" w:type="pct"/>
            <w:tcBorders>
              <w:top w:val="nil"/>
              <w:left w:val="nil"/>
              <w:bottom w:val="nil"/>
              <w:right w:val="nil"/>
            </w:tcBorders>
            <w:shd w:val="clear" w:color="auto" w:fill="auto"/>
            <w:noWrap/>
            <w:vAlign w:val="center"/>
            <w:hideMark/>
          </w:tcPr>
          <w:p w14:paraId="56CC27A4"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01015">
              <w:rPr>
                <w:rFonts w:eastAsia="Times New Roman"/>
                <w:sz w:val="18"/>
                <w:szCs w:val="18"/>
                <w:bdr w:val="none" w:sz="0" w:space="0" w:color="auto"/>
                <w:lang w:eastAsia="es-ES"/>
              </w:rPr>
              <w:t>Prestaciones de servicios</w:t>
            </w:r>
          </w:p>
        </w:tc>
        <w:tc>
          <w:tcPr>
            <w:tcW w:w="415" w:type="pct"/>
            <w:tcBorders>
              <w:top w:val="nil"/>
              <w:left w:val="nil"/>
              <w:bottom w:val="nil"/>
              <w:right w:val="nil"/>
            </w:tcBorders>
            <w:shd w:val="clear" w:color="auto" w:fill="auto"/>
            <w:noWrap/>
            <w:vAlign w:val="center"/>
            <w:hideMark/>
          </w:tcPr>
          <w:p w14:paraId="71199E2F"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958" w:type="pct"/>
            <w:tcBorders>
              <w:top w:val="nil"/>
              <w:left w:val="nil"/>
              <w:bottom w:val="nil"/>
              <w:right w:val="nil"/>
            </w:tcBorders>
            <w:shd w:val="clear" w:color="auto" w:fill="auto"/>
            <w:noWrap/>
            <w:vAlign w:val="center"/>
            <w:hideMark/>
          </w:tcPr>
          <w:p w14:paraId="7ED66895"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01015">
              <w:rPr>
                <w:rFonts w:eastAsia="Times New Roman"/>
                <w:sz w:val="18"/>
                <w:szCs w:val="18"/>
                <w:bdr w:val="none" w:sz="0" w:space="0" w:color="auto"/>
                <w:lang w:eastAsia="es-ES"/>
              </w:rPr>
              <w:t>90.434,00</w:t>
            </w:r>
          </w:p>
        </w:tc>
        <w:tc>
          <w:tcPr>
            <w:tcW w:w="958" w:type="pct"/>
            <w:tcBorders>
              <w:top w:val="nil"/>
              <w:left w:val="nil"/>
              <w:bottom w:val="nil"/>
              <w:right w:val="nil"/>
            </w:tcBorders>
            <w:shd w:val="clear" w:color="auto" w:fill="auto"/>
            <w:noWrap/>
            <w:vAlign w:val="center"/>
            <w:hideMark/>
          </w:tcPr>
          <w:p w14:paraId="0277118C"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01015">
              <w:rPr>
                <w:rFonts w:eastAsia="Times New Roman"/>
                <w:sz w:val="18"/>
                <w:szCs w:val="18"/>
                <w:bdr w:val="none" w:sz="0" w:space="0" w:color="auto"/>
                <w:lang w:eastAsia="es-ES"/>
              </w:rPr>
              <w:t>52.934,00</w:t>
            </w:r>
          </w:p>
        </w:tc>
      </w:tr>
      <w:tr w:rsidR="00801015" w:rsidRPr="00801015" w14:paraId="25E13776" w14:textId="77777777" w:rsidTr="003A4111">
        <w:trPr>
          <w:trHeight w:val="283"/>
        </w:trPr>
        <w:tc>
          <w:tcPr>
            <w:tcW w:w="2669" w:type="pct"/>
            <w:tcBorders>
              <w:top w:val="nil"/>
              <w:left w:val="nil"/>
              <w:bottom w:val="nil"/>
              <w:right w:val="nil"/>
            </w:tcBorders>
            <w:shd w:val="clear" w:color="auto" w:fill="auto"/>
            <w:noWrap/>
            <w:vAlign w:val="center"/>
            <w:hideMark/>
          </w:tcPr>
          <w:p w14:paraId="7A16DC3A"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Aprovisionamientos</w:t>
            </w:r>
          </w:p>
        </w:tc>
        <w:tc>
          <w:tcPr>
            <w:tcW w:w="415" w:type="pct"/>
            <w:tcBorders>
              <w:top w:val="nil"/>
              <w:left w:val="nil"/>
              <w:bottom w:val="nil"/>
              <w:right w:val="nil"/>
            </w:tcBorders>
            <w:shd w:val="clear" w:color="auto" w:fill="auto"/>
            <w:noWrap/>
            <w:vAlign w:val="center"/>
            <w:hideMark/>
          </w:tcPr>
          <w:p w14:paraId="5A0B94F4"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12b</w:t>
            </w:r>
          </w:p>
        </w:tc>
        <w:tc>
          <w:tcPr>
            <w:tcW w:w="958" w:type="pct"/>
            <w:tcBorders>
              <w:top w:val="nil"/>
              <w:left w:val="nil"/>
              <w:bottom w:val="nil"/>
              <w:right w:val="nil"/>
            </w:tcBorders>
            <w:shd w:val="clear" w:color="auto" w:fill="auto"/>
            <w:noWrap/>
            <w:vAlign w:val="center"/>
            <w:hideMark/>
          </w:tcPr>
          <w:p w14:paraId="095E4676"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(19.532.368,51)</w:t>
            </w:r>
          </w:p>
        </w:tc>
        <w:tc>
          <w:tcPr>
            <w:tcW w:w="958" w:type="pct"/>
            <w:tcBorders>
              <w:top w:val="nil"/>
              <w:left w:val="nil"/>
              <w:bottom w:val="nil"/>
              <w:right w:val="nil"/>
            </w:tcBorders>
            <w:shd w:val="clear" w:color="auto" w:fill="auto"/>
            <w:noWrap/>
            <w:vAlign w:val="center"/>
            <w:hideMark/>
          </w:tcPr>
          <w:p w14:paraId="00C1CCFA"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(18.640.577,74)</w:t>
            </w:r>
          </w:p>
        </w:tc>
      </w:tr>
      <w:tr w:rsidR="00801015" w:rsidRPr="00801015" w14:paraId="647F65F5" w14:textId="77777777" w:rsidTr="003A4111">
        <w:trPr>
          <w:trHeight w:val="283"/>
        </w:trPr>
        <w:tc>
          <w:tcPr>
            <w:tcW w:w="2669" w:type="pct"/>
            <w:tcBorders>
              <w:top w:val="nil"/>
              <w:left w:val="nil"/>
              <w:bottom w:val="nil"/>
              <w:right w:val="nil"/>
            </w:tcBorders>
            <w:shd w:val="clear" w:color="auto" w:fill="auto"/>
            <w:noWrap/>
            <w:vAlign w:val="center"/>
            <w:hideMark/>
          </w:tcPr>
          <w:p w14:paraId="4C197CE3"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01015">
              <w:rPr>
                <w:rFonts w:eastAsia="Times New Roman"/>
                <w:sz w:val="18"/>
                <w:szCs w:val="18"/>
                <w:bdr w:val="none" w:sz="0" w:space="0" w:color="auto"/>
                <w:lang w:eastAsia="es-ES"/>
              </w:rPr>
              <w:t>Trabajos realizados por otras empresas</w:t>
            </w:r>
          </w:p>
        </w:tc>
        <w:tc>
          <w:tcPr>
            <w:tcW w:w="415" w:type="pct"/>
            <w:tcBorders>
              <w:top w:val="nil"/>
              <w:left w:val="nil"/>
              <w:bottom w:val="nil"/>
              <w:right w:val="nil"/>
            </w:tcBorders>
            <w:shd w:val="clear" w:color="auto" w:fill="auto"/>
            <w:noWrap/>
            <w:vAlign w:val="center"/>
            <w:hideMark/>
          </w:tcPr>
          <w:p w14:paraId="08D8FFB3"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958" w:type="pct"/>
            <w:tcBorders>
              <w:top w:val="nil"/>
              <w:left w:val="nil"/>
              <w:bottom w:val="nil"/>
              <w:right w:val="nil"/>
            </w:tcBorders>
            <w:shd w:val="clear" w:color="auto" w:fill="auto"/>
            <w:noWrap/>
            <w:vAlign w:val="center"/>
            <w:hideMark/>
          </w:tcPr>
          <w:p w14:paraId="07D62F20"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01015">
              <w:rPr>
                <w:rFonts w:eastAsia="Times New Roman"/>
                <w:sz w:val="18"/>
                <w:szCs w:val="18"/>
                <w:bdr w:val="none" w:sz="0" w:space="0" w:color="auto"/>
                <w:lang w:eastAsia="es-ES"/>
              </w:rPr>
              <w:t>(19.532.368,51)</w:t>
            </w:r>
          </w:p>
        </w:tc>
        <w:tc>
          <w:tcPr>
            <w:tcW w:w="958" w:type="pct"/>
            <w:tcBorders>
              <w:top w:val="nil"/>
              <w:left w:val="nil"/>
              <w:bottom w:val="nil"/>
              <w:right w:val="nil"/>
            </w:tcBorders>
            <w:shd w:val="clear" w:color="auto" w:fill="auto"/>
            <w:noWrap/>
            <w:vAlign w:val="center"/>
            <w:hideMark/>
          </w:tcPr>
          <w:p w14:paraId="3EDAA1D6"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01015">
              <w:rPr>
                <w:rFonts w:eastAsia="Times New Roman"/>
                <w:sz w:val="18"/>
                <w:szCs w:val="18"/>
                <w:bdr w:val="none" w:sz="0" w:space="0" w:color="auto"/>
                <w:lang w:eastAsia="es-ES"/>
              </w:rPr>
              <w:t>(18.640.577,74)</w:t>
            </w:r>
          </w:p>
        </w:tc>
      </w:tr>
      <w:tr w:rsidR="00801015" w:rsidRPr="00801015" w14:paraId="7C680D38" w14:textId="77777777" w:rsidTr="003A4111">
        <w:trPr>
          <w:trHeight w:val="283"/>
        </w:trPr>
        <w:tc>
          <w:tcPr>
            <w:tcW w:w="2669" w:type="pct"/>
            <w:tcBorders>
              <w:top w:val="nil"/>
              <w:left w:val="nil"/>
              <w:bottom w:val="nil"/>
              <w:right w:val="nil"/>
            </w:tcBorders>
            <w:shd w:val="clear" w:color="auto" w:fill="auto"/>
            <w:noWrap/>
            <w:vAlign w:val="center"/>
            <w:hideMark/>
          </w:tcPr>
          <w:p w14:paraId="06775255"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Otros ingresos de explotación</w:t>
            </w:r>
          </w:p>
        </w:tc>
        <w:tc>
          <w:tcPr>
            <w:tcW w:w="415" w:type="pct"/>
            <w:tcBorders>
              <w:top w:val="nil"/>
              <w:left w:val="nil"/>
              <w:bottom w:val="nil"/>
              <w:right w:val="nil"/>
            </w:tcBorders>
            <w:shd w:val="clear" w:color="auto" w:fill="auto"/>
            <w:noWrap/>
            <w:vAlign w:val="center"/>
            <w:hideMark/>
          </w:tcPr>
          <w:p w14:paraId="2A9E30B1"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12a</w:t>
            </w:r>
          </w:p>
        </w:tc>
        <w:tc>
          <w:tcPr>
            <w:tcW w:w="958" w:type="pct"/>
            <w:tcBorders>
              <w:top w:val="nil"/>
              <w:left w:val="nil"/>
              <w:bottom w:val="nil"/>
              <w:right w:val="nil"/>
            </w:tcBorders>
            <w:shd w:val="clear" w:color="auto" w:fill="auto"/>
            <w:noWrap/>
            <w:vAlign w:val="center"/>
            <w:hideMark/>
          </w:tcPr>
          <w:p w14:paraId="11BEB76B"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19.499.019,99</w:t>
            </w:r>
          </w:p>
        </w:tc>
        <w:tc>
          <w:tcPr>
            <w:tcW w:w="958" w:type="pct"/>
            <w:tcBorders>
              <w:top w:val="nil"/>
              <w:left w:val="nil"/>
              <w:bottom w:val="nil"/>
              <w:right w:val="nil"/>
            </w:tcBorders>
            <w:shd w:val="clear" w:color="auto" w:fill="auto"/>
            <w:noWrap/>
            <w:vAlign w:val="center"/>
            <w:hideMark/>
          </w:tcPr>
          <w:p w14:paraId="5C8F316D"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18.627.483,01</w:t>
            </w:r>
          </w:p>
        </w:tc>
      </w:tr>
      <w:tr w:rsidR="00801015" w:rsidRPr="00801015" w14:paraId="4B361424" w14:textId="77777777" w:rsidTr="003A4111">
        <w:trPr>
          <w:trHeight w:val="283"/>
        </w:trPr>
        <w:tc>
          <w:tcPr>
            <w:tcW w:w="2669" w:type="pct"/>
            <w:tcBorders>
              <w:top w:val="nil"/>
              <w:left w:val="nil"/>
              <w:bottom w:val="nil"/>
              <w:right w:val="nil"/>
            </w:tcBorders>
            <w:shd w:val="clear" w:color="auto" w:fill="auto"/>
            <w:noWrap/>
            <w:vAlign w:val="center"/>
            <w:hideMark/>
          </w:tcPr>
          <w:p w14:paraId="3ED00964"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01015">
              <w:rPr>
                <w:rFonts w:eastAsia="Times New Roman"/>
                <w:sz w:val="18"/>
                <w:szCs w:val="18"/>
                <w:bdr w:val="none" w:sz="0" w:space="0" w:color="auto"/>
                <w:lang w:eastAsia="es-ES"/>
              </w:rPr>
              <w:t>Ingresos accesorios y otros de gestión corriente</w:t>
            </w:r>
          </w:p>
        </w:tc>
        <w:tc>
          <w:tcPr>
            <w:tcW w:w="415" w:type="pct"/>
            <w:tcBorders>
              <w:top w:val="nil"/>
              <w:left w:val="nil"/>
              <w:bottom w:val="nil"/>
              <w:right w:val="nil"/>
            </w:tcBorders>
            <w:shd w:val="clear" w:color="auto" w:fill="auto"/>
            <w:noWrap/>
            <w:vAlign w:val="center"/>
            <w:hideMark/>
          </w:tcPr>
          <w:p w14:paraId="4E051878"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958" w:type="pct"/>
            <w:tcBorders>
              <w:top w:val="nil"/>
              <w:left w:val="nil"/>
              <w:bottom w:val="nil"/>
              <w:right w:val="nil"/>
            </w:tcBorders>
            <w:shd w:val="clear" w:color="auto" w:fill="auto"/>
            <w:noWrap/>
            <w:vAlign w:val="center"/>
            <w:hideMark/>
          </w:tcPr>
          <w:p w14:paraId="348896F3"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01015">
              <w:rPr>
                <w:rFonts w:eastAsia="Times New Roman"/>
                <w:sz w:val="18"/>
                <w:szCs w:val="18"/>
                <w:bdr w:val="none" w:sz="0" w:space="0" w:color="auto"/>
                <w:lang w:eastAsia="es-ES"/>
              </w:rPr>
              <w:t>481.061,53</w:t>
            </w:r>
          </w:p>
        </w:tc>
        <w:tc>
          <w:tcPr>
            <w:tcW w:w="958" w:type="pct"/>
            <w:tcBorders>
              <w:top w:val="nil"/>
              <w:left w:val="nil"/>
              <w:bottom w:val="nil"/>
              <w:right w:val="nil"/>
            </w:tcBorders>
            <w:shd w:val="clear" w:color="auto" w:fill="auto"/>
            <w:noWrap/>
            <w:vAlign w:val="center"/>
            <w:hideMark/>
          </w:tcPr>
          <w:p w14:paraId="7713BC92"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01015">
              <w:rPr>
                <w:rFonts w:eastAsia="Times New Roman"/>
                <w:sz w:val="18"/>
                <w:szCs w:val="18"/>
                <w:bdr w:val="none" w:sz="0" w:space="0" w:color="auto"/>
                <w:lang w:eastAsia="es-ES"/>
              </w:rPr>
              <w:t>435.155,25</w:t>
            </w:r>
          </w:p>
        </w:tc>
      </w:tr>
      <w:tr w:rsidR="00801015" w:rsidRPr="00801015" w14:paraId="649CA587" w14:textId="77777777" w:rsidTr="003A4111">
        <w:trPr>
          <w:trHeight w:val="283"/>
        </w:trPr>
        <w:tc>
          <w:tcPr>
            <w:tcW w:w="2669" w:type="pct"/>
            <w:tcBorders>
              <w:top w:val="nil"/>
              <w:left w:val="nil"/>
              <w:bottom w:val="nil"/>
              <w:right w:val="nil"/>
            </w:tcBorders>
            <w:shd w:val="clear" w:color="auto" w:fill="auto"/>
            <w:noWrap/>
            <w:vAlign w:val="center"/>
            <w:hideMark/>
          </w:tcPr>
          <w:p w14:paraId="74AF8084"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01015">
              <w:rPr>
                <w:rFonts w:eastAsia="Times New Roman"/>
                <w:sz w:val="18"/>
                <w:szCs w:val="18"/>
                <w:bdr w:val="none" w:sz="0" w:space="0" w:color="auto"/>
                <w:lang w:eastAsia="es-ES"/>
              </w:rPr>
              <w:t>Subvenciones de explotación incorporadas al resultado</w:t>
            </w:r>
          </w:p>
        </w:tc>
        <w:tc>
          <w:tcPr>
            <w:tcW w:w="415" w:type="pct"/>
            <w:tcBorders>
              <w:top w:val="nil"/>
              <w:left w:val="nil"/>
              <w:bottom w:val="nil"/>
              <w:right w:val="nil"/>
            </w:tcBorders>
            <w:shd w:val="clear" w:color="auto" w:fill="auto"/>
            <w:noWrap/>
            <w:vAlign w:val="center"/>
            <w:hideMark/>
          </w:tcPr>
          <w:p w14:paraId="0BE2472F"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958" w:type="pct"/>
            <w:tcBorders>
              <w:top w:val="nil"/>
              <w:left w:val="nil"/>
              <w:bottom w:val="nil"/>
              <w:right w:val="nil"/>
            </w:tcBorders>
            <w:shd w:val="clear" w:color="auto" w:fill="auto"/>
            <w:noWrap/>
            <w:vAlign w:val="center"/>
            <w:hideMark/>
          </w:tcPr>
          <w:p w14:paraId="02D19A0A"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01015">
              <w:rPr>
                <w:rFonts w:eastAsia="Times New Roman"/>
                <w:sz w:val="18"/>
                <w:szCs w:val="18"/>
                <w:bdr w:val="none" w:sz="0" w:space="0" w:color="auto"/>
                <w:lang w:eastAsia="es-ES"/>
              </w:rPr>
              <w:t>19.017.958,46</w:t>
            </w:r>
          </w:p>
        </w:tc>
        <w:tc>
          <w:tcPr>
            <w:tcW w:w="958" w:type="pct"/>
            <w:tcBorders>
              <w:top w:val="nil"/>
              <w:left w:val="nil"/>
              <w:bottom w:val="nil"/>
              <w:right w:val="nil"/>
            </w:tcBorders>
            <w:shd w:val="clear" w:color="auto" w:fill="auto"/>
            <w:noWrap/>
            <w:vAlign w:val="center"/>
            <w:hideMark/>
          </w:tcPr>
          <w:p w14:paraId="3E0F1B71"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01015">
              <w:rPr>
                <w:rFonts w:eastAsia="Times New Roman"/>
                <w:sz w:val="18"/>
                <w:szCs w:val="18"/>
                <w:bdr w:val="none" w:sz="0" w:space="0" w:color="auto"/>
                <w:lang w:eastAsia="es-ES"/>
              </w:rPr>
              <w:t>18.192.327,76</w:t>
            </w:r>
          </w:p>
        </w:tc>
      </w:tr>
      <w:tr w:rsidR="00801015" w:rsidRPr="00801015" w14:paraId="0E6DDA57" w14:textId="77777777" w:rsidTr="003A4111">
        <w:trPr>
          <w:trHeight w:val="283"/>
        </w:trPr>
        <w:tc>
          <w:tcPr>
            <w:tcW w:w="2669" w:type="pct"/>
            <w:tcBorders>
              <w:top w:val="nil"/>
              <w:left w:val="nil"/>
              <w:bottom w:val="nil"/>
              <w:right w:val="nil"/>
            </w:tcBorders>
            <w:shd w:val="clear" w:color="auto" w:fill="auto"/>
            <w:noWrap/>
            <w:vAlign w:val="center"/>
            <w:hideMark/>
          </w:tcPr>
          <w:p w14:paraId="688716F7"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Gastos de personal</w:t>
            </w:r>
          </w:p>
        </w:tc>
        <w:tc>
          <w:tcPr>
            <w:tcW w:w="415" w:type="pct"/>
            <w:tcBorders>
              <w:top w:val="nil"/>
              <w:left w:val="nil"/>
              <w:bottom w:val="nil"/>
              <w:right w:val="nil"/>
            </w:tcBorders>
            <w:shd w:val="clear" w:color="auto" w:fill="auto"/>
            <w:noWrap/>
            <w:vAlign w:val="center"/>
            <w:hideMark/>
          </w:tcPr>
          <w:p w14:paraId="2188E34A"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12c</w:t>
            </w:r>
          </w:p>
        </w:tc>
        <w:tc>
          <w:tcPr>
            <w:tcW w:w="958" w:type="pct"/>
            <w:tcBorders>
              <w:top w:val="nil"/>
              <w:left w:val="nil"/>
              <w:bottom w:val="nil"/>
              <w:right w:val="nil"/>
            </w:tcBorders>
            <w:shd w:val="clear" w:color="auto" w:fill="auto"/>
            <w:noWrap/>
            <w:vAlign w:val="center"/>
            <w:hideMark/>
          </w:tcPr>
          <w:p w14:paraId="1B845465"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(1.882.764,81)</w:t>
            </w:r>
          </w:p>
        </w:tc>
        <w:tc>
          <w:tcPr>
            <w:tcW w:w="958" w:type="pct"/>
            <w:tcBorders>
              <w:top w:val="nil"/>
              <w:left w:val="nil"/>
              <w:bottom w:val="nil"/>
              <w:right w:val="nil"/>
            </w:tcBorders>
            <w:shd w:val="clear" w:color="auto" w:fill="auto"/>
            <w:noWrap/>
            <w:vAlign w:val="center"/>
            <w:hideMark/>
          </w:tcPr>
          <w:p w14:paraId="3EA6573F"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(1.839.296,59)</w:t>
            </w:r>
          </w:p>
        </w:tc>
      </w:tr>
      <w:tr w:rsidR="00801015" w:rsidRPr="00801015" w14:paraId="4F82806C" w14:textId="77777777" w:rsidTr="003A4111">
        <w:trPr>
          <w:trHeight w:val="283"/>
        </w:trPr>
        <w:tc>
          <w:tcPr>
            <w:tcW w:w="2669" w:type="pct"/>
            <w:tcBorders>
              <w:top w:val="nil"/>
              <w:left w:val="nil"/>
              <w:bottom w:val="nil"/>
              <w:right w:val="nil"/>
            </w:tcBorders>
            <w:shd w:val="clear" w:color="auto" w:fill="auto"/>
            <w:noWrap/>
            <w:vAlign w:val="center"/>
            <w:hideMark/>
          </w:tcPr>
          <w:p w14:paraId="275DF5E7"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01015">
              <w:rPr>
                <w:rFonts w:eastAsia="Times New Roman"/>
                <w:sz w:val="18"/>
                <w:szCs w:val="18"/>
                <w:bdr w:val="none" w:sz="0" w:space="0" w:color="auto"/>
                <w:lang w:eastAsia="es-ES"/>
              </w:rPr>
              <w:t>Sueldos, salarios y asimilados</w:t>
            </w:r>
          </w:p>
        </w:tc>
        <w:tc>
          <w:tcPr>
            <w:tcW w:w="415" w:type="pct"/>
            <w:tcBorders>
              <w:top w:val="nil"/>
              <w:left w:val="nil"/>
              <w:bottom w:val="nil"/>
              <w:right w:val="nil"/>
            </w:tcBorders>
            <w:shd w:val="clear" w:color="auto" w:fill="auto"/>
            <w:noWrap/>
            <w:vAlign w:val="center"/>
            <w:hideMark/>
          </w:tcPr>
          <w:p w14:paraId="5AAF5E88"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958" w:type="pct"/>
            <w:tcBorders>
              <w:top w:val="nil"/>
              <w:left w:val="nil"/>
              <w:bottom w:val="nil"/>
              <w:right w:val="nil"/>
            </w:tcBorders>
            <w:shd w:val="clear" w:color="auto" w:fill="auto"/>
            <w:noWrap/>
            <w:vAlign w:val="center"/>
            <w:hideMark/>
          </w:tcPr>
          <w:p w14:paraId="14CA696A"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01015">
              <w:rPr>
                <w:rFonts w:eastAsia="Times New Roman"/>
                <w:sz w:val="18"/>
                <w:szCs w:val="18"/>
                <w:bdr w:val="none" w:sz="0" w:space="0" w:color="auto"/>
                <w:lang w:eastAsia="es-ES"/>
              </w:rPr>
              <w:t>(1.472.569,97)</w:t>
            </w:r>
          </w:p>
        </w:tc>
        <w:tc>
          <w:tcPr>
            <w:tcW w:w="958" w:type="pct"/>
            <w:tcBorders>
              <w:top w:val="nil"/>
              <w:left w:val="nil"/>
              <w:bottom w:val="nil"/>
              <w:right w:val="nil"/>
            </w:tcBorders>
            <w:shd w:val="clear" w:color="auto" w:fill="auto"/>
            <w:noWrap/>
            <w:vAlign w:val="center"/>
            <w:hideMark/>
          </w:tcPr>
          <w:p w14:paraId="343AD177"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01015">
              <w:rPr>
                <w:rFonts w:eastAsia="Times New Roman"/>
                <w:sz w:val="18"/>
                <w:szCs w:val="18"/>
                <w:bdr w:val="none" w:sz="0" w:space="0" w:color="auto"/>
                <w:lang w:eastAsia="es-ES"/>
              </w:rPr>
              <w:t>(1.439.718,03)</w:t>
            </w:r>
          </w:p>
        </w:tc>
      </w:tr>
      <w:tr w:rsidR="00801015" w:rsidRPr="00801015" w14:paraId="2EB93932" w14:textId="77777777" w:rsidTr="003A4111">
        <w:trPr>
          <w:trHeight w:val="283"/>
        </w:trPr>
        <w:tc>
          <w:tcPr>
            <w:tcW w:w="2669" w:type="pct"/>
            <w:tcBorders>
              <w:top w:val="nil"/>
              <w:left w:val="nil"/>
              <w:bottom w:val="nil"/>
              <w:right w:val="nil"/>
            </w:tcBorders>
            <w:shd w:val="clear" w:color="auto" w:fill="auto"/>
            <w:noWrap/>
            <w:vAlign w:val="center"/>
            <w:hideMark/>
          </w:tcPr>
          <w:p w14:paraId="5C857FEE"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01015">
              <w:rPr>
                <w:rFonts w:eastAsia="Times New Roman"/>
                <w:sz w:val="18"/>
                <w:szCs w:val="18"/>
                <w:bdr w:val="none" w:sz="0" w:space="0" w:color="auto"/>
                <w:lang w:eastAsia="es-ES"/>
              </w:rPr>
              <w:t>Cargas sociales</w:t>
            </w:r>
          </w:p>
        </w:tc>
        <w:tc>
          <w:tcPr>
            <w:tcW w:w="415" w:type="pct"/>
            <w:tcBorders>
              <w:top w:val="nil"/>
              <w:left w:val="nil"/>
              <w:bottom w:val="nil"/>
              <w:right w:val="nil"/>
            </w:tcBorders>
            <w:shd w:val="clear" w:color="auto" w:fill="auto"/>
            <w:noWrap/>
            <w:vAlign w:val="center"/>
            <w:hideMark/>
          </w:tcPr>
          <w:p w14:paraId="0889BF5B"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958" w:type="pct"/>
            <w:tcBorders>
              <w:top w:val="nil"/>
              <w:left w:val="nil"/>
              <w:bottom w:val="nil"/>
              <w:right w:val="nil"/>
            </w:tcBorders>
            <w:shd w:val="clear" w:color="auto" w:fill="auto"/>
            <w:noWrap/>
            <w:vAlign w:val="center"/>
            <w:hideMark/>
          </w:tcPr>
          <w:p w14:paraId="277EBD22"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01015">
              <w:rPr>
                <w:rFonts w:eastAsia="Times New Roman"/>
                <w:sz w:val="18"/>
                <w:szCs w:val="18"/>
                <w:bdr w:val="none" w:sz="0" w:space="0" w:color="auto"/>
                <w:lang w:eastAsia="es-ES"/>
              </w:rPr>
              <w:t>(410.194,84)</w:t>
            </w:r>
          </w:p>
        </w:tc>
        <w:tc>
          <w:tcPr>
            <w:tcW w:w="958" w:type="pct"/>
            <w:tcBorders>
              <w:top w:val="nil"/>
              <w:left w:val="nil"/>
              <w:bottom w:val="nil"/>
              <w:right w:val="nil"/>
            </w:tcBorders>
            <w:shd w:val="clear" w:color="auto" w:fill="auto"/>
            <w:noWrap/>
            <w:vAlign w:val="center"/>
            <w:hideMark/>
          </w:tcPr>
          <w:p w14:paraId="442A883C"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01015">
              <w:rPr>
                <w:rFonts w:eastAsia="Times New Roman"/>
                <w:sz w:val="18"/>
                <w:szCs w:val="18"/>
                <w:bdr w:val="none" w:sz="0" w:space="0" w:color="auto"/>
                <w:lang w:eastAsia="es-ES"/>
              </w:rPr>
              <w:t>(399.578,56)</w:t>
            </w:r>
          </w:p>
        </w:tc>
      </w:tr>
      <w:tr w:rsidR="00801015" w:rsidRPr="00801015" w14:paraId="7B071906" w14:textId="77777777" w:rsidTr="003A4111">
        <w:trPr>
          <w:trHeight w:val="283"/>
        </w:trPr>
        <w:tc>
          <w:tcPr>
            <w:tcW w:w="2669" w:type="pct"/>
            <w:tcBorders>
              <w:top w:val="nil"/>
              <w:left w:val="nil"/>
              <w:bottom w:val="nil"/>
              <w:right w:val="nil"/>
            </w:tcBorders>
            <w:shd w:val="clear" w:color="auto" w:fill="auto"/>
            <w:noWrap/>
            <w:vAlign w:val="center"/>
            <w:hideMark/>
          </w:tcPr>
          <w:p w14:paraId="12D3ED03"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Otros gastos de explotación</w:t>
            </w:r>
          </w:p>
        </w:tc>
        <w:tc>
          <w:tcPr>
            <w:tcW w:w="415" w:type="pct"/>
            <w:tcBorders>
              <w:top w:val="nil"/>
              <w:left w:val="nil"/>
              <w:bottom w:val="nil"/>
              <w:right w:val="nil"/>
            </w:tcBorders>
            <w:shd w:val="clear" w:color="auto" w:fill="auto"/>
            <w:noWrap/>
            <w:vAlign w:val="center"/>
            <w:hideMark/>
          </w:tcPr>
          <w:p w14:paraId="67384841"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12d</w:t>
            </w:r>
          </w:p>
        </w:tc>
        <w:tc>
          <w:tcPr>
            <w:tcW w:w="958" w:type="pct"/>
            <w:tcBorders>
              <w:top w:val="nil"/>
              <w:left w:val="nil"/>
              <w:bottom w:val="nil"/>
              <w:right w:val="nil"/>
            </w:tcBorders>
            <w:shd w:val="clear" w:color="auto" w:fill="auto"/>
            <w:noWrap/>
            <w:vAlign w:val="center"/>
            <w:hideMark/>
          </w:tcPr>
          <w:p w14:paraId="7538E058"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(310.008,95)</w:t>
            </w:r>
          </w:p>
        </w:tc>
        <w:tc>
          <w:tcPr>
            <w:tcW w:w="958" w:type="pct"/>
            <w:tcBorders>
              <w:top w:val="nil"/>
              <w:left w:val="nil"/>
              <w:bottom w:val="nil"/>
              <w:right w:val="nil"/>
            </w:tcBorders>
            <w:shd w:val="clear" w:color="auto" w:fill="auto"/>
            <w:noWrap/>
            <w:vAlign w:val="center"/>
            <w:hideMark/>
          </w:tcPr>
          <w:p w14:paraId="22037E0A"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(336.536,60)</w:t>
            </w:r>
          </w:p>
        </w:tc>
      </w:tr>
      <w:tr w:rsidR="00801015" w:rsidRPr="00801015" w14:paraId="48FA39D0" w14:textId="77777777" w:rsidTr="003A4111">
        <w:trPr>
          <w:trHeight w:val="283"/>
        </w:trPr>
        <w:tc>
          <w:tcPr>
            <w:tcW w:w="2669" w:type="pct"/>
            <w:tcBorders>
              <w:top w:val="nil"/>
              <w:left w:val="nil"/>
              <w:bottom w:val="nil"/>
              <w:right w:val="nil"/>
            </w:tcBorders>
            <w:shd w:val="clear" w:color="auto" w:fill="auto"/>
            <w:noWrap/>
            <w:vAlign w:val="center"/>
            <w:hideMark/>
          </w:tcPr>
          <w:p w14:paraId="5A5801C0"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01015">
              <w:rPr>
                <w:rFonts w:eastAsia="Times New Roman"/>
                <w:sz w:val="18"/>
                <w:szCs w:val="18"/>
                <w:bdr w:val="none" w:sz="0" w:space="0" w:color="auto"/>
                <w:lang w:eastAsia="es-ES"/>
              </w:rPr>
              <w:t>Servicios exteriores</w:t>
            </w:r>
          </w:p>
        </w:tc>
        <w:tc>
          <w:tcPr>
            <w:tcW w:w="415" w:type="pct"/>
            <w:tcBorders>
              <w:top w:val="nil"/>
              <w:left w:val="nil"/>
              <w:bottom w:val="nil"/>
              <w:right w:val="nil"/>
            </w:tcBorders>
            <w:shd w:val="clear" w:color="auto" w:fill="auto"/>
            <w:noWrap/>
            <w:vAlign w:val="center"/>
            <w:hideMark/>
          </w:tcPr>
          <w:p w14:paraId="7D480547"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958" w:type="pct"/>
            <w:tcBorders>
              <w:top w:val="nil"/>
              <w:left w:val="nil"/>
              <w:bottom w:val="nil"/>
              <w:right w:val="nil"/>
            </w:tcBorders>
            <w:shd w:val="clear" w:color="auto" w:fill="auto"/>
            <w:noWrap/>
            <w:vAlign w:val="center"/>
            <w:hideMark/>
          </w:tcPr>
          <w:p w14:paraId="4EFF6F86"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01015">
              <w:rPr>
                <w:rFonts w:eastAsia="Times New Roman"/>
                <w:sz w:val="18"/>
                <w:szCs w:val="18"/>
                <w:bdr w:val="none" w:sz="0" w:space="0" w:color="auto"/>
                <w:lang w:eastAsia="es-ES"/>
              </w:rPr>
              <w:t>(301.531,72)</w:t>
            </w:r>
          </w:p>
        </w:tc>
        <w:tc>
          <w:tcPr>
            <w:tcW w:w="958" w:type="pct"/>
            <w:tcBorders>
              <w:top w:val="nil"/>
              <w:left w:val="nil"/>
              <w:bottom w:val="nil"/>
              <w:right w:val="nil"/>
            </w:tcBorders>
            <w:shd w:val="clear" w:color="auto" w:fill="auto"/>
            <w:noWrap/>
            <w:vAlign w:val="center"/>
            <w:hideMark/>
          </w:tcPr>
          <w:p w14:paraId="386655E6"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01015">
              <w:rPr>
                <w:rFonts w:eastAsia="Times New Roman"/>
                <w:sz w:val="18"/>
                <w:szCs w:val="18"/>
                <w:bdr w:val="none" w:sz="0" w:space="0" w:color="auto"/>
                <w:lang w:eastAsia="es-ES"/>
              </w:rPr>
              <w:t>(327.586,42)</w:t>
            </w:r>
          </w:p>
        </w:tc>
      </w:tr>
      <w:tr w:rsidR="00801015" w:rsidRPr="00801015" w14:paraId="0F30A840" w14:textId="77777777" w:rsidTr="003A4111">
        <w:trPr>
          <w:trHeight w:val="283"/>
        </w:trPr>
        <w:tc>
          <w:tcPr>
            <w:tcW w:w="2669" w:type="pct"/>
            <w:tcBorders>
              <w:top w:val="nil"/>
              <w:left w:val="nil"/>
              <w:bottom w:val="nil"/>
              <w:right w:val="nil"/>
            </w:tcBorders>
            <w:shd w:val="clear" w:color="auto" w:fill="auto"/>
            <w:noWrap/>
            <w:vAlign w:val="center"/>
            <w:hideMark/>
          </w:tcPr>
          <w:p w14:paraId="4288B18F"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01015">
              <w:rPr>
                <w:rFonts w:eastAsia="Times New Roman"/>
                <w:sz w:val="18"/>
                <w:szCs w:val="18"/>
                <w:bdr w:val="none" w:sz="0" w:space="0" w:color="auto"/>
                <w:lang w:eastAsia="es-ES"/>
              </w:rPr>
              <w:t>Tributos</w:t>
            </w:r>
          </w:p>
        </w:tc>
        <w:tc>
          <w:tcPr>
            <w:tcW w:w="415" w:type="pct"/>
            <w:tcBorders>
              <w:top w:val="nil"/>
              <w:left w:val="nil"/>
              <w:bottom w:val="nil"/>
              <w:right w:val="nil"/>
            </w:tcBorders>
            <w:shd w:val="clear" w:color="auto" w:fill="auto"/>
            <w:noWrap/>
            <w:vAlign w:val="center"/>
            <w:hideMark/>
          </w:tcPr>
          <w:p w14:paraId="1110A25A"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958" w:type="pct"/>
            <w:tcBorders>
              <w:top w:val="nil"/>
              <w:left w:val="nil"/>
              <w:bottom w:val="nil"/>
              <w:right w:val="nil"/>
            </w:tcBorders>
            <w:shd w:val="clear" w:color="auto" w:fill="auto"/>
            <w:noWrap/>
            <w:vAlign w:val="center"/>
            <w:hideMark/>
          </w:tcPr>
          <w:p w14:paraId="463123A6"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01015">
              <w:rPr>
                <w:rFonts w:eastAsia="Times New Roman"/>
                <w:sz w:val="18"/>
                <w:szCs w:val="18"/>
                <w:bdr w:val="none" w:sz="0" w:space="0" w:color="auto"/>
                <w:lang w:eastAsia="es-ES"/>
              </w:rPr>
              <w:t>(8.477,23)</w:t>
            </w:r>
          </w:p>
        </w:tc>
        <w:tc>
          <w:tcPr>
            <w:tcW w:w="958" w:type="pct"/>
            <w:tcBorders>
              <w:top w:val="nil"/>
              <w:left w:val="nil"/>
              <w:bottom w:val="nil"/>
              <w:right w:val="nil"/>
            </w:tcBorders>
            <w:shd w:val="clear" w:color="auto" w:fill="auto"/>
            <w:noWrap/>
            <w:vAlign w:val="center"/>
            <w:hideMark/>
          </w:tcPr>
          <w:p w14:paraId="66315FAF"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801015">
              <w:rPr>
                <w:rFonts w:eastAsia="Times New Roman"/>
                <w:sz w:val="18"/>
                <w:szCs w:val="18"/>
                <w:bdr w:val="none" w:sz="0" w:space="0" w:color="auto"/>
                <w:lang w:eastAsia="es-ES"/>
              </w:rPr>
              <w:t>(8.950,18)</w:t>
            </w:r>
          </w:p>
        </w:tc>
      </w:tr>
      <w:tr w:rsidR="00801015" w:rsidRPr="00801015" w14:paraId="10F1009D" w14:textId="77777777" w:rsidTr="003A4111">
        <w:trPr>
          <w:trHeight w:val="283"/>
        </w:trPr>
        <w:tc>
          <w:tcPr>
            <w:tcW w:w="2669" w:type="pct"/>
            <w:tcBorders>
              <w:top w:val="nil"/>
              <w:left w:val="nil"/>
              <w:bottom w:val="nil"/>
              <w:right w:val="nil"/>
            </w:tcBorders>
            <w:shd w:val="clear" w:color="auto" w:fill="auto"/>
            <w:noWrap/>
            <w:vAlign w:val="center"/>
            <w:hideMark/>
          </w:tcPr>
          <w:p w14:paraId="58B35366"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Amortización del inmovilizado</w:t>
            </w:r>
          </w:p>
        </w:tc>
        <w:tc>
          <w:tcPr>
            <w:tcW w:w="415" w:type="pct"/>
            <w:tcBorders>
              <w:top w:val="nil"/>
              <w:left w:val="nil"/>
              <w:bottom w:val="nil"/>
              <w:right w:val="nil"/>
            </w:tcBorders>
            <w:shd w:val="clear" w:color="auto" w:fill="auto"/>
            <w:noWrap/>
            <w:vAlign w:val="center"/>
            <w:hideMark/>
          </w:tcPr>
          <w:p w14:paraId="72935A13"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5 y 6</w:t>
            </w:r>
          </w:p>
        </w:tc>
        <w:tc>
          <w:tcPr>
            <w:tcW w:w="958" w:type="pct"/>
            <w:tcBorders>
              <w:top w:val="nil"/>
              <w:left w:val="nil"/>
              <w:bottom w:val="nil"/>
              <w:right w:val="nil"/>
            </w:tcBorders>
            <w:shd w:val="clear" w:color="auto" w:fill="auto"/>
            <w:noWrap/>
            <w:vAlign w:val="center"/>
            <w:hideMark/>
          </w:tcPr>
          <w:p w14:paraId="19F38BEE"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(68.512,44)</w:t>
            </w:r>
          </w:p>
        </w:tc>
        <w:tc>
          <w:tcPr>
            <w:tcW w:w="958" w:type="pct"/>
            <w:tcBorders>
              <w:top w:val="nil"/>
              <w:left w:val="nil"/>
              <w:bottom w:val="nil"/>
              <w:right w:val="nil"/>
            </w:tcBorders>
            <w:shd w:val="clear" w:color="auto" w:fill="auto"/>
            <w:noWrap/>
            <w:vAlign w:val="center"/>
            <w:hideMark/>
          </w:tcPr>
          <w:p w14:paraId="2F4BFB36"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(65.303,79)</w:t>
            </w:r>
          </w:p>
        </w:tc>
      </w:tr>
      <w:tr w:rsidR="00801015" w:rsidRPr="00801015" w14:paraId="01144208" w14:textId="77777777" w:rsidTr="003A4111">
        <w:trPr>
          <w:trHeight w:val="283"/>
        </w:trPr>
        <w:tc>
          <w:tcPr>
            <w:tcW w:w="2669" w:type="pct"/>
            <w:tcBorders>
              <w:top w:val="nil"/>
              <w:left w:val="nil"/>
              <w:bottom w:val="nil"/>
              <w:right w:val="nil"/>
            </w:tcBorders>
            <w:shd w:val="clear" w:color="auto" w:fill="auto"/>
            <w:noWrap/>
            <w:vAlign w:val="center"/>
            <w:hideMark/>
          </w:tcPr>
          <w:p w14:paraId="08B15125" w14:textId="77777777" w:rsidR="00065019"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 xml:space="preserve">Imputación de </w:t>
            </w:r>
            <w:r w:rsidR="00065019">
              <w:rPr>
                <w:rFonts w:eastAsia="Times New Roman"/>
                <w:b/>
                <w:bCs/>
                <w:sz w:val="18"/>
                <w:szCs w:val="18"/>
                <w:bdr w:val="none" w:sz="0" w:space="0" w:color="auto"/>
                <w:lang w:eastAsia="es-ES"/>
              </w:rPr>
              <w:t>subvenciones de inmovilizado no</w:t>
            </w:r>
          </w:p>
          <w:p w14:paraId="15829E35"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financiero y otras</w:t>
            </w:r>
          </w:p>
        </w:tc>
        <w:tc>
          <w:tcPr>
            <w:tcW w:w="415" w:type="pct"/>
            <w:tcBorders>
              <w:top w:val="nil"/>
              <w:left w:val="nil"/>
              <w:bottom w:val="nil"/>
              <w:right w:val="nil"/>
            </w:tcBorders>
            <w:shd w:val="clear" w:color="auto" w:fill="auto"/>
            <w:noWrap/>
            <w:vAlign w:val="center"/>
            <w:hideMark/>
          </w:tcPr>
          <w:p w14:paraId="4EFC1FB5"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15</w:t>
            </w:r>
          </w:p>
        </w:tc>
        <w:tc>
          <w:tcPr>
            <w:tcW w:w="958" w:type="pct"/>
            <w:tcBorders>
              <w:top w:val="nil"/>
              <w:left w:val="nil"/>
              <w:bottom w:val="nil"/>
              <w:right w:val="nil"/>
            </w:tcBorders>
            <w:shd w:val="clear" w:color="auto" w:fill="auto"/>
            <w:noWrap/>
            <w:vAlign w:val="center"/>
            <w:hideMark/>
          </w:tcPr>
          <w:p w14:paraId="39595565"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27.963,58</w:t>
            </w:r>
          </w:p>
        </w:tc>
        <w:tc>
          <w:tcPr>
            <w:tcW w:w="958" w:type="pct"/>
            <w:tcBorders>
              <w:top w:val="nil"/>
              <w:left w:val="nil"/>
              <w:bottom w:val="nil"/>
              <w:right w:val="nil"/>
            </w:tcBorders>
            <w:shd w:val="clear" w:color="auto" w:fill="auto"/>
            <w:noWrap/>
            <w:vAlign w:val="center"/>
            <w:hideMark/>
          </w:tcPr>
          <w:p w14:paraId="332DDA16"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29.180,43</w:t>
            </w:r>
          </w:p>
        </w:tc>
      </w:tr>
      <w:tr w:rsidR="00801015" w:rsidRPr="00801015" w14:paraId="4CD8CB0B" w14:textId="77777777" w:rsidTr="003A4111">
        <w:trPr>
          <w:trHeight w:val="283"/>
        </w:trPr>
        <w:tc>
          <w:tcPr>
            <w:tcW w:w="2669" w:type="pct"/>
            <w:tcBorders>
              <w:top w:val="nil"/>
              <w:left w:val="nil"/>
              <w:bottom w:val="nil"/>
              <w:right w:val="nil"/>
            </w:tcBorders>
            <w:shd w:val="clear" w:color="auto" w:fill="auto"/>
            <w:noWrap/>
            <w:vAlign w:val="center"/>
            <w:hideMark/>
          </w:tcPr>
          <w:p w14:paraId="0135DDB0" w14:textId="77777777" w:rsidR="00065019"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Deterioro y resultado por enajenaciones del</w:t>
            </w:r>
          </w:p>
          <w:p w14:paraId="0A8665EF"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 xml:space="preserve">inmovilizado </w:t>
            </w:r>
          </w:p>
        </w:tc>
        <w:tc>
          <w:tcPr>
            <w:tcW w:w="415" w:type="pct"/>
            <w:tcBorders>
              <w:top w:val="nil"/>
              <w:left w:val="nil"/>
              <w:bottom w:val="nil"/>
              <w:right w:val="nil"/>
            </w:tcBorders>
            <w:shd w:val="clear" w:color="auto" w:fill="auto"/>
            <w:noWrap/>
            <w:vAlign w:val="center"/>
            <w:hideMark/>
          </w:tcPr>
          <w:p w14:paraId="61013B41"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13</w:t>
            </w:r>
          </w:p>
        </w:tc>
        <w:tc>
          <w:tcPr>
            <w:tcW w:w="958" w:type="pct"/>
            <w:tcBorders>
              <w:top w:val="nil"/>
              <w:left w:val="nil"/>
              <w:bottom w:val="nil"/>
              <w:right w:val="nil"/>
            </w:tcBorders>
            <w:shd w:val="clear" w:color="auto" w:fill="auto"/>
            <w:noWrap/>
            <w:vAlign w:val="center"/>
            <w:hideMark/>
          </w:tcPr>
          <w:p w14:paraId="074B0B60"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 xml:space="preserve"> -</w:t>
            </w:r>
          </w:p>
        </w:tc>
        <w:tc>
          <w:tcPr>
            <w:tcW w:w="958" w:type="pct"/>
            <w:tcBorders>
              <w:top w:val="nil"/>
              <w:left w:val="nil"/>
              <w:bottom w:val="nil"/>
              <w:right w:val="nil"/>
            </w:tcBorders>
            <w:shd w:val="clear" w:color="auto" w:fill="auto"/>
            <w:noWrap/>
            <w:vAlign w:val="center"/>
            <w:hideMark/>
          </w:tcPr>
          <w:p w14:paraId="65000550"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(139,05)</w:t>
            </w:r>
          </w:p>
        </w:tc>
      </w:tr>
      <w:tr w:rsidR="00801015" w:rsidRPr="00801015" w14:paraId="069A7CDB" w14:textId="77777777" w:rsidTr="003A4111">
        <w:trPr>
          <w:trHeight w:val="283"/>
        </w:trPr>
        <w:tc>
          <w:tcPr>
            <w:tcW w:w="2669" w:type="pct"/>
            <w:tcBorders>
              <w:top w:val="nil"/>
              <w:left w:val="nil"/>
              <w:bottom w:val="nil"/>
              <w:right w:val="nil"/>
            </w:tcBorders>
            <w:shd w:val="clear" w:color="auto" w:fill="auto"/>
            <w:noWrap/>
            <w:vAlign w:val="center"/>
            <w:hideMark/>
          </w:tcPr>
          <w:p w14:paraId="33F23DF0"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Otros resultados</w:t>
            </w:r>
          </w:p>
        </w:tc>
        <w:tc>
          <w:tcPr>
            <w:tcW w:w="415" w:type="pct"/>
            <w:tcBorders>
              <w:top w:val="nil"/>
              <w:left w:val="nil"/>
              <w:bottom w:val="nil"/>
              <w:right w:val="nil"/>
            </w:tcBorders>
            <w:shd w:val="clear" w:color="auto" w:fill="auto"/>
            <w:noWrap/>
            <w:vAlign w:val="center"/>
            <w:hideMark/>
          </w:tcPr>
          <w:p w14:paraId="6F3EEAF7"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958" w:type="pct"/>
            <w:tcBorders>
              <w:top w:val="nil"/>
              <w:left w:val="nil"/>
              <w:bottom w:val="nil"/>
              <w:right w:val="nil"/>
            </w:tcBorders>
            <w:shd w:val="clear" w:color="auto" w:fill="auto"/>
            <w:noWrap/>
            <w:vAlign w:val="center"/>
            <w:hideMark/>
          </w:tcPr>
          <w:p w14:paraId="5BC8EA35"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10.390,35</w:t>
            </w:r>
          </w:p>
        </w:tc>
        <w:tc>
          <w:tcPr>
            <w:tcW w:w="958" w:type="pct"/>
            <w:tcBorders>
              <w:top w:val="nil"/>
              <w:left w:val="nil"/>
              <w:bottom w:val="nil"/>
              <w:right w:val="nil"/>
            </w:tcBorders>
            <w:shd w:val="clear" w:color="auto" w:fill="auto"/>
            <w:noWrap/>
            <w:vAlign w:val="center"/>
            <w:hideMark/>
          </w:tcPr>
          <w:p w14:paraId="45CDE36C"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8.906,88</w:t>
            </w:r>
          </w:p>
        </w:tc>
      </w:tr>
      <w:tr w:rsidR="00801015" w:rsidRPr="00801015" w14:paraId="03BEF146" w14:textId="77777777" w:rsidTr="001A7C10">
        <w:trPr>
          <w:trHeight w:val="340"/>
        </w:trPr>
        <w:tc>
          <w:tcPr>
            <w:tcW w:w="2669" w:type="pct"/>
            <w:tcBorders>
              <w:top w:val="single" w:sz="8" w:space="0" w:color="auto"/>
              <w:left w:val="nil"/>
              <w:bottom w:val="single" w:sz="8" w:space="0" w:color="auto"/>
              <w:right w:val="nil"/>
            </w:tcBorders>
            <w:shd w:val="clear" w:color="auto" w:fill="F2F2F2"/>
            <w:noWrap/>
            <w:vAlign w:val="center"/>
            <w:hideMark/>
          </w:tcPr>
          <w:p w14:paraId="6FB49022"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RESULTADO DE EXPLOTACIÓN</w:t>
            </w:r>
          </w:p>
        </w:tc>
        <w:tc>
          <w:tcPr>
            <w:tcW w:w="415" w:type="pct"/>
            <w:tcBorders>
              <w:top w:val="single" w:sz="8" w:space="0" w:color="auto"/>
              <w:left w:val="nil"/>
              <w:bottom w:val="single" w:sz="8" w:space="0" w:color="auto"/>
              <w:right w:val="nil"/>
            </w:tcBorders>
            <w:shd w:val="clear" w:color="auto" w:fill="F2F2F2"/>
            <w:noWrap/>
            <w:vAlign w:val="center"/>
            <w:hideMark/>
          </w:tcPr>
          <w:p w14:paraId="7D0A597D"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01015">
              <w:rPr>
                <w:rFonts w:eastAsia="Times New Roman"/>
                <w:sz w:val="18"/>
                <w:szCs w:val="18"/>
                <w:bdr w:val="none" w:sz="0" w:space="0" w:color="auto"/>
                <w:lang w:eastAsia="es-ES"/>
              </w:rPr>
              <w:t> </w:t>
            </w:r>
          </w:p>
        </w:tc>
        <w:tc>
          <w:tcPr>
            <w:tcW w:w="958" w:type="pct"/>
            <w:tcBorders>
              <w:top w:val="single" w:sz="8" w:space="0" w:color="auto"/>
              <w:left w:val="nil"/>
              <w:bottom w:val="single" w:sz="8" w:space="0" w:color="auto"/>
              <w:right w:val="nil"/>
            </w:tcBorders>
            <w:shd w:val="clear" w:color="auto" w:fill="F2F2F2"/>
            <w:noWrap/>
            <w:vAlign w:val="center"/>
            <w:hideMark/>
          </w:tcPr>
          <w:p w14:paraId="11181B68"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(2.165.846,79)</w:t>
            </w:r>
          </w:p>
        </w:tc>
        <w:tc>
          <w:tcPr>
            <w:tcW w:w="958" w:type="pct"/>
            <w:tcBorders>
              <w:top w:val="single" w:sz="8" w:space="0" w:color="auto"/>
              <w:left w:val="nil"/>
              <w:bottom w:val="single" w:sz="8" w:space="0" w:color="auto"/>
              <w:right w:val="nil"/>
            </w:tcBorders>
            <w:shd w:val="clear" w:color="auto" w:fill="F2F2F2"/>
            <w:noWrap/>
            <w:vAlign w:val="center"/>
            <w:hideMark/>
          </w:tcPr>
          <w:p w14:paraId="64E01628"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(2.163.349,45)</w:t>
            </w:r>
          </w:p>
        </w:tc>
      </w:tr>
      <w:tr w:rsidR="00801015" w:rsidRPr="00801015" w14:paraId="5570025D" w14:textId="77777777" w:rsidTr="003A4111">
        <w:trPr>
          <w:trHeight w:val="283"/>
        </w:trPr>
        <w:tc>
          <w:tcPr>
            <w:tcW w:w="2669" w:type="pct"/>
            <w:tcBorders>
              <w:top w:val="nil"/>
              <w:left w:val="nil"/>
              <w:bottom w:val="nil"/>
              <w:right w:val="nil"/>
            </w:tcBorders>
            <w:shd w:val="clear" w:color="auto" w:fill="auto"/>
            <w:noWrap/>
            <w:vAlign w:val="center"/>
            <w:hideMark/>
          </w:tcPr>
          <w:p w14:paraId="4F3ABDC1"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Ingresos financieros</w:t>
            </w:r>
          </w:p>
        </w:tc>
        <w:tc>
          <w:tcPr>
            <w:tcW w:w="415" w:type="pct"/>
            <w:tcBorders>
              <w:top w:val="nil"/>
              <w:left w:val="nil"/>
              <w:bottom w:val="nil"/>
              <w:right w:val="nil"/>
            </w:tcBorders>
            <w:shd w:val="clear" w:color="auto" w:fill="auto"/>
            <w:noWrap/>
            <w:vAlign w:val="center"/>
            <w:hideMark/>
          </w:tcPr>
          <w:p w14:paraId="1B8E7F37"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12e</w:t>
            </w:r>
          </w:p>
        </w:tc>
        <w:tc>
          <w:tcPr>
            <w:tcW w:w="958" w:type="pct"/>
            <w:tcBorders>
              <w:top w:val="nil"/>
              <w:left w:val="nil"/>
              <w:bottom w:val="nil"/>
              <w:right w:val="nil"/>
            </w:tcBorders>
            <w:shd w:val="clear" w:color="auto" w:fill="auto"/>
            <w:noWrap/>
            <w:vAlign w:val="center"/>
            <w:hideMark/>
          </w:tcPr>
          <w:p w14:paraId="44B31C40"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151,66</w:t>
            </w:r>
          </w:p>
        </w:tc>
        <w:tc>
          <w:tcPr>
            <w:tcW w:w="958" w:type="pct"/>
            <w:tcBorders>
              <w:top w:val="nil"/>
              <w:left w:val="nil"/>
              <w:bottom w:val="nil"/>
              <w:right w:val="nil"/>
            </w:tcBorders>
            <w:shd w:val="clear" w:color="auto" w:fill="auto"/>
            <w:noWrap/>
            <w:vAlign w:val="center"/>
            <w:hideMark/>
          </w:tcPr>
          <w:p w14:paraId="264F90BA"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478,77</w:t>
            </w:r>
          </w:p>
        </w:tc>
      </w:tr>
      <w:tr w:rsidR="00801015" w:rsidRPr="00801015" w14:paraId="35CF3602" w14:textId="77777777" w:rsidTr="003A4111">
        <w:trPr>
          <w:trHeight w:val="283"/>
        </w:trPr>
        <w:tc>
          <w:tcPr>
            <w:tcW w:w="2669" w:type="pct"/>
            <w:tcBorders>
              <w:top w:val="nil"/>
              <w:left w:val="nil"/>
              <w:bottom w:val="nil"/>
              <w:right w:val="nil"/>
            </w:tcBorders>
            <w:shd w:val="clear" w:color="auto" w:fill="auto"/>
            <w:noWrap/>
            <w:vAlign w:val="center"/>
            <w:hideMark/>
          </w:tcPr>
          <w:p w14:paraId="45179EF9"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Gastos financieros</w:t>
            </w:r>
          </w:p>
        </w:tc>
        <w:tc>
          <w:tcPr>
            <w:tcW w:w="415" w:type="pct"/>
            <w:tcBorders>
              <w:top w:val="nil"/>
              <w:left w:val="nil"/>
              <w:bottom w:val="nil"/>
              <w:right w:val="nil"/>
            </w:tcBorders>
            <w:shd w:val="clear" w:color="auto" w:fill="auto"/>
            <w:noWrap/>
            <w:vAlign w:val="center"/>
            <w:hideMark/>
          </w:tcPr>
          <w:p w14:paraId="363A9398"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12e</w:t>
            </w:r>
          </w:p>
        </w:tc>
        <w:tc>
          <w:tcPr>
            <w:tcW w:w="958" w:type="pct"/>
            <w:tcBorders>
              <w:top w:val="nil"/>
              <w:left w:val="nil"/>
              <w:bottom w:val="nil"/>
              <w:right w:val="nil"/>
            </w:tcBorders>
            <w:shd w:val="clear" w:color="auto" w:fill="auto"/>
            <w:noWrap/>
            <w:vAlign w:val="center"/>
            <w:hideMark/>
          </w:tcPr>
          <w:p w14:paraId="003CFF98"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 xml:space="preserve"> -</w:t>
            </w:r>
          </w:p>
        </w:tc>
        <w:tc>
          <w:tcPr>
            <w:tcW w:w="958" w:type="pct"/>
            <w:tcBorders>
              <w:top w:val="nil"/>
              <w:left w:val="nil"/>
              <w:bottom w:val="nil"/>
              <w:right w:val="nil"/>
            </w:tcBorders>
            <w:shd w:val="clear" w:color="auto" w:fill="auto"/>
            <w:noWrap/>
            <w:vAlign w:val="center"/>
            <w:hideMark/>
          </w:tcPr>
          <w:p w14:paraId="3F2627BC"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(951,67)</w:t>
            </w:r>
          </w:p>
        </w:tc>
      </w:tr>
      <w:tr w:rsidR="00801015" w:rsidRPr="00801015" w14:paraId="79A4AA2B" w14:textId="77777777" w:rsidTr="003A4111">
        <w:trPr>
          <w:trHeight w:val="283"/>
        </w:trPr>
        <w:tc>
          <w:tcPr>
            <w:tcW w:w="2669" w:type="pct"/>
            <w:tcBorders>
              <w:top w:val="nil"/>
              <w:left w:val="nil"/>
              <w:bottom w:val="nil"/>
              <w:right w:val="nil"/>
            </w:tcBorders>
            <w:shd w:val="clear" w:color="auto" w:fill="auto"/>
            <w:noWrap/>
            <w:vAlign w:val="center"/>
            <w:hideMark/>
          </w:tcPr>
          <w:p w14:paraId="6957C35D"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Diferencias de cambio</w:t>
            </w:r>
          </w:p>
        </w:tc>
        <w:tc>
          <w:tcPr>
            <w:tcW w:w="415" w:type="pct"/>
            <w:tcBorders>
              <w:top w:val="nil"/>
              <w:left w:val="nil"/>
              <w:bottom w:val="nil"/>
              <w:right w:val="nil"/>
            </w:tcBorders>
            <w:shd w:val="clear" w:color="auto" w:fill="auto"/>
            <w:noWrap/>
            <w:vAlign w:val="center"/>
            <w:hideMark/>
          </w:tcPr>
          <w:p w14:paraId="66EEC26A"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12e</w:t>
            </w:r>
          </w:p>
        </w:tc>
        <w:tc>
          <w:tcPr>
            <w:tcW w:w="958" w:type="pct"/>
            <w:tcBorders>
              <w:top w:val="nil"/>
              <w:left w:val="nil"/>
              <w:bottom w:val="nil"/>
              <w:right w:val="nil"/>
            </w:tcBorders>
            <w:shd w:val="clear" w:color="auto" w:fill="auto"/>
            <w:noWrap/>
            <w:vAlign w:val="center"/>
            <w:hideMark/>
          </w:tcPr>
          <w:p w14:paraId="70A55178"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(171,87)</w:t>
            </w:r>
          </w:p>
        </w:tc>
        <w:tc>
          <w:tcPr>
            <w:tcW w:w="958" w:type="pct"/>
            <w:tcBorders>
              <w:top w:val="nil"/>
              <w:left w:val="nil"/>
              <w:bottom w:val="nil"/>
              <w:right w:val="nil"/>
            </w:tcBorders>
            <w:shd w:val="clear" w:color="auto" w:fill="auto"/>
            <w:noWrap/>
            <w:vAlign w:val="center"/>
            <w:hideMark/>
          </w:tcPr>
          <w:p w14:paraId="11335731"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(2.044,65)</w:t>
            </w:r>
          </w:p>
        </w:tc>
      </w:tr>
      <w:tr w:rsidR="00801015" w:rsidRPr="00801015" w14:paraId="2B864047" w14:textId="77777777" w:rsidTr="001A7C10">
        <w:trPr>
          <w:trHeight w:val="340"/>
        </w:trPr>
        <w:tc>
          <w:tcPr>
            <w:tcW w:w="2669" w:type="pct"/>
            <w:tcBorders>
              <w:top w:val="single" w:sz="8" w:space="0" w:color="auto"/>
              <w:left w:val="nil"/>
              <w:bottom w:val="single" w:sz="8" w:space="0" w:color="auto"/>
              <w:right w:val="nil"/>
            </w:tcBorders>
            <w:shd w:val="clear" w:color="auto" w:fill="F2F2F2"/>
            <w:noWrap/>
            <w:vAlign w:val="center"/>
            <w:hideMark/>
          </w:tcPr>
          <w:p w14:paraId="3D213CBE"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RESULTADO FINANCIERO</w:t>
            </w:r>
          </w:p>
        </w:tc>
        <w:tc>
          <w:tcPr>
            <w:tcW w:w="415" w:type="pct"/>
            <w:tcBorders>
              <w:top w:val="single" w:sz="8" w:space="0" w:color="auto"/>
              <w:left w:val="nil"/>
              <w:bottom w:val="single" w:sz="8" w:space="0" w:color="auto"/>
              <w:right w:val="nil"/>
            </w:tcBorders>
            <w:shd w:val="clear" w:color="auto" w:fill="F2F2F2"/>
            <w:noWrap/>
            <w:vAlign w:val="center"/>
            <w:hideMark/>
          </w:tcPr>
          <w:p w14:paraId="3F240816"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01015">
              <w:rPr>
                <w:rFonts w:eastAsia="Times New Roman"/>
                <w:sz w:val="18"/>
                <w:szCs w:val="18"/>
                <w:bdr w:val="none" w:sz="0" w:space="0" w:color="auto"/>
                <w:lang w:eastAsia="es-ES"/>
              </w:rPr>
              <w:t> </w:t>
            </w:r>
          </w:p>
        </w:tc>
        <w:tc>
          <w:tcPr>
            <w:tcW w:w="958" w:type="pct"/>
            <w:tcBorders>
              <w:top w:val="single" w:sz="8" w:space="0" w:color="auto"/>
              <w:left w:val="nil"/>
              <w:bottom w:val="single" w:sz="8" w:space="0" w:color="auto"/>
              <w:right w:val="nil"/>
            </w:tcBorders>
            <w:shd w:val="clear" w:color="auto" w:fill="F2F2F2"/>
            <w:noWrap/>
            <w:vAlign w:val="center"/>
            <w:hideMark/>
          </w:tcPr>
          <w:p w14:paraId="6456FD45"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(20,21)</w:t>
            </w:r>
          </w:p>
        </w:tc>
        <w:tc>
          <w:tcPr>
            <w:tcW w:w="958" w:type="pct"/>
            <w:tcBorders>
              <w:top w:val="single" w:sz="8" w:space="0" w:color="auto"/>
              <w:left w:val="nil"/>
              <w:bottom w:val="single" w:sz="8" w:space="0" w:color="auto"/>
              <w:right w:val="nil"/>
            </w:tcBorders>
            <w:shd w:val="clear" w:color="auto" w:fill="F2F2F2"/>
            <w:noWrap/>
            <w:vAlign w:val="center"/>
            <w:hideMark/>
          </w:tcPr>
          <w:p w14:paraId="783F32A1"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(2.517,55)</w:t>
            </w:r>
          </w:p>
        </w:tc>
      </w:tr>
      <w:tr w:rsidR="00801015" w:rsidRPr="00801015" w14:paraId="2D53A2BF" w14:textId="77777777" w:rsidTr="001A7C10">
        <w:trPr>
          <w:trHeight w:val="340"/>
        </w:trPr>
        <w:tc>
          <w:tcPr>
            <w:tcW w:w="2669" w:type="pct"/>
            <w:tcBorders>
              <w:top w:val="nil"/>
              <w:left w:val="nil"/>
              <w:bottom w:val="single" w:sz="8" w:space="0" w:color="auto"/>
              <w:right w:val="nil"/>
            </w:tcBorders>
            <w:shd w:val="clear" w:color="auto" w:fill="F2F2F2"/>
            <w:noWrap/>
            <w:vAlign w:val="center"/>
            <w:hideMark/>
          </w:tcPr>
          <w:p w14:paraId="585CABF3"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RESULTADO ANTES DE IMPUESTOS</w:t>
            </w:r>
          </w:p>
        </w:tc>
        <w:tc>
          <w:tcPr>
            <w:tcW w:w="415" w:type="pct"/>
            <w:tcBorders>
              <w:top w:val="nil"/>
              <w:left w:val="nil"/>
              <w:bottom w:val="single" w:sz="8" w:space="0" w:color="auto"/>
              <w:right w:val="nil"/>
            </w:tcBorders>
            <w:shd w:val="clear" w:color="auto" w:fill="F2F2F2"/>
            <w:noWrap/>
            <w:vAlign w:val="center"/>
            <w:hideMark/>
          </w:tcPr>
          <w:p w14:paraId="763D600B"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801015">
              <w:rPr>
                <w:rFonts w:eastAsia="Times New Roman"/>
                <w:sz w:val="18"/>
                <w:szCs w:val="18"/>
                <w:bdr w:val="none" w:sz="0" w:space="0" w:color="auto"/>
                <w:lang w:eastAsia="es-ES"/>
              </w:rPr>
              <w:t> </w:t>
            </w:r>
          </w:p>
        </w:tc>
        <w:tc>
          <w:tcPr>
            <w:tcW w:w="958" w:type="pct"/>
            <w:tcBorders>
              <w:top w:val="nil"/>
              <w:left w:val="nil"/>
              <w:bottom w:val="single" w:sz="8" w:space="0" w:color="auto"/>
              <w:right w:val="nil"/>
            </w:tcBorders>
            <w:shd w:val="clear" w:color="auto" w:fill="F2F2F2"/>
            <w:noWrap/>
            <w:vAlign w:val="center"/>
            <w:hideMark/>
          </w:tcPr>
          <w:p w14:paraId="2B9A6CE0"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(2.165.867,00)</w:t>
            </w:r>
          </w:p>
        </w:tc>
        <w:tc>
          <w:tcPr>
            <w:tcW w:w="958" w:type="pct"/>
            <w:tcBorders>
              <w:top w:val="nil"/>
              <w:left w:val="nil"/>
              <w:bottom w:val="single" w:sz="8" w:space="0" w:color="auto"/>
              <w:right w:val="nil"/>
            </w:tcBorders>
            <w:shd w:val="clear" w:color="auto" w:fill="F2F2F2"/>
            <w:noWrap/>
            <w:vAlign w:val="center"/>
            <w:hideMark/>
          </w:tcPr>
          <w:p w14:paraId="5E4F8FFC"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(2.165.867,00)</w:t>
            </w:r>
          </w:p>
        </w:tc>
      </w:tr>
      <w:tr w:rsidR="00801015" w:rsidRPr="00801015" w14:paraId="1E763085" w14:textId="77777777" w:rsidTr="003A4111">
        <w:trPr>
          <w:trHeight w:val="283"/>
        </w:trPr>
        <w:tc>
          <w:tcPr>
            <w:tcW w:w="2669" w:type="pct"/>
            <w:tcBorders>
              <w:top w:val="nil"/>
              <w:left w:val="nil"/>
              <w:bottom w:val="nil"/>
              <w:right w:val="nil"/>
            </w:tcBorders>
            <w:shd w:val="clear" w:color="auto" w:fill="auto"/>
            <w:noWrap/>
            <w:vAlign w:val="center"/>
            <w:hideMark/>
          </w:tcPr>
          <w:p w14:paraId="7C9737F3"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Impuestos sobre beneficios</w:t>
            </w:r>
          </w:p>
        </w:tc>
        <w:tc>
          <w:tcPr>
            <w:tcW w:w="415" w:type="pct"/>
            <w:tcBorders>
              <w:top w:val="nil"/>
              <w:left w:val="nil"/>
              <w:bottom w:val="nil"/>
              <w:right w:val="nil"/>
            </w:tcBorders>
            <w:shd w:val="clear" w:color="auto" w:fill="auto"/>
            <w:noWrap/>
            <w:vAlign w:val="center"/>
            <w:hideMark/>
          </w:tcPr>
          <w:p w14:paraId="504A58D1"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11.2</w:t>
            </w:r>
          </w:p>
        </w:tc>
        <w:tc>
          <w:tcPr>
            <w:tcW w:w="958" w:type="pct"/>
            <w:tcBorders>
              <w:top w:val="nil"/>
              <w:left w:val="nil"/>
              <w:bottom w:val="nil"/>
              <w:right w:val="nil"/>
            </w:tcBorders>
            <w:shd w:val="clear" w:color="auto" w:fill="auto"/>
            <w:noWrap/>
            <w:vAlign w:val="center"/>
            <w:hideMark/>
          </w:tcPr>
          <w:p w14:paraId="4F3E275C"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 xml:space="preserve"> -</w:t>
            </w:r>
          </w:p>
        </w:tc>
        <w:tc>
          <w:tcPr>
            <w:tcW w:w="958" w:type="pct"/>
            <w:tcBorders>
              <w:top w:val="nil"/>
              <w:left w:val="nil"/>
              <w:bottom w:val="nil"/>
              <w:right w:val="nil"/>
            </w:tcBorders>
            <w:shd w:val="clear" w:color="auto" w:fill="auto"/>
            <w:noWrap/>
            <w:vAlign w:val="center"/>
            <w:hideMark/>
          </w:tcPr>
          <w:p w14:paraId="1E78E1AB"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 xml:space="preserve"> -</w:t>
            </w:r>
          </w:p>
        </w:tc>
      </w:tr>
      <w:tr w:rsidR="00801015" w:rsidRPr="00801015" w14:paraId="600304CB" w14:textId="77777777" w:rsidTr="001A7C10">
        <w:trPr>
          <w:trHeight w:val="340"/>
        </w:trPr>
        <w:tc>
          <w:tcPr>
            <w:tcW w:w="2669" w:type="pct"/>
            <w:tcBorders>
              <w:top w:val="single" w:sz="8" w:space="0" w:color="auto"/>
              <w:left w:val="nil"/>
              <w:bottom w:val="single" w:sz="8" w:space="0" w:color="auto"/>
              <w:right w:val="nil"/>
            </w:tcBorders>
            <w:shd w:val="clear" w:color="auto" w:fill="F2F2F2"/>
            <w:noWrap/>
            <w:vAlign w:val="center"/>
            <w:hideMark/>
          </w:tcPr>
          <w:p w14:paraId="37301829"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RESULTADO DEL EJERCICIO</w:t>
            </w:r>
          </w:p>
        </w:tc>
        <w:tc>
          <w:tcPr>
            <w:tcW w:w="415" w:type="pct"/>
            <w:tcBorders>
              <w:top w:val="single" w:sz="8" w:space="0" w:color="auto"/>
              <w:left w:val="nil"/>
              <w:bottom w:val="single" w:sz="8" w:space="0" w:color="auto"/>
              <w:right w:val="nil"/>
            </w:tcBorders>
            <w:shd w:val="clear" w:color="auto" w:fill="F2F2F2"/>
            <w:noWrap/>
            <w:vAlign w:val="center"/>
            <w:hideMark/>
          </w:tcPr>
          <w:p w14:paraId="4B1BBF6D" w14:textId="77777777" w:rsidR="00801015" w:rsidRPr="00801015" w:rsidRDefault="00801015" w:rsidP="0080101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3</w:t>
            </w:r>
          </w:p>
        </w:tc>
        <w:tc>
          <w:tcPr>
            <w:tcW w:w="958" w:type="pct"/>
            <w:tcBorders>
              <w:top w:val="single" w:sz="8" w:space="0" w:color="auto"/>
              <w:left w:val="nil"/>
              <w:bottom w:val="single" w:sz="8" w:space="0" w:color="auto"/>
              <w:right w:val="nil"/>
            </w:tcBorders>
            <w:shd w:val="clear" w:color="auto" w:fill="F2F2F2"/>
            <w:noWrap/>
            <w:vAlign w:val="center"/>
            <w:hideMark/>
          </w:tcPr>
          <w:p w14:paraId="028B8CF9"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(2.165.867,00)</w:t>
            </w:r>
          </w:p>
        </w:tc>
        <w:tc>
          <w:tcPr>
            <w:tcW w:w="958" w:type="pct"/>
            <w:tcBorders>
              <w:top w:val="single" w:sz="8" w:space="0" w:color="auto"/>
              <w:left w:val="nil"/>
              <w:bottom w:val="single" w:sz="8" w:space="0" w:color="auto"/>
              <w:right w:val="nil"/>
            </w:tcBorders>
            <w:shd w:val="clear" w:color="auto" w:fill="F2F2F2"/>
            <w:noWrap/>
            <w:vAlign w:val="center"/>
            <w:hideMark/>
          </w:tcPr>
          <w:p w14:paraId="3EABCDCD" w14:textId="77777777" w:rsidR="00801015" w:rsidRPr="00801015" w:rsidRDefault="00801015"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801015">
              <w:rPr>
                <w:rFonts w:eastAsia="Times New Roman"/>
                <w:b/>
                <w:bCs/>
                <w:sz w:val="18"/>
                <w:szCs w:val="18"/>
                <w:bdr w:val="none" w:sz="0" w:space="0" w:color="auto"/>
                <w:lang w:eastAsia="es-ES"/>
              </w:rPr>
              <w:t>(2.165.867,00)</w:t>
            </w:r>
          </w:p>
        </w:tc>
      </w:tr>
    </w:tbl>
    <w:p w14:paraId="6EDBCFFC" w14:textId="77777777" w:rsidR="006220A2" w:rsidRPr="00452010" w:rsidRDefault="006220A2" w:rsidP="006220A2">
      <w:pPr>
        <w:rPr>
          <w:sz w:val="20"/>
        </w:rPr>
      </w:pPr>
    </w:p>
    <w:p w14:paraId="01C6FA80" w14:textId="77777777" w:rsidR="006220A2" w:rsidRPr="002932A1" w:rsidRDefault="006220A2" w:rsidP="003A4111">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center"/>
        <w:outlineLvl w:val="0"/>
        <w:rPr>
          <w:b/>
          <w:snapToGrid w:val="0"/>
          <w:sz w:val="18"/>
        </w:rPr>
      </w:pPr>
      <w:r w:rsidRPr="002932A1">
        <w:rPr>
          <w:i/>
          <w:iCs/>
          <w:sz w:val="16"/>
          <w:szCs w:val="18"/>
        </w:rPr>
        <w:t xml:space="preserve">Las Cuentas Anuales de la Sociedad, que forman </w:t>
      </w:r>
      <w:r>
        <w:rPr>
          <w:i/>
          <w:iCs/>
          <w:sz w:val="16"/>
          <w:szCs w:val="18"/>
        </w:rPr>
        <w:t>una sola unidad, comprenden esta</w:t>
      </w:r>
      <w:r w:rsidRPr="002932A1">
        <w:rPr>
          <w:i/>
          <w:iCs/>
          <w:sz w:val="16"/>
          <w:szCs w:val="18"/>
        </w:rPr>
        <w:t>s</w:t>
      </w:r>
      <w:r>
        <w:rPr>
          <w:i/>
          <w:iCs/>
          <w:sz w:val="16"/>
          <w:szCs w:val="18"/>
        </w:rPr>
        <w:t xml:space="preserve"> Cuentas de Pérdidas y Ganancias, el Balance</w:t>
      </w:r>
      <w:r w:rsidRPr="002932A1">
        <w:rPr>
          <w:i/>
          <w:iCs/>
          <w:sz w:val="16"/>
          <w:szCs w:val="18"/>
        </w:rPr>
        <w:t>, el Estado de Cambios en el Patrimonio</w:t>
      </w:r>
      <w:r>
        <w:rPr>
          <w:i/>
          <w:iCs/>
          <w:sz w:val="16"/>
          <w:szCs w:val="18"/>
        </w:rPr>
        <w:t xml:space="preserve"> Neto, el Estado de Flujos de Ef</w:t>
      </w:r>
      <w:r w:rsidRPr="002932A1">
        <w:rPr>
          <w:i/>
          <w:iCs/>
          <w:sz w:val="16"/>
          <w:szCs w:val="18"/>
        </w:rPr>
        <w:t xml:space="preserve">ectivo adjuntos y la Memoria Anual adjunta que consta </w:t>
      </w:r>
      <w:r>
        <w:rPr>
          <w:i/>
          <w:iCs/>
          <w:sz w:val="16"/>
          <w:szCs w:val="18"/>
        </w:rPr>
        <w:t>de 19</w:t>
      </w:r>
      <w:r w:rsidRPr="00CB2D33">
        <w:rPr>
          <w:i/>
          <w:iCs/>
          <w:sz w:val="16"/>
          <w:szCs w:val="18"/>
        </w:rPr>
        <w:t xml:space="preserve"> Notas</w:t>
      </w:r>
    </w:p>
    <w:p w14:paraId="4984AF08" w14:textId="77777777" w:rsidR="006220A2" w:rsidRDefault="006220A2" w:rsidP="006220A2">
      <w:pPr>
        <w:widowControl w:val="0"/>
        <w:tabs>
          <w:tab w:val="left" w:pos="284"/>
          <w:tab w:val="left" w:pos="1825"/>
        </w:tabs>
        <w:rPr>
          <w:sz w:val="20"/>
        </w:rPr>
      </w:pPr>
    </w:p>
    <w:p w14:paraId="023B9809" w14:textId="77777777" w:rsidR="003A4111" w:rsidRDefault="006220A2" w:rsidP="006220A2">
      <w:pPr>
        <w:widowControl w:val="0"/>
        <w:tabs>
          <w:tab w:val="left" w:pos="284"/>
          <w:tab w:val="left" w:pos="567"/>
          <w:tab w:val="left" w:pos="851"/>
        </w:tabs>
        <w:rPr>
          <w:sz w:val="20"/>
        </w:rPr>
      </w:pPr>
      <w:r w:rsidRPr="00452010">
        <w:rPr>
          <w:sz w:val="20"/>
        </w:rPr>
        <w:br w:type="page"/>
      </w:r>
    </w:p>
    <w:p w14:paraId="43443862" w14:textId="77777777" w:rsidR="003A4111" w:rsidRDefault="003A4111" w:rsidP="006220A2">
      <w:pPr>
        <w:widowControl w:val="0"/>
        <w:tabs>
          <w:tab w:val="left" w:pos="284"/>
          <w:tab w:val="left" w:pos="567"/>
          <w:tab w:val="left" w:pos="851"/>
        </w:tabs>
        <w:rPr>
          <w:sz w:val="20"/>
        </w:rPr>
      </w:pPr>
    </w:p>
    <w:p w14:paraId="2B33DA67" w14:textId="77777777" w:rsidR="006220A2" w:rsidRPr="00D43E6F" w:rsidRDefault="006220A2" w:rsidP="006220A2">
      <w:pPr>
        <w:widowControl w:val="0"/>
        <w:tabs>
          <w:tab w:val="left" w:pos="284"/>
          <w:tab w:val="left" w:pos="567"/>
          <w:tab w:val="left" w:pos="851"/>
        </w:tabs>
        <w:rPr>
          <w:b/>
          <w:snapToGrid w:val="0"/>
          <w:sz w:val="20"/>
        </w:rPr>
      </w:pPr>
      <w:r w:rsidRPr="00D43E6F">
        <w:rPr>
          <w:b/>
          <w:snapToGrid w:val="0"/>
          <w:sz w:val="20"/>
        </w:rPr>
        <w:t>PROMOTUR TURISMO CANARIAS, S.A.</w:t>
      </w:r>
    </w:p>
    <w:p w14:paraId="7F4E60E1" w14:textId="77777777" w:rsidR="006220A2" w:rsidRPr="00D43E6F" w:rsidRDefault="006220A2" w:rsidP="006220A2">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0"/>
        </w:rPr>
      </w:pPr>
      <w:r w:rsidRPr="00D43E6F">
        <w:rPr>
          <w:b/>
          <w:snapToGrid w:val="0"/>
          <w:sz w:val="20"/>
        </w:rPr>
        <w:t>ESTADO DE CAMBIOS EN EL PATRIMONIO NETO CORRESPONDIENTE AL EJERCICIO ANUAL TERMI</w:t>
      </w:r>
      <w:r w:rsidR="00556E1C">
        <w:rPr>
          <w:b/>
          <w:snapToGrid w:val="0"/>
          <w:sz w:val="20"/>
        </w:rPr>
        <w:t>NADO EL 31 DE DICIEMBRE DE 2018 Y 2017</w:t>
      </w:r>
    </w:p>
    <w:p w14:paraId="7CE7922B" w14:textId="77777777" w:rsidR="006220A2" w:rsidRPr="00D43E6F" w:rsidRDefault="006220A2" w:rsidP="006220A2">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20"/>
        </w:rPr>
      </w:pPr>
    </w:p>
    <w:p w14:paraId="5ADF7454" w14:textId="77777777" w:rsidR="006220A2" w:rsidRDefault="006220A2" w:rsidP="006220A2">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snapToGrid w:val="0"/>
          <w:sz w:val="20"/>
        </w:rPr>
      </w:pPr>
      <w:r w:rsidRPr="00556E1C">
        <w:rPr>
          <w:b/>
          <w:snapToGrid w:val="0"/>
          <w:sz w:val="20"/>
        </w:rPr>
        <w:t xml:space="preserve">A) ESTADO DE INGRESOS Y GASTOS RECONOCIDOS </w:t>
      </w:r>
      <w:r w:rsidRPr="00556E1C">
        <w:rPr>
          <w:b/>
          <w:bCs/>
          <w:sz w:val="20"/>
        </w:rPr>
        <w:t>(Expresado en euros)</w:t>
      </w:r>
      <w:r w:rsidRPr="00D43E6F">
        <w:rPr>
          <w:b/>
          <w:bCs/>
          <w:snapToGrid w:val="0"/>
          <w:sz w:val="20"/>
        </w:rPr>
        <w:t xml:space="preserve"> </w:t>
      </w:r>
    </w:p>
    <w:p w14:paraId="497EAC55" w14:textId="77777777" w:rsidR="006220A2" w:rsidRDefault="006220A2" w:rsidP="006220A2">
      <w:pPr>
        <w:widowControl w:val="0"/>
        <w:tabs>
          <w:tab w:val="left" w:pos="284"/>
          <w:tab w:val="left" w:pos="567"/>
          <w:tab w:val="left" w:pos="851"/>
        </w:tabs>
        <w:rPr>
          <w:b/>
          <w:snapToGrid w:val="0"/>
          <w:sz w:val="20"/>
        </w:rPr>
      </w:pPr>
    </w:p>
    <w:tbl>
      <w:tblPr>
        <w:tblW w:w="5000" w:type="pct"/>
        <w:jc w:val="center"/>
        <w:tblCellMar>
          <w:left w:w="70" w:type="dxa"/>
          <w:right w:w="70" w:type="dxa"/>
        </w:tblCellMar>
        <w:tblLook w:val="04A0" w:firstRow="1" w:lastRow="0" w:firstColumn="1" w:lastColumn="0" w:noHBand="0" w:noVBand="1"/>
      </w:tblPr>
      <w:tblGrid>
        <w:gridCol w:w="4542"/>
        <w:gridCol w:w="856"/>
        <w:gridCol w:w="1952"/>
        <w:gridCol w:w="1855"/>
      </w:tblGrid>
      <w:tr w:rsidR="006220A2" w:rsidRPr="00346DA3" w14:paraId="4D2BC350" w14:textId="77777777" w:rsidTr="001A7C10">
        <w:trPr>
          <w:trHeight w:val="238"/>
          <w:jc w:val="center"/>
        </w:trPr>
        <w:tc>
          <w:tcPr>
            <w:tcW w:w="2339" w:type="pct"/>
            <w:tcBorders>
              <w:top w:val="single" w:sz="8" w:space="0" w:color="auto"/>
              <w:left w:val="nil"/>
              <w:bottom w:val="nil"/>
              <w:right w:val="nil"/>
            </w:tcBorders>
            <w:shd w:val="clear" w:color="auto" w:fill="F2F2F2"/>
            <w:noWrap/>
            <w:vAlign w:val="bottom"/>
            <w:hideMark/>
          </w:tcPr>
          <w:p w14:paraId="1BA60F59" w14:textId="77777777" w:rsidR="006220A2" w:rsidRPr="00346DA3" w:rsidRDefault="006220A2" w:rsidP="00852114">
            <w:pPr>
              <w:rPr>
                <w:rFonts w:eastAsia="Times New Roman"/>
                <w:sz w:val="18"/>
                <w:szCs w:val="18"/>
              </w:rPr>
            </w:pPr>
            <w:r w:rsidRPr="00346DA3">
              <w:rPr>
                <w:rFonts w:eastAsia="Times New Roman"/>
                <w:sz w:val="18"/>
                <w:szCs w:val="18"/>
              </w:rPr>
              <w:t> </w:t>
            </w:r>
          </w:p>
        </w:tc>
        <w:tc>
          <w:tcPr>
            <w:tcW w:w="508" w:type="pct"/>
            <w:tcBorders>
              <w:top w:val="single" w:sz="8" w:space="0" w:color="auto"/>
              <w:left w:val="nil"/>
              <w:bottom w:val="nil"/>
              <w:right w:val="nil"/>
            </w:tcBorders>
            <w:shd w:val="clear" w:color="auto" w:fill="F2F2F2"/>
            <w:noWrap/>
            <w:vAlign w:val="bottom"/>
            <w:hideMark/>
          </w:tcPr>
          <w:p w14:paraId="4CA79456" w14:textId="77777777" w:rsidR="006220A2" w:rsidRPr="00346DA3" w:rsidRDefault="006220A2" w:rsidP="00852114">
            <w:pPr>
              <w:rPr>
                <w:rFonts w:eastAsia="Times New Roman"/>
                <w:sz w:val="18"/>
                <w:szCs w:val="18"/>
              </w:rPr>
            </w:pPr>
            <w:r w:rsidRPr="00346DA3">
              <w:rPr>
                <w:rFonts w:eastAsia="Times New Roman"/>
                <w:sz w:val="18"/>
                <w:szCs w:val="18"/>
              </w:rPr>
              <w:t> </w:t>
            </w:r>
          </w:p>
        </w:tc>
        <w:tc>
          <w:tcPr>
            <w:tcW w:w="1103" w:type="pct"/>
            <w:tcBorders>
              <w:top w:val="single" w:sz="8" w:space="0" w:color="auto"/>
              <w:left w:val="nil"/>
              <w:bottom w:val="single" w:sz="8" w:space="0" w:color="auto"/>
              <w:right w:val="nil"/>
            </w:tcBorders>
            <w:shd w:val="clear" w:color="auto" w:fill="F2F2F2"/>
            <w:noWrap/>
            <w:vAlign w:val="center"/>
            <w:hideMark/>
          </w:tcPr>
          <w:p w14:paraId="53F27A43" w14:textId="77777777" w:rsidR="006220A2" w:rsidRPr="00346DA3" w:rsidRDefault="006220A2" w:rsidP="00852114">
            <w:pPr>
              <w:jc w:val="center"/>
              <w:rPr>
                <w:rFonts w:eastAsia="Times New Roman"/>
                <w:b/>
                <w:bCs/>
                <w:sz w:val="18"/>
                <w:szCs w:val="18"/>
              </w:rPr>
            </w:pPr>
            <w:r w:rsidRPr="00346DA3">
              <w:rPr>
                <w:rFonts w:eastAsia="Times New Roman"/>
                <w:b/>
                <w:bCs/>
                <w:sz w:val="18"/>
                <w:szCs w:val="18"/>
              </w:rPr>
              <w:t>Al 31 de diciembre</w:t>
            </w:r>
          </w:p>
        </w:tc>
        <w:tc>
          <w:tcPr>
            <w:tcW w:w="1051" w:type="pct"/>
            <w:tcBorders>
              <w:top w:val="single" w:sz="8" w:space="0" w:color="auto"/>
              <w:left w:val="nil"/>
              <w:bottom w:val="single" w:sz="8" w:space="0" w:color="auto"/>
              <w:right w:val="nil"/>
            </w:tcBorders>
            <w:shd w:val="clear" w:color="auto" w:fill="F2F2F2"/>
            <w:noWrap/>
            <w:vAlign w:val="center"/>
            <w:hideMark/>
          </w:tcPr>
          <w:p w14:paraId="18494012" w14:textId="77777777" w:rsidR="006220A2" w:rsidRPr="00346DA3" w:rsidRDefault="006220A2" w:rsidP="00852114">
            <w:pPr>
              <w:jc w:val="center"/>
              <w:rPr>
                <w:rFonts w:eastAsia="Times New Roman"/>
                <w:b/>
                <w:bCs/>
                <w:sz w:val="18"/>
                <w:szCs w:val="18"/>
              </w:rPr>
            </w:pPr>
            <w:r w:rsidRPr="00346DA3">
              <w:rPr>
                <w:rFonts w:eastAsia="Times New Roman"/>
                <w:b/>
                <w:bCs/>
                <w:sz w:val="18"/>
                <w:szCs w:val="18"/>
              </w:rPr>
              <w:t>Al 31 de diciembre</w:t>
            </w:r>
          </w:p>
        </w:tc>
      </w:tr>
      <w:tr w:rsidR="006220A2" w:rsidRPr="00346DA3" w14:paraId="4B97C720" w14:textId="77777777" w:rsidTr="001A7C10">
        <w:trPr>
          <w:trHeight w:val="238"/>
          <w:jc w:val="center"/>
        </w:trPr>
        <w:tc>
          <w:tcPr>
            <w:tcW w:w="2339" w:type="pct"/>
            <w:tcBorders>
              <w:top w:val="nil"/>
              <w:left w:val="nil"/>
              <w:bottom w:val="single" w:sz="8" w:space="0" w:color="auto"/>
              <w:right w:val="nil"/>
            </w:tcBorders>
            <w:shd w:val="clear" w:color="auto" w:fill="F2F2F2"/>
            <w:noWrap/>
            <w:vAlign w:val="bottom"/>
            <w:hideMark/>
          </w:tcPr>
          <w:p w14:paraId="22F0A690" w14:textId="77777777" w:rsidR="006220A2" w:rsidRPr="00346DA3" w:rsidRDefault="006220A2" w:rsidP="00852114">
            <w:pPr>
              <w:rPr>
                <w:rFonts w:eastAsia="Times New Roman"/>
                <w:sz w:val="18"/>
                <w:szCs w:val="18"/>
              </w:rPr>
            </w:pPr>
            <w:r w:rsidRPr="00346DA3">
              <w:rPr>
                <w:rFonts w:eastAsia="Times New Roman"/>
                <w:sz w:val="18"/>
                <w:szCs w:val="18"/>
              </w:rPr>
              <w:t> </w:t>
            </w:r>
          </w:p>
        </w:tc>
        <w:tc>
          <w:tcPr>
            <w:tcW w:w="508" w:type="pct"/>
            <w:tcBorders>
              <w:top w:val="nil"/>
              <w:left w:val="nil"/>
              <w:bottom w:val="single" w:sz="8" w:space="0" w:color="auto"/>
              <w:right w:val="nil"/>
            </w:tcBorders>
            <w:shd w:val="clear" w:color="auto" w:fill="F2F2F2"/>
            <w:noWrap/>
            <w:vAlign w:val="center"/>
            <w:hideMark/>
          </w:tcPr>
          <w:p w14:paraId="05329545" w14:textId="77777777" w:rsidR="006220A2" w:rsidRPr="00346DA3" w:rsidRDefault="006220A2" w:rsidP="00852114">
            <w:pPr>
              <w:jc w:val="center"/>
              <w:rPr>
                <w:rFonts w:eastAsia="Times New Roman"/>
                <w:b/>
                <w:bCs/>
                <w:sz w:val="18"/>
                <w:szCs w:val="18"/>
              </w:rPr>
            </w:pPr>
            <w:r w:rsidRPr="00346DA3">
              <w:rPr>
                <w:rFonts w:eastAsia="Times New Roman"/>
                <w:b/>
                <w:bCs/>
                <w:sz w:val="18"/>
                <w:szCs w:val="18"/>
              </w:rPr>
              <w:t>Nota</w:t>
            </w:r>
            <w:r>
              <w:rPr>
                <w:rFonts w:eastAsia="Times New Roman"/>
                <w:b/>
                <w:bCs/>
                <w:sz w:val="18"/>
                <w:szCs w:val="18"/>
              </w:rPr>
              <w:t>s</w:t>
            </w:r>
          </w:p>
        </w:tc>
        <w:tc>
          <w:tcPr>
            <w:tcW w:w="1103" w:type="pct"/>
            <w:tcBorders>
              <w:top w:val="nil"/>
              <w:left w:val="nil"/>
              <w:bottom w:val="single" w:sz="8" w:space="0" w:color="auto"/>
              <w:right w:val="nil"/>
            </w:tcBorders>
            <w:shd w:val="clear" w:color="auto" w:fill="F2F2F2"/>
            <w:noWrap/>
            <w:vAlign w:val="center"/>
            <w:hideMark/>
          </w:tcPr>
          <w:p w14:paraId="009518F7" w14:textId="77777777" w:rsidR="006220A2" w:rsidRPr="00346DA3" w:rsidRDefault="00556E1C" w:rsidP="00852114">
            <w:pPr>
              <w:jc w:val="center"/>
              <w:rPr>
                <w:rFonts w:eastAsia="Times New Roman"/>
                <w:b/>
                <w:bCs/>
                <w:sz w:val="18"/>
                <w:szCs w:val="18"/>
              </w:rPr>
            </w:pPr>
            <w:r>
              <w:rPr>
                <w:rFonts w:eastAsia="Times New Roman"/>
                <w:b/>
                <w:bCs/>
                <w:sz w:val="18"/>
                <w:szCs w:val="18"/>
              </w:rPr>
              <w:t>2018</w:t>
            </w:r>
          </w:p>
        </w:tc>
        <w:tc>
          <w:tcPr>
            <w:tcW w:w="1051" w:type="pct"/>
            <w:tcBorders>
              <w:top w:val="nil"/>
              <w:left w:val="nil"/>
              <w:bottom w:val="single" w:sz="8" w:space="0" w:color="auto"/>
              <w:right w:val="nil"/>
            </w:tcBorders>
            <w:shd w:val="clear" w:color="auto" w:fill="F2F2F2"/>
            <w:noWrap/>
            <w:vAlign w:val="center"/>
            <w:hideMark/>
          </w:tcPr>
          <w:p w14:paraId="72EB653D" w14:textId="77777777" w:rsidR="006220A2" w:rsidRPr="00346DA3" w:rsidRDefault="00556E1C" w:rsidP="00852114">
            <w:pPr>
              <w:jc w:val="center"/>
              <w:rPr>
                <w:rFonts w:eastAsia="Times New Roman"/>
                <w:b/>
                <w:bCs/>
                <w:sz w:val="18"/>
                <w:szCs w:val="18"/>
              </w:rPr>
            </w:pPr>
            <w:r>
              <w:rPr>
                <w:rFonts w:eastAsia="Times New Roman"/>
                <w:b/>
                <w:bCs/>
                <w:sz w:val="18"/>
                <w:szCs w:val="18"/>
              </w:rPr>
              <w:t>2017</w:t>
            </w:r>
          </w:p>
        </w:tc>
      </w:tr>
      <w:tr w:rsidR="006220A2" w:rsidRPr="00346DA3" w14:paraId="43526605" w14:textId="77777777" w:rsidTr="001A7C10">
        <w:trPr>
          <w:trHeight w:val="340"/>
          <w:jc w:val="center"/>
        </w:trPr>
        <w:tc>
          <w:tcPr>
            <w:tcW w:w="2339" w:type="pct"/>
            <w:tcBorders>
              <w:top w:val="nil"/>
              <w:left w:val="nil"/>
              <w:bottom w:val="single" w:sz="8" w:space="0" w:color="auto"/>
              <w:right w:val="nil"/>
            </w:tcBorders>
            <w:shd w:val="clear" w:color="auto" w:fill="F2F2F2"/>
            <w:noWrap/>
            <w:vAlign w:val="center"/>
            <w:hideMark/>
          </w:tcPr>
          <w:p w14:paraId="18BF06A5" w14:textId="77777777" w:rsidR="006220A2" w:rsidRPr="00346DA3" w:rsidRDefault="006220A2" w:rsidP="00852114">
            <w:pPr>
              <w:rPr>
                <w:rFonts w:eastAsia="Times New Roman"/>
                <w:b/>
                <w:bCs/>
                <w:sz w:val="18"/>
                <w:szCs w:val="18"/>
              </w:rPr>
            </w:pPr>
            <w:r w:rsidRPr="00346DA3">
              <w:rPr>
                <w:rFonts w:eastAsia="Times New Roman"/>
                <w:b/>
                <w:bCs/>
                <w:sz w:val="18"/>
                <w:szCs w:val="18"/>
              </w:rPr>
              <w:t>Resultado de la cuenta de pérdidas y ganancias</w:t>
            </w:r>
          </w:p>
        </w:tc>
        <w:tc>
          <w:tcPr>
            <w:tcW w:w="508" w:type="pct"/>
            <w:tcBorders>
              <w:top w:val="nil"/>
              <w:left w:val="nil"/>
              <w:bottom w:val="single" w:sz="8" w:space="0" w:color="auto"/>
              <w:right w:val="nil"/>
            </w:tcBorders>
            <w:shd w:val="clear" w:color="auto" w:fill="F2F2F2"/>
            <w:noWrap/>
            <w:vAlign w:val="center"/>
            <w:hideMark/>
          </w:tcPr>
          <w:p w14:paraId="736EB09E" w14:textId="77777777" w:rsidR="006220A2" w:rsidRPr="00346DA3" w:rsidRDefault="006220A2" w:rsidP="00852114">
            <w:pPr>
              <w:rPr>
                <w:rFonts w:eastAsia="Times New Roman"/>
                <w:sz w:val="18"/>
                <w:szCs w:val="18"/>
              </w:rPr>
            </w:pPr>
            <w:r w:rsidRPr="00346DA3">
              <w:rPr>
                <w:rFonts w:eastAsia="Times New Roman"/>
                <w:sz w:val="18"/>
                <w:szCs w:val="18"/>
              </w:rPr>
              <w:t> </w:t>
            </w:r>
          </w:p>
        </w:tc>
        <w:tc>
          <w:tcPr>
            <w:tcW w:w="1103" w:type="pct"/>
            <w:tcBorders>
              <w:top w:val="nil"/>
              <w:left w:val="nil"/>
              <w:bottom w:val="single" w:sz="8" w:space="0" w:color="auto"/>
              <w:right w:val="nil"/>
            </w:tcBorders>
            <w:shd w:val="clear" w:color="auto" w:fill="F2F2F2"/>
            <w:noWrap/>
            <w:vAlign w:val="center"/>
          </w:tcPr>
          <w:p w14:paraId="787AA4F1" w14:textId="77777777" w:rsidR="006220A2" w:rsidRDefault="006220A2" w:rsidP="00852114">
            <w:pPr>
              <w:ind w:left="708" w:hanging="708"/>
              <w:jc w:val="right"/>
              <w:rPr>
                <w:b/>
                <w:bCs/>
                <w:sz w:val="18"/>
                <w:szCs w:val="18"/>
              </w:rPr>
            </w:pPr>
            <w:r>
              <w:rPr>
                <w:b/>
                <w:bCs/>
                <w:sz w:val="18"/>
                <w:szCs w:val="18"/>
              </w:rPr>
              <w:t>(2.165.867,00)</w:t>
            </w:r>
          </w:p>
        </w:tc>
        <w:tc>
          <w:tcPr>
            <w:tcW w:w="1051" w:type="pct"/>
            <w:tcBorders>
              <w:top w:val="nil"/>
              <w:left w:val="nil"/>
              <w:bottom w:val="single" w:sz="8" w:space="0" w:color="auto"/>
              <w:right w:val="nil"/>
            </w:tcBorders>
            <w:shd w:val="clear" w:color="auto" w:fill="F2F2F2"/>
            <w:noWrap/>
            <w:vAlign w:val="center"/>
            <w:hideMark/>
          </w:tcPr>
          <w:p w14:paraId="1416A205" w14:textId="77777777" w:rsidR="006220A2" w:rsidRPr="00346DA3" w:rsidRDefault="006220A2" w:rsidP="00852114">
            <w:pPr>
              <w:jc w:val="right"/>
              <w:rPr>
                <w:rFonts w:eastAsia="Times New Roman"/>
                <w:b/>
                <w:bCs/>
                <w:sz w:val="18"/>
                <w:szCs w:val="18"/>
              </w:rPr>
            </w:pPr>
            <w:r w:rsidRPr="00346DA3">
              <w:rPr>
                <w:rFonts w:eastAsia="Times New Roman"/>
                <w:b/>
                <w:bCs/>
                <w:sz w:val="18"/>
                <w:szCs w:val="18"/>
              </w:rPr>
              <w:t>(2.165.867,00)</w:t>
            </w:r>
          </w:p>
        </w:tc>
      </w:tr>
      <w:tr w:rsidR="006220A2" w:rsidRPr="00346DA3" w14:paraId="3263176A" w14:textId="77777777" w:rsidTr="00065019">
        <w:trPr>
          <w:trHeight w:val="255"/>
          <w:jc w:val="center"/>
        </w:trPr>
        <w:tc>
          <w:tcPr>
            <w:tcW w:w="2339" w:type="pct"/>
            <w:tcBorders>
              <w:top w:val="nil"/>
              <w:left w:val="nil"/>
              <w:bottom w:val="single" w:sz="8" w:space="0" w:color="auto"/>
              <w:right w:val="nil"/>
            </w:tcBorders>
            <w:shd w:val="clear" w:color="auto" w:fill="auto"/>
            <w:noWrap/>
            <w:vAlign w:val="center"/>
            <w:hideMark/>
          </w:tcPr>
          <w:p w14:paraId="4B209D3D" w14:textId="77777777" w:rsidR="0045206D" w:rsidRDefault="006220A2" w:rsidP="00852114">
            <w:pPr>
              <w:rPr>
                <w:rFonts w:eastAsia="Times New Roman"/>
                <w:b/>
                <w:bCs/>
                <w:sz w:val="18"/>
                <w:szCs w:val="18"/>
              </w:rPr>
            </w:pPr>
            <w:r w:rsidRPr="00346DA3">
              <w:rPr>
                <w:rFonts w:eastAsia="Times New Roman"/>
                <w:b/>
                <w:bCs/>
                <w:sz w:val="18"/>
                <w:szCs w:val="18"/>
              </w:rPr>
              <w:t xml:space="preserve">Ingresos y gastos imputados directamente </w:t>
            </w:r>
          </w:p>
          <w:p w14:paraId="3D3D1BAE" w14:textId="77777777" w:rsidR="006220A2" w:rsidRPr="00346DA3" w:rsidRDefault="006220A2" w:rsidP="00852114">
            <w:pPr>
              <w:rPr>
                <w:rFonts w:eastAsia="Times New Roman"/>
                <w:b/>
                <w:bCs/>
                <w:sz w:val="18"/>
                <w:szCs w:val="18"/>
              </w:rPr>
            </w:pPr>
            <w:r w:rsidRPr="00346DA3">
              <w:rPr>
                <w:rFonts w:eastAsia="Times New Roman"/>
                <w:b/>
                <w:bCs/>
                <w:sz w:val="18"/>
                <w:szCs w:val="18"/>
              </w:rPr>
              <w:t>al patrimonio neto</w:t>
            </w:r>
          </w:p>
        </w:tc>
        <w:tc>
          <w:tcPr>
            <w:tcW w:w="508" w:type="pct"/>
            <w:tcBorders>
              <w:top w:val="nil"/>
              <w:left w:val="nil"/>
              <w:bottom w:val="single" w:sz="8" w:space="0" w:color="auto"/>
              <w:right w:val="nil"/>
            </w:tcBorders>
            <w:shd w:val="clear" w:color="auto" w:fill="auto"/>
            <w:noWrap/>
            <w:vAlign w:val="center"/>
            <w:hideMark/>
          </w:tcPr>
          <w:p w14:paraId="6C5BB8FA" w14:textId="77777777" w:rsidR="006220A2" w:rsidRPr="00346DA3" w:rsidRDefault="006220A2" w:rsidP="00852114">
            <w:pPr>
              <w:rPr>
                <w:rFonts w:eastAsia="Times New Roman"/>
                <w:sz w:val="18"/>
                <w:szCs w:val="18"/>
              </w:rPr>
            </w:pPr>
            <w:r w:rsidRPr="00346DA3">
              <w:rPr>
                <w:rFonts w:eastAsia="Times New Roman"/>
                <w:sz w:val="18"/>
                <w:szCs w:val="18"/>
              </w:rPr>
              <w:t> </w:t>
            </w:r>
          </w:p>
        </w:tc>
        <w:tc>
          <w:tcPr>
            <w:tcW w:w="1103" w:type="pct"/>
            <w:tcBorders>
              <w:top w:val="nil"/>
              <w:left w:val="nil"/>
              <w:bottom w:val="single" w:sz="8" w:space="0" w:color="auto"/>
              <w:right w:val="nil"/>
            </w:tcBorders>
            <w:shd w:val="clear" w:color="auto" w:fill="auto"/>
            <w:noWrap/>
            <w:vAlign w:val="center"/>
          </w:tcPr>
          <w:p w14:paraId="15D435B3" w14:textId="77777777" w:rsidR="006220A2" w:rsidRDefault="006220A2" w:rsidP="00852114">
            <w:pPr>
              <w:ind w:left="708" w:hanging="424"/>
              <w:jc w:val="right"/>
              <w:rPr>
                <w:b/>
                <w:bCs/>
                <w:sz w:val="18"/>
                <w:szCs w:val="18"/>
              </w:rPr>
            </w:pPr>
            <w:r>
              <w:rPr>
                <w:b/>
                <w:bCs/>
                <w:sz w:val="18"/>
                <w:szCs w:val="18"/>
              </w:rPr>
              <w:t xml:space="preserve"> -</w:t>
            </w:r>
          </w:p>
        </w:tc>
        <w:tc>
          <w:tcPr>
            <w:tcW w:w="1051" w:type="pct"/>
            <w:tcBorders>
              <w:top w:val="nil"/>
              <w:left w:val="nil"/>
              <w:bottom w:val="single" w:sz="8" w:space="0" w:color="auto"/>
              <w:right w:val="nil"/>
            </w:tcBorders>
            <w:shd w:val="clear" w:color="auto" w:fill="auto"/>
            <w:noWrap/>
            <w:vAlign w:val="center"/>
            <w:hideMark/>
          </w:tcPr>
          <w:p w14:paraId="091CD6A4" w14:textId="77777777" w:rsidR="006220A2" w:rsidRPr="00346DA3" w:rsidRDefault="006220A2" w:rsidP="00852114">
            <w:pPr>
              <w:jc w:val="right"/>
              <w:rPr>
                <w:rFonts w:eastAsia="Times New Roman"/>
                <w:b/>
                <w:bCs/>
                <w:sz w:val="18"/>
                <w:szCs w:val="18"/>
              </w:rPr>
            </w:pPr>
            <w:r w:rsidRPr="00346DA3">
              <w:rPr>
                <w:rFonts w:eastAsia="Times New Roman"/>
                <w:b/>
                <w:bCs/>
                <w:sz w:val="18"/>
                <w:szCs w:val="18"/>
              </w:rPr>
              <w:t xml:space="preserve"> -</w:t>
            </w:r>
          </w:p>
        </w:tc>
      </w:tr>
      <w:tr w:rsidR="006220A2" w:rsidRPr="00346DA3" w14:paraId="021FF30C" w14:textId="77777777" w:rsidTr="001A7C10">
        <w:trPr>
          <w:trHeight w:val="340"/>
          <w:jc w:val="center"/>
        </w:trPr>
        <w:tc>
          <w:tcPr>
            <w:tcW w:w="2339" w:type="pct"/>
            <w:tcBorders>
              <w:top w:val="nil"/>
              <w:left w:val="nil"/>
              <w:bottom w:val="single" w:sz="8" w:space="0" w:color="auto"/>
              <w:right w:val="nil"/>
            </w:tcBorders>
            <w:shd w:val="clear" w:color="auto" w:fill="F2F2F2"/>
            <w:noWrap/>
            <w:vAlign w:val="center"/>
            <w:hideMark/>
          </w:tcPr>
          <w:p w14:paraId="1E85FC13" w14:textId="77777777" w:rsidR="006220A2" w:rsidRPr="00346DA3" w:rsidRDefault="006220A2" w:rsidP="00852114">
            <w:pPr>
              <w:rPr>
                <w:rFonts w:eastAsia="Times New Roman"/>
                <w:b/>
                <w:bCs/>
                <w:sz w:val="18"/>
                <w:szCs w:val="18"/>
              </w:rPr>
            </w:pPr>
            <w:r w:rsidRPr="00346DA3">
              <w:rPr>
                <w:rFonts w:eastAsia="Times New Roman"/>
                <w:b/>
                <w:bCs/>
                <w:sz w:val="18"/>
                <w:szCs w:val="18"/>
              </w:rPr>
              <w:t>Transferencias a la cuenta de pérdidas y ganancias</w:t>
            </w:r>
          </w:p>
        </w:tc>
        <w:tc>
          <w:tcPr>
            <w:tcW w:w="508" w:type="pct"/>
            <w:tcBorders>
              <w:top w:val="nil"/>
              <w:left w:val="nil"/>
              <w:bottom w:val="single" w:sz="8" w:space="0" w:color="auto"/>
              <w:right w:val="nil"/>
            </w:tcBorders>
            <w:shd w:val="clear" w:color="auto" w:fill="F2F2F2"/>
            <w:noWrap/>
            <w:vAlign w:val="center"/>
            <w:hideMark/>
          </w:tcPr>
          <w:p w14:paraId="15243215" w14:textId="77777777" w:rsidR="006220A2" w:rsidRPr="00346DA3" w:rsidRDefault="006220A2" w:rsidP="00852114">
            <w:pPr>
              <w:rPr>
                <w:rFonts w:eastAsia="Times New Roman"/>
                <w:sz w:val="18"/>
                <w:szCs w:val="18"/>
              </w:rPr>
            </w:pPr>
            <w:r w:rsidRPr="00346DA3">
              <w:rPr>
                <w:rFonts w:eastAsia="Times New Roman"/>
                <w:sz w:val="18"/>
                <w:szCs w:val="18"/>
              </w:rPr>
              <w:t> </w:t>
            </w:r>
          </w:p>
        </w:tc>
        <w:tc>
          <w:tcPr>
            <w:tcW w:w="1103" w:type="pct"/>
            <w:tcBorders>
              <w:top w:val="nil"/>
              <w:left w:val="nil"/>
              <w:bottom w:val="single" w:sz="8" w:space="0" w:color="auto"/>
              <w:right w:val="nil"/>
            </w:tcBorders>
            <w:shd w:val="clear" w:color="auto" w:fill="F2F2F2"/>
            <w:noWrap/>
            <w:vAlign w:val="center"/>
          </w:tcPr>
          <w:p w14:paraId="28A2068E" w14:textId="77777777" w:rsidR="006220A2" w:rsidRDefault="00515CDC" w:rsidP="00852114">
            <w:pPr>
              <w:ind w:left="708" w:hanging="424"/>
              <w:jc w:val="right"/>
              <w:rPr>
                <w:b/>
                <w:bCs/>
                <w:sz w:val="18"/>
                <w:szCs w:val="18"/>
              </w:rPr>
            </w:pPr>
            <w:r>
              <w:rPr>
                <w:b/>
                <w:bCs/>
                <w:sz w:val="18"/>
                <w:szCs w:val="18"/>
              </w:rPr>
              <w:t>(20.972.68</w:t>
            </w:r>
            <w:r w:rsidR="006220A2">
              <w:rPr>
                <w:b/>
                <w:bCs/>
                <w:sz w:val="18"/>
                <w:szCs w:val="18"/>
              </w:rPr>
              <w:t>)</w:t>
            </w:r>
          </w:p>
        </w:tc>
        <w:tc>
          <w:tcPr>
            <w:tcW w:w="1051" w:type="pct"/>
            <w:tcBorders>
              <w:top w:val="nil"/>
              <w:left w:val="nil"/>
              <w:bottom w:val="single" w:sz="8" w:space="0" w:color="auto"/>
              <w:right w:val="nil"/>
            </w:tcBorders>
            <w:shd w:val="clear" w:color="auto" w:fill="F2F2F2"/>
            <w:noWrap/>
            <w:vAlign w:val="center"/>
            <w:hideMark/>
          </w:tcPr>
          <w:p w14:paraId="6AE22E87" w14:textId="77777777" w:rsidR="006220A2" w:rsidRPr="00346DA3" w:rsidRDefault="00556E1C" w:rsidP="00852114">
            <w:pPr>
              <w:jc w:val="right"/>
              <w:rPr>
                <w:rFonts w:eastAsia="Times New Roman"/>
                <w:b/>
                <w:bCs/>
                <w:sz w:val="18"/>
                <w:szCs w:val="18"/>
              </w:rPr>
            </w:pPr>
            <w:r>
              <w:rPr>
                <w:rFonts w:eastAsia="Times New Roman"/>
                <w:b/>
                <w:bCs/>
                <w:sz w:val="18"/>
                <w:szCs w:val="18"/>
              </w:rPr>
              <w:t>(21.885,32</w:t>
            </w:r>
            <w:r w:rsidR="006220A2" w:rsidRPr="00346DA3">
              <w:rPr>
                <w:rFonts w:eastAsia="Times New Roman"/>
                <w:b/>
                <w:bCs/>
                <w:sz w:val="18"/>
                <w:szCs w:val="18"/>
              </w:rPr>
              <w:t>)</w:t>
            </w:r>
          </w:p>
        </w:tc>
      </w:tr>
      <w:tr w:rsidR="006220A2" w:rsidRPr="00346DA3" w14:paraId="5092A9E3" w14:textId="77777777" w:rsidTr="00065019">
        <w:trPr>
          <w:trHeight w:val="255"/>
          <w:jc w:val="center"/>
        </w:trPr>
        <w:tc>
          <w:tcPr>
            <w:tcW w:w="2339" w:type="pct"/>
            <w:tcBorders>
              <w:top w:val="nil"/>
              <w:left w:val="nil"/>
              <w:bottom w:val="nil"/>
              <w:right w:val="nil"/>
            </w:tcBorders>
            <w:shd w:val="clear" w:color="auto" w:fill="auto"/>
            <w:noWrap/>
            <w:vAlign w:val="center"/>
            <w:hideMark/>
          </w:tcPr>
          <w:p w14:paraId="1EBBCC88" w14:textId="77777777" w:rsidR="006220A2" w:rsidRPr="00346DA3" w:rsidRDefault="006220A2" w:rsidP="00852114">
            <w:pPr>
              <w:rPr>
                <w:rFonts w:eastAsia="Times New Roman"/>
                <w:sz w:val="18"/>
                <w:szCs w:val="18"/>
              </w:rPr>
            </w:pPr>
            <w:r w:rsidRPr="00346DA3">
              <w:rPr>
                <w:rFonts w:eastAsia="Times New Roman"/>
                <w:sz w:val="18"/>
                <w:szCs w:val="18"/>
              </w:rPr>
              <w:t>Subvenciones, donaciones y legados recibidos</w:t>
            </w:r>
          </w:p>
        </w:tc>
        <w:tc>
          <w:tcPr>
            <w:tcW w:w="508" w:type="pct"/>
            <w:tcBorders>
              <w:top w:val="nil"/>
              <w:left w:val="nil"/>
              <w:bottom w:val="nil"/>
              <w:right w:val="nil"/>
            </w:tcBorders>
            <w:shd w:val="clear" w:color="auto" w:fill="auto"/>
            <w:noWrap/>
            <w:vAlign w:val="center"/>
            <w:hideMark/>
          </w:tcPr>
          <w:p w14:paraId="25A24797" w14:textId="77777777" w:rsidR="006220A2" w:rsidRPr="0036157D" w:rsidRDefault="006220A2" w:rsidP="00852114">
            <w:pPr>
              <w:jc w:val="center"/>
              <w:rPr>
                <w:rFonts w:eastAsia="Times New Roman"/>
                <w:sz w:val="18"/>
                <w:szCs w:val="18"/>
              </w:rPr>
            </w:pPr>
            <w:r w:rsidRPr="0036157D">
              <w:rPr>
                <w:rFonts w:eastAsia="Times New Roman"/>
                <w:sz w:val="18"/>
                <w:szCs w:val="18"/>
              </w:rPr>
              <w:t>15</w:t>
            </w:r>
          </w:p>
        </w:tc>
        <w:tc>
          <w:tcPr>
            <w:tcW w:w="1103" w:type="pct"/>
            <w:tcBorders>
              <w:top w:val="nil"/>
              <w:left w:val="nil"/>
              <w:bottom w:val="nil"/>
              <w:right w:val="nil"/>
            </w:tcBorders>
            <w:shd w:val="clear" w:color="auto" w:fill="auto"/>
            <w:noWrap/>
            <w:vAlign w:val="center"/>
          </w:tcPr>
          <w:p w14:paraId="5DA12F97" w14:textId="77777777" w:rsidR="006220A2" w:rsidRDefault="00556E1C" w:rsidP="00852114">
            <w:pPr>
              <w:ind w:left="708" w:hanging="424"/>
              <w:jc w:val="right"/>
              <w:rPr>
                <w:sz w:val="18"/>
                <w:szCs w:val="18"/>
              </w:rPr>
            </w:pPr>
            <w:r>
              <w:rPr>
                <w:sz w:val="18"/>
                <w:szCs w:val="18"/>
              </w:rPr>
              <w:t>(27.963,58</w:t>
            </w:r>
            <w:r w:rsidR="006220A2">
              <w:rPr>
                <w:sz w:val="18"/>
                <w:szCs w:val="18"/>
              </w:rPr>
              <w:t>)</w:t>
            </w:r>
          </w:p>
        </w:tc>
        <w:tc>
          <w:tcPr>
            <w:tcW w:w="1051" w:type="pct"/>
            <w:tcBorders>
              <w:top w:val="nil"/>
              <w:left w:val="nil"/>
              <w:bottom w:val="nil"/>
              <w:right w:val="nil"/>
            </w:tcBorders>
            <w:shd w:val="clear" w:color="auto" w:fill="auto"/>
            <w:noWrap/>
            <w:vAlign w:val="center"/>
            <w:hideMark/>
          </w:tcPr>
          <w:p w14:paraId="0BAB957E" w14:textId="77777777" w:rsidR="006220A2" w:rsidRPr="00346DA3" w:rsidRDefault="00556E1C" w:rsidP="00852114">
            <w:pPr>
              <w:jc w:val="right"/>
              <w:rPr>
                <w:rFonts w:eastAsia="Times New Roman"/>
                <w:sz w:val="18"/>
                <w:szCs w:val="18"/>
              </w:rPr>
            </w:pPr>
            <w:r>
              <w:rPr>
                <w:rFonts w:eastAsia="Times New Roman"/>
                <w:sz w:val="18"/>
                <w:szCs w:val="18"/>
              </w:rPr>
              <w:t>(29.180,43</w:t>
            </w:r>
            <w:r w:rsidR="006220A2" w:rsidRPr="00346DA3">
              <w:rPr>
                <w:rFonts w:eastAsia="Times New Roman"/>
                <w:sz w:val="18"/>
                <w:szCs w:val="18"/>
              </w:rPr>
              <w:t>)</w:t>
            </w:r>
          </w:p>
        </w:tc>
      </w:tr>
      <w:tr w:rsidR="006220A2" w:rsidRPr="00346DA3" w14:paraId="289C8EB2" w14:textId="77777777" w:rsidTr="00065019">
        <w:trPr>
          <w:trHeight w:val="255"/>
          <w:jc w:val="center"/>
        </w:trPr>
        <w:tc>
          <w:tcPr>
            <w:tcW w:w="2339" w:type="pct"/>
            <w:tcBorders>
              <w:top w:val="nil"/>
              <w:left w:val="nil"/>
              <w:bottom w:val="nil"/>
              <w:right w:val="nil"/>
            </w:tcBorders>
            <w:shd w:val="clear" w:color="auto" w:fill="auto"/>
            <w:noWrap/>
            <w:vAlign w:val="center"/>
            <w:hideMark/>
          </w:tcPr>
          <w:p w14:paraId="258C3C43" w14:textId="77777777" w:rsidR="006220A2" w:rsidRPr="00346DA3" w:rsidRDefault="006220A2" w:rsidP="00852114">
            <w:pPr>
              <w:rPr>
                <w:rFonts w:eastAsia="Times New Roman"/>
                <w:sz w:val="18"/>
                <w:szCs w:val="18"/>
              </w:rPr>
            </w:pPr>
            <w:r w:rsidRPr="00346DA3">
              <w:rPr>
                <w:rFonts w:eastAsia="Times New Roman"/>
                <w:sz w:val="18"/>
                <w:szCs w:val="18"/>
              </w:rPr>
              <w:t>Efecto impositivo</w:t>
            </w:r>
          </w:p>
        </w:tc>
        <w:tc>
          <w:tcPr>
            <w:tcW w:w="508" w:type="pct"/>
            <w:tcBorders>
              <w:top w:val="nil"/>
              <w:left w:val="nil"/>
              <w:bottom w:val="nil"/>
              <w:right w:val="nil"/>
            </w:tcBorders>
            <w:shd w:val="clear" w:color="auto" w:fill="auto"/>
            <w:noWrap/>
            <w:vAlign w:val="center"/>
            <w:hideMark/>
          </w:tcPr>
          <w:p w14:paraId="0FF0A52B" w14:textId="77777777" w:rsidR="006220A2" w:rsidRPr="0036157D" w:rsidRDefault="006220A2" w:rsidP="00852114">
            <w:pPr>
              <w:jc w:val="center"/>
              <w:rPr>
                <w:rFonts w:eastAsia="Times New Roman"/>
                <w:sz w:val="18"/>
                <w:szCs w:val="18"/>
              </w:rPr>
            </w:pPr>
            <w:r w:rsidRPr="0036157D">
              <w:rPr>
                <w:rFonts w:eastAsia="Times New Roman"/>
                <w:sz w:val="18"/>
                <w:szCs w:val="18"/>
              </w:rPr>
              <w:t>15</w:t>
            </w:r>
          </w:p>
        </w:tc>
        <w:tc>
          <w:tcPr>
            <w:tcW w:w="1103" w:type="pct"/>
            <w:tcBorders>
              <w:top w:val="nil"/>
              <w:left w:val="nil"/>
              <w:bottom w:val="nil"/>
              <w:right w:val="nil"/>
            </w:tcBorders>
            <w:shd w:val="clear" w:color="auto" w:fill="auto"/>
            <w:noWrap/>
            <w:vAlign w:val="center"/>
          </w:tcPr>
          <w:p w14:paraId="1DFD1965" w14:textId="77777777" w:rsidR="006220A2" w:rsidRDefault="00556E1C" w:rsidP="00852114">
            <w:pPr>
              <w:ind w:left="708" w:hanging="424"/>
              <w:jc w:val="right"/>
              <w:rPr>
                <w:sz w:val="18"/>
                <w:szCs w:val="18"/>
              </w:rPr>
            </w:pPr>
            <w:r>
              <w:rPr>
                <w:sz w:val="18"/>
                <w:szCs w:val="18"/>
              </w:rPr>
              <w:t>6.990.90</w:t>
            </w:r>
          </w:p>
        </w:tc>
        <w:tc>
          <w:tcPr>
            <w:tcW w:w="1051" w:type="pct"/>
            <w:tcBorders>
              <w:top w:val="nil"/>
              <w:left w:val="nil"/>
              <w:bottom w:val="nil"/>
              <w:right w:val="nil"/>
            </w:tcBorders>
            <w:shd w:val="clear" w:color="auto" w:fill="auto"/>
            <w:noWrap/>
            <w:vAlign w:val="center"/>
            <w:hideMark/>
          </w:tcPr>
          <w:p w14:paraId="11C40911" w14:textId="77777777" w:rsidR="006220A2" w:rsidRPr="00346DA3" w:rsidRDefault="00556E1C" w:rsidP="00852114">
            <w:pPr>
              <w:jc w:val="right"/>
              <w:rPr>
                <w:rFonts w:eastAsia="Times New Roman"/>
                <w:sz w:val="18"/>
                <w:szCs w:val="18"/>
              </w:rPr>
            </w:pPr>
            <w:r>
              <w:rPr>
                <w:rFonts w:eastAsia="Times New Roman"/>
                <w:sz w:val="18"/>
                <w:szCs w:val="18"/>
              </w:rPr>
              <w:t>7.295,11</w:t>
            </w:r>
          </w:p>
        </w:tc>
      </w:tr>
      <w:tr w:rsidR="006220A2" w:rsidRPr="00346DA3" w14:paraId="5DB66D12" w14:textId="77777777" w:rsidTr="001A7C10">
        <w:trPr>
          <w:trHeight w:val="340"/>
          <w:jc w:val="center"/>
        </w:trPr>
        <w:tc>
          <w:tcPr>
            <w:tcW w:w="2339" w:type="pct"/>
            <w:tcBorders>
              <w:top w:val="single" w:sz="8" w:space="0" w:color="auto"/>
              <w:left w:val="nil"/>
              <w:bottom w:val="single" w:sz="8" w:space="0" w:color="auto"/>
              <w:right w:val="nil"/>
            </w:tcBorders>
            <w:shd w:val="clear" w:color="auto" w:fill="F2F2F2"/>
            <w:noWrap/>
            <w:vAlign w:val="center"/>
            <w:hideMark/>
          </w:tcPr>
          <w:p w14:paraId="191AFB03" w14:textId="77777777" w:rsidR="006220A2" w:rsidRPr="00346DA3" w:rsidRDefault="006220A2" w:rsidP="00852114">
            <w:pPr>
              <w:rPr>
                <w:rFonts w:eastAsia="Times New Roman"/>
                <w:b/>
                <w:bCs/>
                <w:sz w:val="18"/>
                <w:szCs w:val="18"/>
              </w:rPr>
            </w:pPr>
            <w:r w:rsidRPr="00346DA3">
              <w:rPr>
                <w:rFonts w:eastAsia="Times New Roman"/>
                <w:b/>
                <w:bCs/>
                <w:sz w:val="18"/>
                <w:szCs w:val="18"/>
              </w:rPr>
              <w:t>TOTAL DE INGRESOS Y GASTOS RECONOCIDOS</w:t>
            </w:r>
          </w:p>
        </w:tc>
        <w:tc>
          <w:tcPr>
            <w:tcW w:w="508" w:type="pct"/>
            <w:tcBorders>
              <w:top w:val="single" w:sz="8" w:space="0" w:color="auto"/>
              <w:left w:val="nil"/>
              <w:bottom w:val="single" w:sz="8" w:space="0" w:color="auto"/>
              <w:right w:val="nil"/>
            </w:tcBorders>
            <w:shd w:val="clear" w:color="auto" w:fill="F2F2F2"/>
            <w:noWrap/>
            <w:vAlign w:val="center"/>
            <w:hideMark/>
          </w:tcPr>
          <w:p w14:paraId="3B1C6C58" w14:textId="77777777" w:rsidR="006220A2" w:rsidRPr="00346DA3" w:rsidRDefault="006220A2" w:rsidP="00852114">
            <w:pPr>
              <w:rPr>
                <w:rFonts w:eastAsia="Times New Roman"/>
                <w:sz w:val="18"/>
                <w:szCs w:val="18"/>
              </w:rPr>
            </w:pPr>
            <w:r w:rsidRPr="00346DA3">
              <w:rPr>
                <w:rFonts w:eastAsia="Times New Roman"/>
                <w:sz w:val="18"/>
                <w:szCs w:val="18"/>
              </w:rPr>
              <w:t> </w:t>
            </w:r>
          </w:p>
        </w:tc>
        <w:tc>
          <w:tcPr>
            <w:tcW w:w="1103" w:type="pct"/>
            <w:tcBorders>
              <w:top w:val="single" w:sz="8" w:space="0" w:color="auto"/>
              <w:left w:val="nil"/>
              <w:bottom w:val="single" w:sz="8" w:space="0" w:color="auto"/>
              <w:right w:val="nil"/>
            </w:tcBorders>
            <w:shd w:val="clear" w:color="auto" w:fill="F2F2F2"/>
            <w:noWrap/>
            <w:vAlign w:val="center"/>
          </w:tcPr>
          <w:p w14:paraId="4C754608" w14:textId="77777777" w:rsidR="006220A2" w:rsidRDefault="00556E1C" w:rsidP="00515CDC">
            <w:pPr>
              <w:ind w:left="708" w:hanging="424"/>
              <w:jc w:val="right"/>
              <w:rPr>
                <w:b/>
                <w:bCs/>
                <w:sz w:val="18"/>
                <w:szCs w:val="18"/>
              </w:rPr>
            </w:pPr>
            <w:r>
              <w:rPr>
                <w:b/>
                <w:bCs/>
                <w:sz w:val="18"/>
                <w:szCs w:val="18"/>
              </w:rPr>
              <w:t>(2.186.839,6</w:t>
            </w:r>
            <w:r w:rsidR="00515CDC">
              <w:rPr>
                <w:b/>
                <w:bCs/>
                <w:sz w:val="18"/>
                <w:szCs w:val="18"/>
              </w:rPr>
              <w:t>8</w:t>
            </w:r>
            <w:r w:rsidR="006220A2">
              <w:rPr>
                <w:b/>
                <w:bCs/>
                <w:sz w:val="18"/>
                <w:szCs w:val="18"/>
              </w:rPr>
              <w:t>)</w:t>
            </w:r>
          </w:p>
        </w:tc>
        <w:tc>
          <w:tcPr>
            <w:tcW w:w="1051" w:type="pct"/>
            <w:tcBorders>
              <w:top w:val="single" w:sz="8" w:space="0" w:color="auto"/>
              <w:left w:val="nil"/>
              <w:bottom w:val="single" w:sz="8" w:space="0" w:color="auto"/>
              <w:right w:val="nil"/>
            </w:tcBorders>
            <w:shd w:val="clear" w:color="auto" w:fill="F2F2F2"/>
            <w:noWrap/>
            <w:vAlign w:val="center"/>
            <w:hideMark/>
          </w:tcPr>
          <w:p w14:paraId="4A0C877C" w14:textId="77777777" w:rsidR="006220A2" w:rsidRPr="00346DA3" w:rsidRDefault="00556E1C" w:rsidP="00852114">
            <w:pPr>
              <w:jc w:val="right"/>
              <w:rPr>
                <w:rFonts w:eastAsia="Times New Roman"/>
                <w:b/>
                <w:bCs/>
                <w:sz w:val="18"/>
                <w:szCs w:val="18"/>
              </w:rPr>
            </w:pPr>
            <w:r>
              <w:rPr>
                <w:rFonts w:eastAsia="Times New Roman"/>
                <w:b/>
                <w:bCs/>
                <w:sz w:val="18"/>
                <w:szCs w:val="18"/>
              </w:rPr>
              <w:t>(2.187.752,32</w:t>
            </w:r>
            <w:r w:rsidR="006220A2" w:rsidRPr="00346DA3">
              <w:rPr>
                <w:rFonts w:eastAsia="Times New Roman"/>
                <w:b/>
                <w:bCs/>
                <w:sz w:val="18"/>
                <w:szCs w:val="18"/>
              </w:rPr>
              <w:t>)</w:t>
            </w:r>
          </w:p>
        </w:tc>
      </w:tr>
    </w:tbl>
    <w:p w14:paraId="3A834141" w14:textId="77777777" w:rsidR="006220A2" w:rsidRDefault="006220A2" w:rsidP="006220A2">
      <w:pPr>
        <w:widowControl w:val="0"/>
        <w:tabs>
          <w:tab w:val="left" w:pos="284"/>
          <w:tab w:val="left" w:pos="567"/>
          <w:tab w:val="left" w:pos="851"/>
        </w:tabs>
        <w:rPr>
          <w:b/>
          <w:snapToGrid w:val="0"/>
          <w:sz w:val="20"/>
        </w:rPr>
      </w:pPr>
    </w:p>
    <w:p w14:paraId="586B1BCD" w14:textId="77777777" w:rsidR="006220A2" w:rsidRDefault="006220A2" w:rsidP="006220A2">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20"/>
        </w:rPr>
      </w:pPr>
    </w:p>
    <w:p w14:paraId="2016625D" w14:textId="77777777" w:rsidR="006220A2" w:rsidRPr="00D43E6F" w:rsidRDefault="006220A2" w:rsidP="006220A2">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snapToGrid w:val="0"/>
          <w:sz w:val="20"/>
        </w:rPr>
      </w:pPr>
      <w:r w:rsidRPr="00D43E6F">
        <w:rPr>
          <w:b/>
          <w:snapToGrid w:val="0"/>
          <w:sz w:val="20"/>
        </w:rPr>
        <w:t xml:space="preserve">B) </w:t>
      </w:r>
      <w:r w:rsidRPr="00206334">
        <w:rPr>
          <w:b/>
          <w:snapToGrid w:val="0"/>
          <w:sz w:val="20"/>
        </w:rPr>
        <w:t xml:space="preserve">ESTADO TOTAL DE CAMBIOS EN EL PATRIMONIO NETO </w:t>
      </w:r>
      <w:r w:rsidRPr="00206334">
        <w:rPr>
          <w:b/>
          <w:bCs/>
          <w:sz w:val="20"/>
        </w:rPr>
        <w:t>(Expresado en euros)</w:t>
      </w:r>
    </w:p>
    <w:p w14:paraId="15C849ED" w14:textId="77777777" w:rsidR="006220A2" w:rsidRDefault="006220A2" w:rsidP="006220A2">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0"/>
        </w:rPr>
      </w:pPr>
    </w:p>
    <w:tbl>
      <w:tblPr>
        <w:tblW w:w="5000" w:type="pct"/>
        <w:tblCellMar>
          <w:left w:w="0" w:type="dxa"/>
          <w:right w:w="0" w:type="dxa"/>
        </w:tblCellMar>
        <w:tblLook w:val="04A0" w:firstRow="1" w:lastRow="0" w:firstColumn="1" w:lastColumn="0" w:noHBand="0" w:noVBand="1"/>
      </w:tblPr>
      <w:tblGrid>
        <w:gridCol w:w="2852"/>
        <w:gridCol w:w="991"/>
        <w:gridCol w:w="1382"/>
        <w:gridCol w:w="1318"/>
        <w:gridCol w:w="1276"/>
        <w:gridCol w:w="1246"/>
      </w:tblGrid>
      <w:tr w:rsidR="002E2D28" w:rsidRPr="0045206D" w14:paraId="5B908134" w14:textId="77777777" w:rsidTr="001A7C10">
        <w:trPr>
          <w:trHeight w:val="737"/>
        </w:trPr>
        <w:tc>
          <w:tcPr>
            <w:tcW w:w="1573" w:type="pct"/>
            <w:tcBorders>
              <w:top w:val="single" w:sz="8" w:space="0" w:color="auto"/>
              <w:left w:val="nil"/>
              <w:bottom w:val="single" w:sz="8" w:space="0" w:color="auto"/>
              <w:right w:val="nil"/>
            </w:tcBorders>
            <w:shd w:val="clear" w:color="auto" w:fill="F2F2F2"/>
            <w:noWrap/>
            <w:vAlign w:val="bottom"/>
            <w:hideMark/>
          </w:tcPr>
          <w:p w14:paraId="3FC8CF28"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7"/>
                <w:szCs w:val="17"/>
                <w:bdr w:val="none" w:sz="0" w:space="0" w:color="auto"/>
                <w:lang w:eastAsia="es-ES"/>
              </w:rPr>
            </w:pPr>
            <w:r w:rsidRPr="0045206D">
              <w:rPr>
                <w:rFonts w:eastAsia="Times New Roman"/>
                <w:sz w:val="17"/>
                <w:szCs w:val="17"/>
                <w:bdr w:val="none" w:sz="0" w:space="0" w:color="auto"/>
                <w:lang w:eastAsia="es-ES"/>
              </w:rPr>
              <w:t> </w:t>
            </w:r>
          </w:p>
        </w:tc>
        <w:tc>
          <w:tcPr>
            <w:tcW w:w="547" w:type="pct"/>
            <w:tcBorders>
              <w:top w:val="single" w:sz="8" w:space="0" w:color="auto"/>
              <w:left w:val="nil"/>
              <w:bottom w:val="single" w:sz="8" w:space="0" w:color="auto"/>
              <w:right w:val="nil"/>
            </w:tcBorders>
            <w:shd w:val="clear" w:color="auto" w:fill="F2F2F2"/>
            <w:vAlign w:val="bottom"/>
            <w:hideMark/>
          </w:tcPr>
          <w:p w14:paraId="15C00501"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7"/>
                <w:szCs w:val="17"/>
                <w:bdr w:val="none" w:sz="0" w:space="0" w:color="auto"/>
                <w:lang w:eastAsia="es-ES"/>
              </w:rPr>
            </w:pPr>
            <w:r w:rsidRPr="0045206D">
              <w:rPr>
                <w:rFonts w:eastAsia="Times New Roman"/>
                <w:b/>
                <w:bCs/>
                <w:sz w:val="17"/>
                <w:szCs w:val="17"/>
                <w:bdr w:val="none" w:sz="0" w:space="0" w:color="auto"/>
                <w:lang w:eastAsia="es-ES"/>
              </w:rPr>
              <w:t>Capital</w:t>
            </w:r>
          </w:p>
        </w:tc>
        <w:tc>
          <w:tcPr>
            <w:tcW w:w="762" w:type="pct"/>
            <w:tcBorders>
              <w:top w:val="single" w:sz="8" w:space="0" w:color="auto"/>
              <w:left w:val="nil"/>
              <w:bottom w:val="single" w:sz="8" w:space="0" w:color="auto"/>
              <w:right w:val="nil"/>
            </w:tcBorders>
            <w:shd w:val="clear" w:color="auto" w:fill="F2F2F2"/>
            <w:vAlign w:val="bottom"/>
            <w:hideMark/>
          </w:tcPr>
          <w:p w14:paraId="028CB82E"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7"/>
                <w:szCs w:val="17"/>
                <w:bdr w:val="none" w:sz="0" w:space="0" w:color="auto"/>
                <w:lang w:eastAsia="es-ES"/>
              </w:rPr>
            </w:pPr>
            <w:r w:rsidRPr="0045206D">
              <w:rPr>
                <w:rFonts w:eastAsia="Times New Roman"/>
                <w:b/>
                <w:bCs/>
                <w:sz w:val="17"/>
                <w:szCs w:val="17"/>
                <w:bdr w:val="none" w:sz="0" w:space="0" w:color="auto"/>
                <w:lang w:eastAsia="es-ES"/>
              </w:rPr>
              <w:t>Otras aportaciones de socios</w:t>
            </w:r>
          </w:p>
        </w:tc>
        <w:tc>
          <w:tcPr>
            <w:tcW w:w="727" w:type="pct"/>
            <w:tcBorders>
              <w:top w:val="single" w:sz="8" w:space="0" w:color="auto"/>
              <w:left w:val="nil"/>
              <w:bottom w:val="single" w:sz="8" w:space="0" w:color="auto"/>
              <w:right w:val="nil"/>
            </w:tcBorders>
            <w:shd w:val="clear" w:color="auto" w:fill="F2F2F2"/>
            <w:vAlign w:val="bottom"/>
            <w:hideMark/>
          </w:tcPr>
          <w:p w14:paraId="6B8274C1"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7"/>
                <w:szCs w:val="17"/>
                <w:bdr w:val="none" w:sz="0" w:space="0" w:color="auto"/>
                <w:lang w:eastAsia="es-ES"/>
              </w:rPr>
            </w:pPr>
            <w:r w:rsidRPr="0045206D">
              <w:rPr>
                <w:rFonts w:eastAsia="Times New Roman"/>
                <w:b/>
                <w:bCs/>
                <w:sz w:val="17"/>
                <w:szCs w:val="17"/>
                <w:bdr w:val="none" w:sz="0" w:space="0" w:color="auto"/>
                <w:lang w:eastAsia="es-ES"/>
              </w:rPr>
              <w:t>Resultado del ejercicio</w:t>
            </w:r>
          </w:p>
        </w:tc>
        <w:tc>
          <w:tcPr>
            <w:tcW w:w="704" w:type="pct"/>
            <w:tcBorders>
              <w:top w:val="single" w:sz="8" w:space="0" w:color="auto"/>
              <w:left w:val="nil"/>
              <w:bottom w:val="single" w:sz="8" w:space="0" w:color="auto"/>
              <w:right w:val="nil"/>
            </w:tcBorders>
            <w:shd w:val="clear" w:color="auto" w:fill="F2F2F2"/>
            <w:vAlign w:val="bottom"/>
            <w:hideMark/>
          </w:tcPr>
          <w:p w14:paraId="06C60B3A" w14:textId="77777777" w:rsidR="002E2D28" w:rsidRPr="0045206D" w:rsidRDefault="00065019" w:rsidP="002E2D2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7"/>
                <w:szCs w:val="17"/>
                <w:bdr w:val="none" w:sz="0" w:space="0" w:color="auto"/>
                <w:lang w:eastAsia="es-ES"/>
              </w:rPr>
            </w:pPr>
            <w:r>
              <w:rPr>
                <w:rFonts w:eastAsia="Times New Roman"/>
                <w:b/>
                <w:bCs/>
                <w:sz w:val="17"/>
                <w:szCs w:val="17"/>
                <w:bdr w:val="none" w:sz="0" w:space="0" w:color="auto"/>
                <w:lang w:eastAsia="es-ES"/>
              </w:rPr>
              <w:t>Subv</w:t>
            </w:r>
            <w:r w:rsidR="002E2D28" w:rsidRPr="0045206D">
              <w:rPr>
                <w:rFonts w:eastAsia="Times New Roman"/>
                <w:b/>
                <w:bCs/>
                <w:sz w:val="17"/>
                <w:szCs w:val="17"/>
                <w:bdr w:val="none" w:sz="0" w:space="0" w:color="auto"/>
                <w:lang w:eastAsia="es-ES"/>
              </w:rPr>
              <w:t>s, donaciones y legados recibidos</w:t>
            </w:r>
          </w:p>
        </w:tc>
        <w:tc>
          <w:tcPr>
            <w:tcW w:w="687" w:type="pct"/>
            <w:tcBorders>
              <w:top w:val="single" w:sz="8" w:space="0" w:color="auto"/>
              <w:left w:val="nil"/>
              <w:bottom w:val="single" w:sz="8" w:space="0" w:color="auto"/>
              <w:right w:val="nil"/>
            </w:tcBorders>
            <w:shd w:val="clear" w:color="auto" w:fill="F2F2F2"/>
            <w:vAlign w:val="bottom"/>
            <w:hideMark/>
          </w:tcPr>
          <w:p w14:paraId="76A964E4"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7"/>
                <w:szCs w:val="17"/>
                <w:bdr w:val="none" w:sz="0" w:space="0" w:color="auto"/>
                <w:lang w:eastAsia="es-ES"/>
              </w:rPr>
            </w:pPr>
            <w:r w:rsidRPr="0045206D">
              <w:rPr>
                <w:rFonts w:eastAsia="Times New Roman"/>
                <w:b/>
                <w:bCs/>
                <w:sz w:val="17"/>
                <w:szCs w:val="17"/>
                <w:bdr w:val="none" w:sz="0" w:space="0" w:color="auto"/>
                <w:lang w:eastAsia="es-ES"/>
              </w:rPr>
              <w:t>Total</w:t>
            </w:r>
          </w:p>
        </w:tc>
      </w:tr>
      <w:tr w:rsidR="002E2D28" w:rsidRPr="0045206D" w14:paraId="40C4A7D5" w14:textId="77777777" w:rsidTr="001A7C10">
        <w:tblPrEx>
          <w:tblCellMar>
            <w:left w:w="70" w:type="dxa"/>
            <w:right w:w="70" w:type="dxa"/>
          </w:tblCellMar>
        </w:tblPrEx>
        <w:trPr>
          <w:trHeight w:val="283"/>
        </w:trPr>
        <w:tc>
          <w:tcPr>
            <w:tcW w:w="1573" w:type="pct"/>
            <w:tcBorders>
              <w:top w:val="single" w:sz="8" w:space="0" w:color="auto"/>
              <w:left w:val="nil"/>
              <w:bottom w:val="single" w:sz="8" w:space="0" w:color="auto"/>
              <w:right w:val="nil"/>
            </w:tcBorders>
            <w:shd w:val="clear" w:color="auto" w:fill="F2F2F2"/>
            <w:noWrap/>
            <w:vAlign w:val="center"/>
            <w:hideMark/>
          </w:tcPr>
          <w:p w14:paraId="51B983D4"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7"/>
                <w:szCs w:val="17"/>
                <w:bdr w:val="none" w:sz="0" w:space="0" w:color="auto"/>
                <w:lang w:eastAsia="es-ES"/>
              </w:rPr>
            </w:pPr>
            <w:r w:rsidRPr="0045206D">
              <w:rPr>
                <w:rFonts w:eastAsia="Times New Roman"/>
                <w:b/>
                <w:bCs/>
                <w:sz w:val="17"/>
                <w:szCs w:val="17"/>
                <w:bdr w:val="none" w:sz="0" w:space="0" w:color="auto"/>
                <w:lang w:eastAsia="es-ES"/>
              </w:rPr>
              <w:t>SALDO, FINAL 31.12.16</w:t>
            </w:r>
          </w:p>
        </w:tc>
        <w:tc>
          <w:tcPr>
            <w:tcW w:w="547" w:type="pct"/>
            <w:tcBorders>
              <w:top w:val="single" w:sz="8" w:space="0" w:color="auto"/>
              <w:left w:val="nil"/>
              <w:bottom w:val="single" w:sz="8" w:space="0" w:color="auto"/>
              <w:right w:val="nil"/>
            </w:tcBorders>
            <w:shd w:val="clear" w:color="auto" w:fill="F2F2F2"/>
            <w:noWrap/>
            <w:vAlign w:val="center"/>
            <w:hideMark/>
          </w:tcPr>
          <w:p w14:paraId="550330FC"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7"/>
                <w:szCs w:val="17"/>
                <w:bdr w:val="none" w:sz="0" w:space="0" w:color="auto"/>
                <w:lang w:eastAsia="es-ES"/>
              </w:rPr>
            </w:pPr>
            <w:r w:rsidRPr="0045206D">
              <w:rPr>
                <w:rFonts w:eastAsia="Times New Roman"/>
                <w:b/>
                <w:bCs/>
                <w:sz w:val="17"/>
                <w:szCs w:val="17"/>
                <w:bdr w:val="none" w:sz="0" w:space="0" w:color="auto"/>
                <w:lang w:eastAsia="es-ES"/>
              </w:rPr>
              <w:t>600.000,00</w:t>
            </w:r>
          </w:p>
        </w:tc>
        <w:tc>
          <w:tcPr>
            <w:tcW w:w="762" w:type="pct"/>
            <w:tcBorders>
              <w:top w:val="single" w:sz="8" w:space="0" w:color="auto"/>
              <w:left w:val="nil"/>
              <w:bottom w:val="single" w:sz="8" w:space="0" w:color="auto"/>
              <w:right w:val="nil"/>
            </w:tcBorders>
            <w:shd w:val="clear" w:color="auto" w:fill="F2F2F2"/>
            <w:noWrap/>
            <w:vAlign w:val="center"/>
            <w:hideMark/>
          </w:tcPr>
          <w:p w14:paraId="767B0CA2"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7"/>
                <w:szCs w:val="17"/>
                <w:bdr w:val="none" w:sz="0" w:space="0" w:color="auto"/>
                <w:lang w:eastAsia="es-ES"/>
              </w:rPr>
            </w:pPr>
            <w:r w:rsidRPr="0045206D">
              <w:rPr>
                <w:rFonts w:eastAsia="Times New Roman"/>
                <w:b/>
                <w:bCs/>
                <w:sz w:val="17"/>
                <w:szCs w:val="17"/>
                <w:bdr w:val="none" w:sz="0" w:space="0" w:color="auto"/>
                <w:lang w:eastAsia="es-ES"/>
              </w:rPr>
              <w:t>2.165.867,00</w:t>
            </w:r>
          </w:p>
        </w:tc>
        <w:tc>
          <w:tcPr>
            <w:tcW w:w="727" w:type="pct"/>
            <w:tcBorders>
              <w:top w:val="single" w:sz="8" w:space="0" w:color="auto"/>
              <w:left w:val="nil"/>
              <w:bottom w:val="single" w:sz="8" w:space="0" w:color="auto"/>
              <w:right w:val="nil"/>
            </w:tcBorders>
            <w:shd w:val="clear" w:color="auto" w:fill="F2F2F2"/>
            <w:noWrap/>
            <w:vAlign w:val="center"/>
            <w:hideMark/>
          </w:tcPr>
          <w:p w14:paraId="69A0A1ED"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7"/>
                <w:szCs w:val="17"/>
                <w:bdr w:val="none" w:sz="0" w:space="0" w:color="auto"/>
                <w:lang w:eastAsia="es-ES"/>
              </w:rPr>
            </w:pPr>
            <w:r w:rsidRPr="0045206D">
              <w:rPr>
                <w:rFonts w:eastAsia="Times New Roman"/>
                <w:b/>
                <w:bCs/>
                <w:sz w:val="17"/>
                <w:szCs w:val="17"/>
                <w:bdr w:val="none" w:sz="0" w:space="0" w:color="auto"/>
                <w:lang w:eastAsia="es-ES"/>
              </w:rPr>
              <w:t>(2.165.867,00)</w:t>
            </w:r>
          </w:p>
        </w:tc>
        <w:tc>
          <w:tcPr>
            <w:tcW w:w="704" w:type="pct"/>
            <w:tcBorders>
              <w:top w:val="single" w:sz="8" w:space="0" w:color="auto"/>
              <w:left w:val="nil"/>
              <w:bottom w:val="single" w:sz="8" w:space="0" w:color="auto"/>
              <w:right w:val="nil"/>
            </w:tcBorders>
            <w:shd w:val="clear" w:color="auto" w:fill="F2F2F2"/>
            <w:noWrap/>
            <w:vAlign w:val="center"/>
            <w:hideMark/>
          </w:tcPr>
          <w:p w14:paraId="527103B2"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7"/>
                <w:szCs w:val="17"/>
                <w:bdr w:val="none" w:sz="0" w:space="0" w:color="auto"/>
                <w:lang w:eastAsia="es-ES"/>
              </w:rPr>
            </w:pPr>
            <w:r w:rsidRPr="0045206D">
              <w:rPr>
                <w:rFonts w:eastAsia="Times New Roman"/>
                <w:b/>
                <w:bCs/>
                <w:sz w:val="17"/>
                <w:szCs w:val="17"/>
                <w:bdr w:val="none" w:sz="0" w:space="0" w:color="auto"/>
                <w:lang w:eastAsia="es-ES"/>
              </w:rPr>
              <w:t>275.791,96</w:t>
            </w:r>
          </w:p>
        </w:tc>
        <w:tc>
          <w:tcPr>
            <w:tcW w:w="687" w:type="pct"/>
            <w:tcBorders>
              <w:top w:val="single" w:sz="8" w:space="0" w:color="auto"/>
              <w:left w:val="nil"/>
              <w:bottom w:val="single" w:sz="8" w:space="0" w:color="auto"/>
              <w:right w:val="nil"/>
            </w:tcBorders>
            <w:shd w:val="clear" w:color="auto" w:fill="F2F2F2"/>
            <w:noWrap/>
            <w:vAlign w:val="center"/>
            <w:hideMark/>
          </w:tcPr>
          <w:p w14:paraId="54A7B481"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7"/>
                <w:szCs w:val="17"/>
                <w:bdr w:val="none" w:sz="0" w:space="0" w:color="auto"/>
                <w:lang w:eastAsia="es-ES"/>
              </w:rPr>
            </w:pPr>
            <w:r w:rsidRPr="0045206D">
              <w:rPr>
                <w:rFonts w:eastAsia="Times New Roman"/>
                <w:b/>
                <w:bCs/>
                <w:sz w:val="17"/>
                <w:szCs w:val="17"/>
                <w:bdr w:val="none" w:sz="0" w:space="0" w:color="auto"/>
                <w:lang w:eastAsia="es-ES"/>
              </w:rPr>
              <w:t>875.791,96</w:t>
            </w:r>
          </w:p>
        </w:tc>
      </w:tr>
      <w:tr w:rsidR="002E2D28" w:rsidRPr="0045206D" w14:paraId="309A3E7D" w14:textId="77777777" w:rsidTr="00065019">
        <w:tblPrEx>
          <w:tblCellMar>
            <w:left w:w="70" w:type="dxa"/>
            <w:right w:w="70" w:type="dxa"/>
          </w:tblCellMar>
        </w:tblPrEx>
        <w:trPr>
          <w:trHeight w:val="255"/>
        </w:trPr>
        <w:tc>
          <w:tcPr>
            <w:tcW w:w="1573" w:type="pct"/>
            <w:tcBorders>
              <w:top w:val="nil"/>
              <w:left w:val="nil"/>
              <w:bottom w:val="nil"/>
              <w:right w:val="nil"/>
            </w:tcBorders>
            <w:shd w:val="clear" w:color="auto" w:fill="auto"/>
            <w:noWrap/>
            <w:vAlign w:val="center"/>
            <w:hideMark/>
          </w:tcPr>
          <w:p w14:paraId="53677097"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7"/>
                <w:szCs w:val="17"/>
                <w:bdr w:val="none" w:sz="0" w:space="0" w:color="auto"/>
                <w:lang w:eastAsia="es-ES"/>
              </w:rPr>
            </w:pPr>
            <w:r w:rsidRPr="0045206D">
              <w:rPr>
                <w:rFonts w:eastAsia="Times New Roman"/>
                <w:sz w:val="17"/>
                <w:szCs w:val="17"/>
                <w:bdr w:val="none" w:sz="0" w:space="0" w:color="auto"/>
                <w:lang w:eastAsia="es-ES"/>
              </w:rPr>
              <w:t>Ajustes por corrección de errores</w:t>
            </w:r>
          </w:p>
        </w:tc>
        <w:tc>
          <w:tcPr>
            <w:tcW w:w="547" w:type="pct"/>
            <w:tcBorders>
              <w:top w:val="nil"/>
              <w:left w:val="nil"/>
              <w:bottom w:val="nil"/>
              <w:right w:val="nil"/>
            </w:tcBorders>
            <w:shd w:val="clear" w:color="auto" w:fill="auto"/>
            <w:noWrap/>
            <w:vAlign w:val="center"/>
            <w:hideMark/>
          </w:tcPr>
          <w:p w14:paraId="4257455F"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7"/>
                <w:szCs w:val="17"/>
                <w:bdr w:val="none" w:sz="0" w:space="0" w:color="auto"/>
                <w:lang w:eastAsia="es-ES"/>
              </w:rPr>
            </w:pPr>
            <w:r w:rsidRPr="0045206D">
              <w:rPr>
                <w:rFonts w:eastAsia="Times New Roman"/>
                <w:b/>
                <w:bCs/>
                <w:sz w:val="17"/>
                <w:szCs w:val="17"/>
                <w:bdr w:val="none" w:sz="0" w:space="0" w:color="auto"/>
                <w:lang w:eastAsia="es-ES"/>
              </w:rPr>
              <w:t>-</w:t>
            </w:r>
          </w:p>
        </w:tc>
        <w:tc>
          <w:tcPr>
            <w:tcW w:w="762" w:type="pct"/>
            <w:tcBorders>
              <w:top w:val="nil"/>
              <w:left w:val="nil"/>
              <w:bottom w:val="nil"/>
              <w:right w:val="nil"/>
            </w:tcBorders>
            <w:shd w:val="clear" w:color="auto" w:fill="auto"/>
            <w:noWrap/>
            <w:vAlign w:val="center"/>
            <w:hideMark/>
          </w:tcPr>
          <w:p w14:paraId="290D124C"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7"/>
                <w:szCs w:val="17"/>
                <w:bdr w:val="none" w:sz="0" w:space="0" w:color="auto"/>
                <w:lang w:eastAsia="es-ES"/>
              </w:rPr>
            </w:pPr>
            <w:r w:rsidRPr="0045206D">
              <w:rPr>
                <w:rFonts w:eastAsia="Times New Roman"/>
                <w:sz w:val="17"/>
                <w:szCs w:val="17"/>
                <w:bdr w:val="none" w:sz="0" w:space="0" w:color="auto"/>
                <w:lang w:eastAsia="es-ES"/>
              </w:rPr>
              <w:t>-</w:t>
            </w:r>
          </w:p>
        </w:tc>
        <w:tc>
          <w:tcPr>
            <w:tcW w:w="727" w:type="pct"/>
            <w:tcBorders>
              <w:top w:val="nil"/>
              <w:left w:val="nil"/>
              <w:bottom w:val="nil"/>
              <w:right w:val="nil"/>
            </w:tcBorders>
            <w:shd w:val="clear" w:color="auto" w:fill="auto"/>
            <w:noWrap/>
            <w:vAlign w:val="center"/>
            <w:hideMark/>
          </w:tcPr>
          <w:p w14:paraId="7583BDB4"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7"/>
                <w:szCs w:val="17"/>
                <w:bdr w:val="none" w:sz="0" w:space="0" w:color="auto"/>
                <w:lang w:eastAsia="es-ES"/>
              </w:rPr>
            </w:pPr>
            <w:r w:rsidRPr="0045206D">
              <w:rPr>
                <w:rFonts w:eastAsia="Times New Roman"/>
                <w:sz w:val="17"/>
                <w:szCs w:val="17"/>
                <w:bdr w:val="none" w:sz="0" w:space="0" w:color="auto"/>
                <w:lang w:eastAsia="es-ES"/>
              </w:rPr>
              <w:t>-</w:t>
            </w:r>
          </w:p>
        </w:tc>
        <w:tc>
          <w:tcPr>
            <w:tcW w:w="704" w:type="pct"/>
            <w:tcBorders>
              <w:top w:val="nil"/>
              <w:left w:val="nil"/>
              <w:bottom w:val="nil"/>
              <w:right w:val="nil"/>
            </w:tcBorders>
            <w:shd w:val="clear" w:color="auto" w:fill="auto"/>
            <w:noWrap/>
            <w:vAlign w:val="center"/>
            <w:hideMark/>
          </w:tcPr>
          <w:p w14:paraId="5A11A943"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7"/>
                <w:szCs w:val="17"/>
                <w:bdr w:val="none" w:sz="0" w:space="0" w:color="auto"/>
                <w:lang w:eastAsia="es-ES"/>
              </w:rPr>
            </w:pPr>
            <w:r w:rsidRPr="0045206D">
              <w:rPr>
                <w:rFonts w:eastAsia="Times New Roman"/>
                <w:sz w:val="17"/>
                <w:szCs w:val="17"/>
                <w:bdr w:val="none" w:sz="0" w:space="0" w:color="auto"/>
                <w:lang w:eastAsia="es-ES"/>
              </w:rPr>
              <w:t>-</w:t>
            </w:r>
          </w:p>
        </w:tc>
        <w:tc>
          <w:tcPr>
            <w:tcW w:w="687" w:type="pct"/>
            <w:tcBorders>
              <w:top w:val="nil"/>
              <w:left w:val="nil"/>
              <w:bottom w:val="nil"/>
              <w:right w:val="nil"/>
            </w:tcBorders>
            <w:shd w:val="clear" w:color="auto" w:fill="auto"/>
            <w:noWrap/>
            <w:vAlign w:val="center"/>
            <w:hideMark/>
          </w:tcPr>
          <w:p w14:paraId="72974761"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7"/>
                <w:szCs w:val="17"/>
                <w:bdr w:val="none" w:sz="0" w:space="0" w:color="auto"/>
                <w:lang w:eastAsia="es-ES"/>
              </w:rPr>
            </w:pPr>
            <w:r w:rsidRPr="0045206D">
              <w:rPr>
                <w:rFonts w:eastAsia="Times New Roman"/>
                <w:sz w:val="17"/>
                <w:szCs w:val="17"/>
                <w:bdr w:val="none" w:sz="0" w:space="0" w:color="auto"/>
                <w:lang w:eastAsia="es-ES"/>
              </w:rPr>
              <w:t>-</w:t>
            </w:r>
          </w:p>
        </w:tc>
      </w:tr>
      <w:tr w:rsidR="002E2D28" w:rsidRPr="0045206D" w14:paraId="58ACDFCB" w14:textId="77777777" w:rsidTr="001A7C10">
        <w:tblPrEx>
          <w:tblCellMar>
            <w:left w:w="70" w:type="dxa"/>
            <w:right w:w="70" w:type="dxa"/>
          </w:tblCellMar>
        </w:tblPrEx>
        <w:trPr>
          <w:trHeight w:val="283"/>
        </w:trPr>
        <w:tc>
          <w:tcPr>
            <w:tcW w:w="1573" w:type="pct"/>
            <w:tcBorders>
              <w:top w:val="single" w:sz="8" w:space="0" w:color="auto"/>
              <w:left w:val="nil"/>
              <w:bottom w:val="single" w:sz="8" w:space="0" w:color="auto"/>
              <w:right w:val="nil"/>
            </w:tcBorders>
            <w:shd w:val="clear" w:color="auto" w:fill="F2F2F2"/>
            <w:noWrap/>
            <w:vAlign w:val="center"/>
            <w:hideMark/>
          </w:tcPr>
          <w:p w14:paraId="285C0AC4"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7"/>
                <w:szCs w:val="17"/>
                <w:bdr w:val="none" w:sz="0" w:space="0" w:color="auto"/>
                <w:lang w:eastAsia="es-ES"/>
              </w:rPr>
            </w:pPr>
            <w:r w:rsidRPr="0045206D">
              <w:rPr>
                <w:rFonts w:eastAsia="Times New Roman"/>
                <w:b/>
                <w:bCs/>
                <w:sz w:val="17"/>
                <w:szCs w:val="17"/>
                <w:bdr w:val="none" w:sz="0" w:space="0" w:color="auto"/>
                <w:lang w:eastAsia="es-ES"/>
              </w:rPr>
              <w:t>SALDO AJUSTADO, 01.01.17</w:t>
            </w:r>
          </w:p>
        </w:tc>
        <w:tc>
          <w:tcPr>
            <w:tcW w:w="547" w:type="pct"/>
            <w:tcBorders>
              <w:top w:val="single" w:sz="8" w:space="0" w:color="auto"/>
              <w:left w:val="nil"/>
              <w:bottom w:val="single" w:sz="8" w:space="0" w:color="auto"/>
              <w:right w:val="nil"/>
            </w:tcBorders>
            <w:shd w:val="clear" w:color="auto" w:fill="F2F2F2"/>
            <w:noWrap/>
            <w:vAlign w:val="center"/>
            <w:hideMark/>
          </w:tcPr>
          <w:p w14:paraId="6E15D45F"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7"/>
                <w:szCs w:val="17"/>
                <w:bdr w:val="none" w:sz="0" w:space="0" w:color="auto"/>
                <w:lang w:eastAsia="es-ES"/>
              </w:rPr>
            </w:pPr>
            <w:r w:rsidRPr="0045206D">
              <w:rPr>
                <w:rFonts w:eastAsia="Times New Roman"/>
                <w:b/>
                <w:bCs/>
                <w:sz w:val="17"/>
                <w:szCs w:val="17"/>
                <w:bdr w:val="none" w:sz="0" w:space="0" w:color="auto"/>
                <w:lang w:eastAsia="es-ES"/>
              </w:rPr>
              <w:t>600.000,00</w:t>
            </w:r>
          </w:p>
        </w:tc>
        <w:tc>
          <w:tcPr>
            <w:tcW w:w="762" w:type="pct"/>
            <w:tcBorders>
              <w:top w:val="single" w:sz="8" w:space="0" w:color="auto"/>
              <w:left w:val="nil"/>
              <w:bottom w:val="single" w:sz="8" w:space="0" w:color="auto"/>
              <w:right w:val="nil"/>
            </w:tcBorders>
            <w:shd w:val="clear" w:color="auto" w:fill="F2F2F2"/>
            <w:noWrap/>
            <w:vAlign w:val="center"/>
            <w:hideMark/>
          </w:tcPr>
          <w:p w14:paraId="5681322D"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7"/>
                <w:szCs w:val="17"/>
                <w:bdr w:val="none" w:sz="0" w:space="0" w:color="auto"/>
                <w:lang w:eastAsia="es-ES"/>
              </w:rPr>
            </w:pPr>
            <w:r w:rsidRPr="0045206D">
              <w:rPr>
                <w:rFonts w:eastAsia="Times New Roman"/>
                <w:b/>
                <w:bCs/>
                <w:sz w:val="17"/>
                <w:szCs w:val="17"/>
                <w:bdr w:val="none" w:sz="0" w:space="0" w:color="auto"/>
                <w:lang w:eastAsia="es-ES"/>
              </w:rPr>
              <w:t>2.165.867,00</w:t>
            </w:r>
          </w:p>
        </w:tc>
        <w:tc>
          <w:tcPr>
            <w:tcW w:w="727" w:type="pct"/>
            <w:tcBorders>
              <w:top w:val="single" w:sz="8" w:space="0" w:color="auto"/>
              <w:left w:val="nil"/>
              <w:bottom w:val="single" w:sz="8" w:space="0" w:color="auto"/>
              <w:right w:val="nil"/>
            </w:tcBorders>
            <w:shd w:val="clear" w:color="auto" w:fill="F2F2F2"/>
            <w:noWrap/>
            <w:vAlign w:val="center"/>
            <w:hideMark/>
          </w:tcPr>
          <w:p w14:paraId="356ED751"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7"/>
                <w:szCs w:val="17"/>
                <w:bdr w:val="none" w:sz="0" w:space="0" w:color="auto"/>
                <w:lang w:eastAsia="es-ES"/>
              </w:rPr>
            </w:pPr>
            <w:r w:rsidRPr="0045206D">
              <w:rPr>
                <w:rFonts w:eastAsia="Times New Roman"/>
                <w:b/>
                <w:bCs/>
                <w:sz w:val="17"/>
                <w:szCs w:val="17"/>
                <w:bdr w:val="none" w:sz="0" w:space="0" w:color="auto"/>
                <w:lang w:eastAsia="es-ES"/>
              </w:rPr>
              <w:t>(2.165.867,00)</w:t>
            </w:r>
          </w:p>
        </w:tc>
        <w:tc>
          <w:tcPr>
            <w:tcW w:w="704" w:type="pct"/>
            <w:tcBorders>
              <w:top w:val="single" w:sz="8" w:space="0" w:color="auto"/>
              <w:left w:val="nil"/>
              <w:bottom w:val="single" w:sz="8" w:space="0" w:color="auto"/>
              <w:right w:val="nil"/>
            </w:tcBorders>
            <w:shd w:val="clear" w:color="auto" w:fill="F2F2F2"/>
            <w:noWrap/>
            <w:vAlign w:val="center"/>
            <w:hideMark/>
          </w:tcPr>
          <w:p w14:paraId="784718A3"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7"/>
                <w:szCs w:val="17"/>
                <w:bdr w:val="none" w:sz="0" w:space="0" w:color="auto"/>
                <w:lang w:eastAsia="es-ES"/>
              </w:rPr>
            </w:pPr>
            <w:r w:rsidRPr="0045206D">
              <w:rPr>
                <w:rFonts w:eastAsia="Times New Roman"/>
                <w:b/>
                <w:bCs/>
                <w:sz w:val="17"/>
                <w:szCs w:val="17"/>
                <w:bdr w:val="none" w:sz="0" w:space="0" w:color="auto"/>
                <w:lang w:eastAsia="es-ES"/>
              </w:rPr>
              <w:t>275.791,96</w:t>
            </w:r>
          </w:p>
        </w:tc>
        <w:tc>
          <w:tcPr>
            <w:tcW w:w="687" w:type="pct"/>
            <w:tcBorders>
              <w:top w:val="single" w:sz="8" w:space="0" w:color="auto"/>
              <w:left w:val="nil"/>
              <w:bottom w:val="single" w:sz="8" w:space="0" w:color="auto"/>
              <w:right w:val="nil"/>
            </w:tcBorders>
            <w:shd w:val="clear" w:color="auto" w:fill="F2F2F2"/>
            <w:noWrap/>
            <w:vAlign w:val="center"/>
            <w:hideMark/>
          </w:tcPr>
          <w:p w14:paraId="5A8919BA"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7"/>
                <w:szCs w:val="17"/>
                <w:bdr w:val="none" w:sz="0" w:space="0" w:color="auto"/>
                <w:lang w:eastAsia="es-ES"/>
              </w:rPr>
            </w:pPr>
            <w:r w:rsidRPr="0045206D">
              <w:rPr>
                <w:rFonts w:eastAsia="Times New Roman"/>
                <w:b/>
                <w:bCs/>
                <w:sz w:val="17"/>
                <w:szCs w:val="17"/>
                <w:bdr w:val="none" w:sz="0" w:space="0" w:color="auto"/>
                <w:lang w:eastAsia="es-ES"/>
              </w:rPr>
              <w:t>875.791,96</w:t>
            </w:r>
          </w:p>
        </w:tc>
      </w:tr>
      <w:tr w:rsidR="002E2D28" w:rsidRPr="0045206D" w14:paraId="0625108D" w14:textId="77777777" w:rsidTr="00065019">
        <w:tblPrEx>
          <w:tblCellMar>
            <w:left w:w="70" w:type="dxa"/>
            <w:right w:w="70" w:type="dxa"/>
          </w:tblCellMar>
        </w:tblPrEx>
        <w:trPr>
          <w:trHeight w:val="255"/>
        </w:trPr>
        <w:tc>
          <w:tcPr>
            <w:tcW w:w="1573" w:type="pct"/>
            <w:tcBorders>
              <w:top w:val="nil"/>
              <w:left w:val="nil"/>
              <w:bottom w:val="nil"/>
              <w:right w:val="nil"/>
            </w:tcBorders>
            <w:shd w:val="clear" w:color="auto" w:fill="auto"/>
            <w:noWrap/>
            <w:vAlign w:val="center"/>
            <w:hideMark/>
          </w:tcPr>
          <w:p w14:paraId="7B1245CF"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7"/>
                <w:szCs w:val="17"/>
                <w:bdr w:val="none" w:sz="0" w:space="0" w:color="auto"/>
                <w:lang w:eastAsia="es-ES"/>
              </w:rPr>
            </w:pPr>
            <w:r w:rsidRPr="0045206D">
              <w:rPr>
                <w:rFonts w:eastAsia="Times New Roman"/>
                <w:sz w:val="17"/>
                <w:szCs w:val="17"/>
                <w:bdr w:val="none" w:sz="0" w:space="0" w:color="auto"/>
                <w:lang w:eastAsia="es-ES"/>
              </w:rPr>
              <w:t>Total ingresos y gastos reconocidos</w:t>
            </w:r>
          </w:p>
        </w:tc>
        <w:tc>
          <w:tcPr>
            <w:tcW w:w="547" w:type="pct"/>
            <w:tcBorders>
              <w:top w:val="nil"/>
              <w:left w:val="nil"/>
              <w:bottom w:val="nil"/>
              <w:right w:val="nil"/>
            </w:tcBorders>
            <w:shd w:val="clear" w:color="auto" w:fill="auto"/>
            <w:noWrap/>
            <w:vAlign w:val="center"/>
            <w:hideMark/>
          </w:tcPr>
          <w:p w14:paraId="070D18F4"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7"/>
                <w:szCs w:val="17"/>
                <w:bdr w:val="none" w:sz="0" w:space="0" w:color="auto"/>
                <w:lang w:eastAsia="es-ES"/>
              </w:rPr>
            </w:pPr>
            <w:r w:rsidRPr="0045206D">
              <w:rPr>
                <w:rFonts w:eastAsia="Times New Roman"/>
                <w:b/>
                <w:bCs/>
                <w:sz w:val="17"/>
                <w:szCs w:val="17"/>
                <w:bdr w:val="none" w:sz="0" w:space="0" w:color="auto"/>
                <w:lang w:eastAsia="es-ES"/>
              </w:rPr>
              <w:t xml:space="preserve"> -</w:t>
            </w:r>
          </w:p>
        </w:tc>
        <w:tc>
          <w:tcPr>
            <w:tcW w:w="762" w:type="pct"/>
            <w:tcBorders>
              <w:top w:val="nil"/>
              <w:left w:val="nil"/>
              <w:bottom w:val="nil"/>
              <w:right w:val="nil"/>
            </w:tcBorders>
            <w:shd w:val="clear" w:color="auto" w:fill="auto"/>
            <w:noWrap/>
            <w:vAlign w:val="center"/>
            <w:hideMark/>
          </w:tcPr>
          <w:p w14:paraId="1C82FAC5"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7"/>
                <w:szCs w:val="17"/>
                <w:bdr w:val="none" w:sz="0" w:space="0" w:color="auto"/>
                <w:lang w:eastAsia="es-ES"/>
              </w:rPr>
            </w:pPr>
            <w:r w:rsidRPr="0045206D">
              <w:rPr>
                <w:rFonts w:eastAsia="Times New Roman"/>
                <w:sz w:val="17"/>
                <w:szCs w:val="17"/>
                <w:bdr w:val="none" w:sz="0" w:space="0" w:color="auto"/>
                <w:lang w:eastAsia="es-ES"/>
              </w:rPr>
              <w:t>-</w:t>
            </w:r>
          </w:p>
        </w:tc>
        <w:tc>
          <w:tcPr>
            <w:tcW w:w="727" w:type="pct"/>
            <w:tcBorders>
              <w:top w:val="nil"/>
              <w:left w:val="nil"/>
              <w:bottom w:val="nil"/>
              <w:right w:val="nil"/>
            </w:tcBorders>
            <w:shd w:val="clear" w:color="auto" w:fill="auto"/>
            <w:noWrap/>
            <w:vAlign w:val="center"/>
            <w:hideMark/>
          </w:tcPr>
          <w:p w14:paraId="67DB1EE5"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7"/>
                <w:szCs w:val="17"/>
                <w:bdr w:val="none" w:sz="0" w:space="0" w:color="auto"/>
                <w:lang w:eastAsia="es-ES"/>
              </w:rPr>
            </w:pPr>
            <w:r w:rsidRPr="0045206D">
              <w:rPr>
                <w:rFonts w:eastAsia="Times New Roman"/>
                <w:sz w:val="17"/>
                <w:szCs w:val="17"/>
                <w:bdr w:val="none" w:sz="0" w:space="0" w:color="auto"/>
                <w:lang w:eastAsia="es-ES"/>
              </w:rPr>
              <w:t>(2.165.867,00)</w:t>
            </w:r>
          </w:p>
        </w:tc>
        <w:tc>
          <w:tcPr>
            <w:tcW w:w="704" w:type="pct"/>
            <w:tcBorders>
              <w:top w:val="nil"/>
              <w:left w:val="nil"/>
              <w:bottom w:val="nil"/>
              <w:right w:val="nil"/>
            </w:tcBorders>
            <w:shd w:val="clear" w:color="auto" w:fill="auto"/>
            <w:noWrap/>
            <w:vAlign w:val="center"/>
            <w:hideMark/>
          </w:tcPr>
          <w:p w14:paraId="5C3D3465"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7"/>
                <w:szCs w:val="17"/>
                <w:bdr w:val="none" w:sz="0" w:space="0" w:color="auto"/>
                <w:lang w:eastAsia="es-ES"/>
              </w:rPr>
            </w:pPr>
            <w:r w:rsidRPr="0045206D">
              <w:rPr>
                <w:rFonts w:eastAsia="Times New Roman"/>
                <w:sz w:val="17"/>
                <w:szCs w:val="17"/>
                <w:bdr w:val="none" w:sz="0" w:space="0" w:color="auto"/>
                <w:lang w:eastAsia="es-ES"/>
              </w:rPr>
              <w:t>(21.885,32)</w:t>
            </w:r>
          </w:p>
        </w:tc>
        <w:tc>
          <w:tcPr>
            <w:tcW w:w="687" w:type="pct"/>
            <w:tcBorders>
              <w:top w:val="nil"/>
              <w:left w:val="nil"/>
              <w:bottom w:val="nil"/>
              <w:right w:val="nil"/>
            </w:tcBorders>
            <w:shd w:val="clear" w:color="auto" w:fill="auto"/>
            <w:noWrap/>
            <w:vAlign w:val="center"/>
            <w:hideMark/>
          </w:tcPr>
          <w:p w14:paraId="330FF48A"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7"/>
                <w:szCs w:val="17"/>
                <w:bdr w:val="none" w:sz="0" w:space="0" w:color="auto"/>
                <w:lang w:eastAsia="es-ES"/>
              </w:rPr>
            </w:pPr>
            <w:r w:rsidRPr="0045206D">
              <w:rPr>
                <w:rFonts w:eastAsia="Times New Roman"/>
                <w:sz w:val="17"/>
                <w:szCs w:val="17"/>
                <w:bdr w:val="none" w:sz="0" w:space="0" w:color="auto"/>
                <w:lang w:eastAsia="es-ES"/>
              </w:rPr>
              <w:t>(2.187.752,32)</w:t>
            </w:r>
          </w:p>
        </w:tc>
      </w:tr>
      <w:tr w:rsidR="002E2D28" w:rsidRPr="0045206D" w14:paraId="60A5660D" w14:textId="77777777" w:rsidTr="00065019">
        <w:tblPrEx>
          <w:tblCellMar>
            <w:left w:w="70" w:type="dxa"/>
            <w:right w:w="70" w:type="dxa"/>
          </w:tblCellMar>
        </w:tblPrEx>
        <w:trPr>
          <w:trHeight w:val="255"/>
        </w:trPr>
        <w:tc>
          <w:tcPr>
            <w:tcW w:w="1573" w:type="pct"/>
            <w:tcBorders>
              <w:top w:val="nil"/>
              <w:left w:val="nil"/>
              <w:bottom w:val="nil"/>
              <w:right w:val="nil"/>
            </w:tcBorders>
            <w:shd w:val="clear" w:color="auto" w:fill="auto"/>
            <w:noWrap/>
            <w:vAlign w:val="center"/>
            <w:hideMark/>
          </w:tcPr>
          <w:p w14:paraId="56F8B076"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7"/>
                <w:szCs w:val="17"/>
                <w:bdr w:val="none" w:sz="0" w:space="0" w:color="auto"/>
                <w:lang w:eastAsia="es-ES"/>
              </w:rPr>
            </w:pPr>
            <w:r w:rsidRPr="0045206D">
              <w:rPr>
                <w:rFonts w:eastAsia="Times New Roman"/>
                <w:sz w:val="17"/>
                <w:szCs w:val="17"/>
                <w:bdr w:val="none" w:sz="0" w:space="0" w:color="auto"/>
                <w:lang w:eastAsia="es-ES"/>
              </w:rPr>
              <w:t>Operaciones con socios</w:t>
            </w:r>
          </w:p>
        </w:tc>
        <w:tc>
          <w:tcPr>
            <w:tcW w:w="547" w:type="pct"/>
            <w:tcBorders>
              <w:top w:val="nil"/>
              <w:left w:val="nil"/>
              <w:bottom w:val="nil"/>
              <w:right w:val="nil"/>
            </w:tcBorders>
            <w:shd w:val="clear" w:color="auto" w:fill="auto"/>
            <w:noWrap/>
            <w:vAlign w:val="center"/>
            <w:hideMark/>
          </w:tcPr>
          <w:p w14:paraId="1D968466"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7"/>
                <w:szCs w:val="17"/>
                <w:bdr w:val="none" w:sz="0" w:space="0" w:color="auto"/>
                <w:lang w:eastAsia="es-ES"/>
              </w:rPr>
            </w:pPr>
            <w:r w:rsidRPr="0045206D">
              <w:rPr>
                <w:rFonts w:eastAsia="Times New Roman"/>
                <w:b/>
                <w:bCs/>
                <w:sz w:val="17"/>
                <w:szCs w:val="17"/>
                <w:bdr w:val="none" w:sz="0" w:space="0" w:color="auto"/>
                <w:lang w:eastAsia="es-ES"/>
              </w:rPr>
              <w:t>-</w:t>
            </w:r>
          </w:p>
        </w:tc>
        <w:tc>
          <w:tcPr>
            <w:tcW w:w="762" w:type="pct"/>
            <w:tcBorders>
              <w:top w:val="nil"/>
              <w:left w:val="nil"/>
              <w:bottom w:val="nil"/>
              <w:right w:val="nil"/>
            </w:tcBorders>
            <w:shd w:val="clear" w:color="auto" w:fill="auto"/>
            <w:noWrap/>
            <w:vAlign w:val="center"/>
            <w:hideMark/>
          </w:tcPr>
          <w:p w14:paraId="3261F541"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7"/>
                <w:szCs w:val="17"/>
                <w:bdr w:val="none" w:sz="0" w:space="0" w:color="auto"/>
                <w:lang w:eastAsia="es-ES"/>
              </w:rPr>
            </w:pPr>
            <w:r w:rsidRPr="0045206D">
              <w:rPr>
                <w:rFonts w:eastAsia="Times New Roman"/>
                <w:sz w:val="17"/>
                <w:szCs w:val="17"/>
                <w:bdr w:val="none" w:sz="0" w:space="0" w:color="auto"/>
                <w:lang w:eastAsia="es-ES"/>
              </w:rPr>
              <w:t>2.165.867,00</w:t>
            </w:r>
          </w:p>
        </w:tc>
        <w:tc>
          <w:tcPr>
            <w:tcW w:w="727" w:type="pct"/>
            <w:tcBorders>
              <w:top w:val="nil"/>
              <w:left w:val="nil"/>
              <w:bottom w:val="nil"/>
              <w:right w:val="nil"/>
            </w:tcBorders>
            <w:shd w:val="clear" w:color="auto" w:fill="auto"/>
            <w:noWrap/>
            <w:vAlign w:val="center"/>
            <w:hideMark/>
          </w:tcPr>
          <w:p w14:paraId="730A7AEE"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7"/>
                <w:szCs w:val="17"/>
                <w:bdr w:val="none" w:sz="0" w:space="0" w:color="auto"/>
                <w:lang w:eastAsia="es-ES"/>
              </w:rPr>
            </w:pPr>
            <w:r w:rsidRPr="0045206D">
              <w:rPr>
                <w:rFonts w:eastAsia="Times New Roman"/>
                <w:sz w:val="17"/>
                <w:szCs w:val="17"/>
                <w:bdr w:val="none" w:sz="0" w:space="0" w:color="auto"/>
                <w:lang w:eastAsia="es-ES"/>
              </w:rPr>
              <w:t>-</w:t>
            </w:r>
          </w:p>
        </w:tc>
        <w:tc>
          <w:tcPr>
            <w:tcW w:w="704" w:type="pct"/>
            <w:tcBorders>
              <w:top w:val="nil"/>
              <w:left w:val="nil"/>
              <w:bottom w:val="nil"/>
              <w:right w:val="nil"/>
            </w:tcBorders>
            <w:shd w:val="clear" w:color="auto" w:fill="auto"/>
            <w:noWrap/>
            <w:vAlign w:val="center"/>
            <w:hideMark/>
          </w:tcPr>
          <w:p w14:paraId="741ADEC4"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7"/>
                <w:szCs w:val="17"/>
                <w:bdr w:val="none" w:sz="0" w:space="0" w:color="auto"/>
                <w:lang w:eastAsia="es-ES"/>
              </w:rPr>
            </w:pPr>
            <w:r w:rsidRPr="0045206D">
              <w:rPr>
                <w:rFonts w:eastAsia="Times New Roman"/>
                <w:sz w:val="17"/>
                <w:szCs w:val="17"/>
                <w:bdr w:val="none" w:sz="0" w:space="0" w:color="auto"/>
                <w:lang w:eastAsia="es-ES"/>
              </w:rPr>
              <w:t>-</w:t>
            </w:r>
          </w:p>
        </w:tc>
        <w:tc>
          <w:tcPr>
            <w:tcW w:w="687" w:type="pct"/>
            <w:tcBorders>
              <w:top w:val="nil"/>
              <w:left w:val="nil"/>
              <w:bottom w:val="nil"/>
              <w:right w:val="nil"/>
            </w:tcBorders>
            <w:shd w:val="clear" w:color="auto" w:fill="auto"/>
            <w:noWrap/>
            <w:vAlign w:val="center"/>
            <w:hideMark/>
          </w:tcPr>
          <w:p w14:paraId="45E0EB08"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7"/>
                <w:szCs w:val="17"/>
                <w:bdr w:val="none" w:sz="0" w:space="0" w:color="auto"/>
                <w:lang w:eastAsia="es-ES"/>
              </w:rPr>
            </w:pPr>
            <w:r w:rsidRPr="0045206D">
              <w:rPr>
                <w:rFonts w:eastAsia="Times New Roman"/>
                <w:sz w:val="17"/>
                <w:szCs w:val="17"/>
                <w:bdr w:val="none" w:sz="0" w:space="0" w:color="auto"/>
                <w:lang w:eastAsia="es-ES"/>
              </w:rPr>
              <w:t>2.165.867,00</w:t>
            </w:r>
          </w:p>
        </w:tc>
      </w:tr>
      <w:tr w:rsidR="002E2D28" w:rsidRPr="0045206D" w14:paraId="23CF76EA" w14:textId="77777777" w:rsidTr="00065019">
        <w:tblPrEx>
          <w:tblCellMar>
            <w:left w:w="70" w:type="dxa"/>
            <w:right w:w="70" w:type="dxa"/>
          </w:tblCellMar>
        </w:tblPrEx>
        <w:trPr>
          <w:trHeight w:val="255"/>
        </w:trPr>
        <w:tc>
          <w:tcPr>
            <w:tcW w:w="1573" w:type="pct"/>
            <w:tcBorders>
              <w:top w:val="nil"/>
              <w:left w:val="nil"/>
              <w:bottom w:val="nil"/>
              <w:right w:val="nil"/>
            </w:tcBorders>
            <w:shd w:val="clear" w:color="auto" w:fill="auto"/>
            <w:noWrap/>
            <w:vAlign w:val="center"/>
            <w:hideMark/>
          </w:tcPr>
          <w:p w14:paraId="4448D9E3" w14:textId="77777777" w:rsid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7"/>
                <w:szCs w:val="17"/>
                <w:bdr w:val="none" w:sz="0" w:space="0" w:color="auto"/>
                <w:lang w:eastAsia="es-ES"/>
              </w:rPr>
            </w:pPr>
            <w:r w:rsidRPr="0045206D">
              <w:rPr>
                <w:rFonts w:eastAsia="Times New Roman"/>
                <w:sz w:val="17"/>
                <w:szCs w:val="17"/>
                <w:bdr w:val="none" w:sz="0" w:space="0" w:color="auto"/>
                <w:lang w:eastAsia="es-ES"/>
              </w:rPr>
              <w:t xml:space="preserve">Distribución del resultado del </w:t>
            </w:r>
          </w:p>
          <w:p w14:paraId="39DBB926"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7"/>
                <w:szCs w:val="17"/>
                <w:bdr w:val="none" w:sz="0" w:space="0" w:color="auto"/>
                <w:lang w:eastAsia="es-ES"/>
              </w:rPr>
            </w:pPr>
            <w:r w:rsidRPr="0045206D">
              <w:rPr>
                <w:rFonts w:eastAsia="Times New Roman"/>
                <w:sz w:val="17"/>
                <w:szCs w:val="17"/>
                <w:bdr w:val="none" w:sz="0" w:space="0" w:color="auto"/>
                <w:lang w:eastAsia="es-ES"/>
              </w:rPr>
              <w:t>ejercicio anterior</w:t>
            </w:r>
          </w:p>
        </w:tc>
        <w:tc>
          <w:tcPr>
            <w:tcW w:w="547" w:type="pct"/>
            <w:tcBorders>
              <w:top w:val="nil"/>
              <w:left w:val="nil"/>
              <w:bottom w:val="nil"/>
              <w:right w:val="nil"/>
            </w:tcBorders>
            <w:shd w:val="clear" w:color="auto" w:fill="auto"/>
            <w:noWrap/>
            <w:vAlign w:val="center"/>
            <w:hideMark/>
          </w:tcPr>
          <w:p w14:paraId="3D5ABEEC"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7"/>
                <w:szCs w:val="17"/>
                <w:bdr w:val="none" w:sz="0" w:space="0" w:color="auto"/>
                <w:lang w:eastAsia="es-ES"/>
              </w:rPr>
            </w:pPr>
            <w:r w:rsidRPr="0045206D">
              <w:rPr>
                <w:rFonts w:eastAsia="Times New Roman"/>
                <w:b/>
                <w:bCs/>
                <w:sz w:val="17"/>
                <w:szCs w:val="17"/>
                <w:bdr w:val="none" w:sz="0" w:space="0" w:color="auto"/>
                <w:lang w:eastAsia="es-ES"/>
              </w:rPr>
              <w:t>-</w:t>
            </w:r>
          </w:p>
        </w:tc>
        <w:tc>
          <w:tcPr>
            <w:tcW w:w="762" w:type="pct"/>
            <w:tcBorders>
              <w:top w:val="nil"/>
              <w:left w:val="nil"/>
              <w:bottom w:val="nil"/>
              <w:right w:val="nil"/>
            </w:tcBorders>
            <w:shd w:val="clear" w:color="auto" w:fill="auto"/>
            <w:noWrap/>
            <w:vAlign w:val="center"/>
            <w:hideMark/>
          </w:tcPr>
          <w:p w14:paraId="5D5B2E96"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7"/>
                <w:szCs w:val="17"/>
                <w:bdr w:val="none" w:sz="0" w:space="0" w:color="auto"/>
                <w:lang w:eastAsia="es-ES"/>
              </w:rPr>
            </w:pPr>
            <w:r w:rsidRPr="0045206D">
              <w:rPr>
                <w:rFonts w:eastAsia="Times New Roman"/>
                <w:sz w:val="17"/>
                <w:szCs w:val="17"/>
                <w:bdr w:val="none" w:sz="0" w:space="0" w:color="auto"/>
                <w:lang w:eastAsia="es-ES"/>
              </w:rPr>
              <w:t>(2.165.867,00)</w:t>
            </w:r>
          </w:p>
        </w:tc>
        <w:tc>
          <w:tcPr>
            <w:tcW w:w="727" w:type="pct"/>
            <w:tcBorders>
              <w:top w:val="nil"/>
              <w:left w:val="nil"/>
              <w:bottom w:val="nil"/>
              <w:right w:val="nil"/>
            </w:tcBorders>
            <w:shd w:val="clear" w:color="auto" w:fill="auto"/>
            <w:noWrap/>
            <w:vAlign w:val="center"/>
            <w:hideMark/>
          </w:tcPr>
          <w:p w14:paraId="0E171BF1"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7"/>
                <w:szCs w:val="17"/>
                <w:bdr w:val="none" w:sz="0" w:space="0" w:color="auto"/>
                <w:lang w:eastAsia="es-ES"/>
              </w:rPr>
            </w:pPr>
            <w:r w:rsidRPr="0045206D">
              <w:rPr>
                <w:rFonts w:eastAsia="Times New Roman"/>
                <w:sz w:val="17"/>
                <w:szCs w:val="17"/>
                <w:bdr w:val="none" w:sz="0" w:space="0" w:color="auto"/>
                <w:lang w:eastAsia="es-ES"/>
              </w:rPr>
              <w:t>2.165.867,00</w:t>
            </w:r>
          </w:p>
        </w:tc>
        <w:tc>
          <w:tcPr>
            <w:tcW w:w="704" w:type="pct"/>
            <w:tcBorders>
              <w:top w:val="nil"/>
              <w:left w:val="nil"/>
              <w:bottom w:val="nil"/>
              <w:right w:val="nil"/>
            </w:tcBorders>
            <w:shd w:val="clear" w:color="auto" w:fill="auto"/>
            <w:noWrap/>
            <w:vAlign w:val="center"/>
            <w:hideMark/>
          </w:tcPr>
          <w:p w14:paraId="2797B229"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7"/>
                <w:szCs w:val="17"/>
                <w:bdr w:val="none" w:sz="0" w:space="0" w:color="auto"/>
                <w:lang w:eastAsia="es-ES"/>
              </w:rPr>
            </w:pPr>
            <w:r w:rsidRPr="0045206D">
              <w:rPr>
                <w:rFonts w:eastAsia="Times New Roman"/>
                <w:sz w:val="17"/>
                <w:szCs w:val="17"/>
                <w:bdr w:val="none" w:sz="0" w:space="0" w:color="auto"/>
                <w:lang w:eastAsia="es-ES"/>
              </w:rPr>
              <w:t>-</w:t>
            </w:r>
          </w:p>
        </w:tc>
        <w:tc>
          <w:tcPr>
            <w:tcW w:w="687" w:type="pct"/>
            <w:tcBorders>
              <w:top w:val="nil"/>
              <w:left w:val="nil"/>
              <w:bottom w:val="nil"/>
              <w:right w:val="nil"/>
            </w:tcBorders>
            <w:shd w:val="clear" w:color="auto" w:fill="auto"/>
            <w:noWrap/>
            <w:vAlign w:val="center"/>
            <w:hideMark/>
          </w:tcPr>
          <w:p w14:paraId="019A9EEC"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7"/>
                <w:szCs w:val="17"/>
                <w:bdr w:val="none" w:sz="0" w:space="0" w:color="auto"/>
                <w:lang w:eastAsia="es-ES"/>
              </w:rPr>
            </w:pPr>
            <w:r w:rsidRPr="0045206D">
              <w:rPr>
                <w:rFonts w:eastAsia="Times New Roman"/>
                <w:sz w:val="17"/>
                <w:szCs w:val="17"/>
                <w:bdr w:val="none" w:sz="0" w:space="0" w:color="auto"/>
                <w:lang w:eastAsia="es-ES"/>
              </w:rPr>
              <w:t xml:space="preserve"> -</w:t>
            </w:r>
          </w:p>
        </w:tc>
      </w:tr>
      <w:tr w:rsidR="002E2D28" w:rsidRPr="0045206D" w14:paraId="512734C8" w14:textId="77777777" w:rsidTr="001A7C10">
        <w:tblPrEx>
          <w:tblCellMar>
            <w:left w:w="70" w:type="dxa"/>
            <w:right w:w="70" w:type="dxa"/>
          </w:tblCellMar>
        </w:tblPrEx>
        <w:trPr>
          <w:trHeight w:val="283"/>
        </w:trPr>
        <w:tc>
          <w:tcPr>
            <w:tcW w:w="1573" w:type="pct"/>
            <w:tcBorders>
              <w:top w:val="single" w:sz="8" w:space="0" w:color="auto"/>
              <w:left w:val="nil"/>
              <w:bottom w:val="single" w:sz="8" w:space="0" w:color="auto"/>
              <w:right w:val="nil"/>
            </w:tcBorders>
            <w:shd w:val="clear" w:color="auto" w:fill="F2F2F2"/>
            <w:noWrap/>
            <w:vAlign w:val="center"/>
            <w:hideMark/>
          </w:tcPr>
          <w:p w14:paraId="6911A4CE"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7"/>
                <w:szCs w:val="17"/>
                <w:bdr w:val="none" w:sz="0" w:space="0" w:color="auto"/>
                <w:lang w:eastAsia="es-ES"/>
              </w:rPr>
            </w:pPr>
            <w:r w:rsidRPr="0045206D">
              <w:rPr>
                <w:rFonts w:eastAsia="Times New Roman"/>
                <w:b/>
                <w:bCs/>
                <w:sz w:val="17"/>
                <w:szCs w:val="17"/>
                <w:bdr w:val="none" w:sz="0" w:space="0" w:color="auto"/>
                <w:lang w:eastAsia="es-ES"/>
              </w:rPr>
              <w:t>SALDO, FINAL 31.12.17</w:t>
            </w:r>
          </w:p>
        </w:tc>
        <w:tc>
          <w:tcPr>
            <w:tcW w:w="547" w:type="pct"/>
            <w:tcBorders>
              <w:top w:val="single" w:sz="8" w:space="0" w:color="auto"/>
              <w:left w:val="nil"/>
              <w:bottom w:val="single" w:sz="8" w:space="0" w:color="auto"/>
              <w:right w:val="nil"/>
            </w:tcBorders>
            <w:shd w:val="clear" w:color="auto" w:fill="F2F2F2"/>
            <w:noWrap/>
            <w:vAlign w:val="center"/>
            <w:hideMark/>
          </w:tcPr>
          <w:p w14:paraId="64EC6836"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7"/>
                <w:szCs w:val="17"/>
                <w:bdr w:val="none" w:sz="0" w:space="0" w:color="auto"/>
                <w:lang w:eastAsia="es-ES"/>
              </w:rPr>
            </w:pPr>
            <w:r w:rsidRPr="0045206D">
              <w:rPr>
                <w:rFonts w:eastAsia="Times New Roman"/>
                <w:b/>
                <w:bCs/>
                <w:sz w:val="17"/>
                <w:szCs w:val="17"/>
                <w:bdr w:val="none" w:sz="0" w:space="0" w:color="auto"/>
                <w:lang w:eastAsia="es-ES"/>
              </w:rPr>
              <w:t>600.000,00</w:t>
            </w:r>
          </w:p>
        </w:tc>
        <w:tc>
          <w:tcPr>
            <w:tcW w:w="762" w:type="pct"/>
            <w:tcBorders>
              <w:top w:val="single" w:sz="8" w:space="0" w:color="auto"/>
              <w:left w:val="nil"/>
              <w:bottom w:val="single" w:sz="8" w:space="0" w:color="auto"/>
              <w:right w:val="nil"/>
            </w:tcBorders>
            <w:shd w:val="clear" w:color="auto" w:fill="F2F2F2"/>
            <w:noWrap/>
            <w:vAlign w:val="center"/>
            <w:hideMark/>
          </w:tcPr>
          <w:p w14:paraId="5C66BB07"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7"/>
                <w:szCs w:val="17"/>
                <w:bdr w:val="none" w:sz="0" w:space="0" w:color="auto"/>
                <w:lang w:eastAsia="es-ES"/>
              </w:rPr>
            </w:pPr>
            <w:r w:rsidRPr="0045206D">
              <w:rPr>
                <w:rFonts w:eastAsia="Times New Roman"/>
                <w:b/>
                <w:bCs/>
                <w:sz w:val="17"/>
                <w:szCs w:val="17"/>
                <w:bdr w:val="none" w:sz="0" w:space="0" w:color="auto"/>
                <w:lang w:eastAsia="es-ES"/>
              </w:rPr>
              <w:t>2.165.867,00</w:t>
            </w:r>
          </w:p>
        </w:tc>
        <w:tc>
          <w:tcPr>
            <w:tcW w:w="727" w:type="pct"/>
            <w:tcBorders>
              <w:top w:val="single" w:sz="8" w:space="0" w:color="auto"/>
              <w:left w:val="nil"/>
              <w:bottom w:val="single" w:sz="8" w:space="0" w:color="auto"/>
              <w:right w:val="nil"/>
            </w:tcBorders>
            <w:shd w:val="clear" w:color="auto" w:fill="F2F2F2"/>
            <w:noWrap/>
            <w:vAlign w:val="center"/>
            <w:hideMark/>
          </w:tcPr>
          <w:p w14:paraId="6C21EC75"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7"/>
                <w:szCs w:val="17"/>
                <w:bdr w:val="none" w:sz="0" w:space="0" w:color="auto"/>
                <w:lang w:eastAsia="es-ES"/>
              </w:rPr>
            </w:pPr>
            <w:r w:rsidRPr="0045206D">
              <w:rPr>
                <w:rFonts w:eastAsia="Times New Roman"/>
                <w:b/>
                <w:bCs/>
                <w:sz w:val="17"/>
                <w:szCs w:val="17"/>
                <w:bdr w:val="none" w:sz="0" w:space="0" w:color="auto"/>
                <w:lang w:eastAsia="es-ES"/>
              </w:rPr>
              <w:t>(2.165.867,00)</w:t>
            </w:r>
          </w:p>
        </w:tc>
        <w:tc>
          <w:tcPr>
            <w:tcW w:w="704" w:type="pct"/>
            <w:tcBorders>
              <w:top w:val="single" w:sz="8" w:space="0" w:color="auto"/>
              <w:left w:val="nil"/>
              <w:bottom w:val="single" w:sz="8" w:space="0" w:color="auto"/>
              <w:right w:val="nil"/>
            </w:tcBorders>
            <w:shd w:val="clear" w:color="auto" w:fill="F2F2F2"/>
            <w:noWrap/>
            <w:vAlign w:val="center"/>
            <w:hideMark/>
          </w:tcPr>
          <w:p w14:paraId="6C793A70"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7"/>
                <w:szCs w:val="17"/>
                <w:bdr w:val="none" w:sz="0" w:space="0" w:color="auto"/>
                <w:lang w:eastAsia="es-ES"/>
              </w:rPr>
            </w:pPr>
            <w:r w:rsidRPr="0045206D">
              <w:rPr>
                <w:rFonts w:eastAsia="Times New Roman"/>
                <w:b/>
                <w:bCs/>
                <w:sz w:val="17"/>
                <w:szCs w:val="17"/>
                <w:bdr w:val="none" w:sz="0" w:space="0" w:color="auto"/>
                <w:lang w:eastAsia="es-ES"/>
              </w:rPr>
              <w:t>253.906,64</w:t>
            </w:r>
          </w:p>
        </w:tc>
        <w:tc>
          <w:tcPr>
            <w:tcW w:w="687" w:type="pct"/>
            <w:tcBorders>
              <w:top w:val="single" w:sz="8" w:space="0" w:color="auto"/>
              <w:left w:val="nil"/>
              <w:bottom w:val="single" w:sz="8" w:space="0" w:color="auto"/>
              <w:right w:val="nil"/>
            </w:tcBorders>
            <w:shd w:val="clear" w:color="auto" w:fill="F2F2F2"/>
            <w:noWrap/>
            <w:vAlign w:val="center"/>
            <w:hideMark/>
          </w:tcPr>
          <w:p w14:paraId="01C3D74C"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7"/>
                <w:szCs w:val="17"/>
                <w:bdr w:val="none" w:sz="0" w:space="0" w:color="auto"/>
                <w:lang w:eastAsia="es-ES"/>
              </w:rPr>
            </w:pPr>
            <w:r w:rsidRPr="0045206D">
              <w:rPr>
                <w:rFonts w:eastAsia="Times New Roman"/>
                <w:b/>
                <w:bCs/>
                <w:sz w:val="17"/>
                <w:szCs w:val="17"/>
                <w:bdr w:val="none" w:sz="0" w:space="0" w:color="auto"/>
                <w:lang w:eastAsia="es-ES"/>
              </w:rPr>
              <w:t>853.906,64</w:t>
            </w:r>
          </w:p>
        </w:tc>
      </w:tr>
      <w:tr w:rsidR="002E2D28" w:rsidRPr="0045206D" w14:paraId="0C72A0B9" w14:textId="77777777" w:rsidTr="00065019">
        <w:tblPrEx>
          <w:tblCellMar>
            <w:left w:w="70" w:type="dxa"/>
            <w:right w:w="70" w:type="dxa"/>
          </w:tblCellMar>
        </w:tblPrEx>
        <w:trPr>
          <w:trHeight w:val="255"/>
        </w:trPr>
        <w:tc>
          <w:tcPr>
            <w:tcW w:w="1573" w:type="pct"/>
            <w:tcBorders>
              <w:top w:val="nil"/>
              <w:left w:val="nil"/>
              <w:bottom w:val="nil"/>
              <w:right w:val="nil"/>
            </w:tcBorders>
            <w:shd w:val="clear" w:color="auto" w:fill="auto"/>
            <w:noWrap/>
            <w:vAlign w:val="center"/>
            <w:hideMark/>
          </w:tcPr>
          <w:p w14:paraId="6820C302"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7"/>
                <w:szCs w:val="17"/>
                <w:bdr w:val="none" w:sz="0" w:space="0" w:color="auto"/>
                <w:lang w:eastAsia="es-ES"/>
              </w:rPr>
            </w:pPr>
            <w:r w:rsidRPr="0045206D">
              <w:rPr>
                <w:rFonts w:eastAsia="Times New Roman"/>
                <w:sz w:val="17"/>
                <w:szCs w:val="17"/>
                <w:bdr w:val="none" w:sz="0" w:space="0" w:color="auto"/>
                <w:lang w:eastAsia="es-ES"/>
              </w:rPr>
              <w:t>Ajustes por corrección de errores</w:t>
            </w:r>
          </w:p>
        </w:tc>
        <w:tc>
          <w:tcPr>
            <w:tcW w:w="547" w:type="pct"/>
            <w:tcBorders>
              <w:top w:val="nil"/>
              <w:left w:val="nil"/>
              <w:bottom w:val="nil"/>
              <w:right w:val="nil"/>
            </w:tcBorders>
            <w:shd w:val="clear" w:color="auto" w:fill="auto"/>
            <w:noWrap/>
            <w:vAlign w:val="center"/>
            <w:hideMark/>
          </w:tcPr>
          <w:p w14:paraId="4BE61937"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7"/>
                <w:szCs w:val="17"/>
                <w:bdr w:val="none" w:sz="0" w:space="0" w:color="auto"/>
                <w:lang w:eastAsia="es-ES"/>
              </w:rPr>
            </w:pPr>
            <w:r w:rsidRPr="0045206D">
              <w:rPr>
                <w:rFonts w:eastAsia="Times New Roman"/>
                <w:b/>
                <w:bCs/>
                <w:sz w:val="17"/>
                <w:szCs w:val="17"/>
                <w:bdr w:val="none" w:sz="0" w:space="0" w:color="auto"/>
                <w:lang w:eastAsia="es-ES"/>
              </w:rPr>
              <w:t>-</w:t>
            </w:r>
          </w:p>
        </w:tc>
        <w:tc>
          <w:tcPr>
            <w:tcW w:w="762" w:type="pct"/>
            <w:tcBorders>
              <w:top w:val="nil"/>
              <w:left w:val="nil"/>
              <w:bottom w:val="nil"/>
              <w:right w:val="nil"/>
            </w:tcBorders>
            <w:shd w:val="clear" w:color="auto" w:fill="auto"/>
            <w:noWrap/>
            <w:vAlign w:val="center"/>
            <w:hideMark/>
          </w:tcPr>
          <w:p w14:paraId="556225A0"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7"/>
                <w:szCs w:val="17"/>
                <w:bdr w:val="none" w:sz="0" w:space="0" w:color="auto"/>
                <w:lang w:eastAsia="es-ES"/>
              </w:rPr>
            </w:pPr>
            <w:r w:rsidRPr="0045206D">
              <w:rPr>
                <w:rFonts w:eastAsia="Times New Roman"/>
                <w:sz w:val="17"/>
                <w:szCs w:val="17"/>
                <w:bdr w:val="none" w:sz="0" w:space="0" w:color="auto"/>
                <w:lang w:eastAsia="es-ES"/>
              </w:rPr>
              <w:t>-</w:t>
            </w:r>
          </w:p>
        </w:tc>
        <w:tc>
          <w:tcPr>
            <w:tcW w:w="727" w:type="pct"/>
            <w:tcBorders>
              <w:top w:val="nil"/>
              <w:left w:val="nil"/>
              <w:bottom w:val="nil"/>
              <w:right w:val="nil"/>
            </w:tcBorders>
            <w:shd w:val="clear" w:color="auto" w:fill="auto"/>
            <w:noWrap/>
            <w:vAlign w:val="center"/>
            <w:hideMark/>
          </w:tcPr>
          <w:p w14:paraId="314A5261"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7"/>
                <w:szCs w:val="17"/>
                <w:bdr w:val="none" w:sz="0" w:space="0" w:color="auto"/>
                <w:lang w:eastAsia="es-ES"/>
              </w:rPr>
            </w:pPr>
            <w:r w:rsidRPr="0045206D">
              <w:rPr>
                <w:rFonts w:eastAsia="Times New Roman"/>
                <w:sz w:val="17"/>
                <w:szCs w:val="17"/>
                <w:bdr w:val="none" w:sz="0" w:space="0" w:color="auto"/>
                <w:lang w:eastAsia="es-ES"/>
              </w:rPr>
              <w:t>-</w:t>
            </w:r>
          </w:p>
        </w:tc>
        <w:tc>
          <w:tcPr>
            <w:tcW w:w="704" w:type="pct"/>
            <w:tcBorders>
              <w:top w:val="nil"/>
              <w:left w:val="nil"/>
              <w:bottom w:val="nil"/>
              <w:right w:val="nil"/>
            </w:tcBorders>
            <w:shd w:val="clear" w:color="auto" w:fill="auto"/>
            <w:noWrap/>
            <w:vAlign w:val="center"/>
            <w:hideMark/>
          </w:tcPr>
          <w:p w14:paraId="0B471242"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7"/>
                <w:szCs w:val="17"/>
                <w:bdr w:val="none" w:sz="0" w:space="0" w:color="auto"/>
                <w:lang w:eastAsia="es-ES"/>
              </w:rPr>
            </w:pPr>
            <w:r w:rsidRPr="0045206D">
              <w:rPr>
                <w:rFonts w:eastAsia="Times New Roman"/>
                <w:sz w:val="17"/>
                <w:szCs w:val="17"/>
                <w:bdr w:val="none" w:sz="0" w:space="0" w:color="auto"/>
                <w:lang w:eastAsia="es-ES"/>
              </w:rPr>
              <w:t>-</w:t>
            </w:r>
          </w:p>
        </w:tc>
        <w:tc>
          <w:tcPr>
            <w:tcW w:w="687" w:type="pct"/>
            <w:tcBorders>
              <w:top w:val="nil"/>
              <w:left w:val="nil"/>
              <w:bottom w:val="nil"/>
              <w:right w:val="nil"/>
            </w:tcBorders>
            <w:shd w:val="clear" w:color="auto" w:fill="auto"/>
            <w:noWrap/>
            <w:vAlign w:val="center"/>
            <w:hideMark/>
          </w:tcPr>
          <w:p w14:paraId="4094183D"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7"/>
                <w:szCs w:val="17"/>
                <w:bdr w:val="none" w:sz="0" w:space="0" w:color="auto"/>
                <w:lang w:eastAsia="es-ES"/>
              </w:rPr>
            </w:pPr>
            <w:r w:rsidRPr="0045206D">
              <w:rPr>
                <w:rFonts w:eastAsia="Times New Roman"/>
                <w:sz w:val="17"/>
                <w:szCs w:val="17"/>
                <w:bdr w:val="none" w:sz="0" w:space="0" w:color="auto"/>
                <w:lang w:eastAsia="es-ES"/>
              </w:rPr>
              <w:t>-</w:t>
            </w:r>
          </w:p>
        </w:tc>
      </w:tr>
      <w:tr w:rsidR="002E2D28" w:rsidRPr="0045206D" w14:paraId="001F4540" w14:textId="77777777" w:rsidTr="001A7C10">
        <w:tblPrEx>
          <w:tblCellMar>
            <w:left w:w="70" w:type="dxa"/>
            <w:right w:w="70" w:type="dxa"/>
          </w:tblCellMar>
        </w:tblPrEx>
        <w:trPr>
          <w:trHeight w:val="283"/>
        </w:trPr>
        <w:tc>
          <w:tcPr>
            <w:tcW w:w="1573" w:type="pct"/>
            <w:tcBorders>
              <w:top w:val="single" w:sz="8" w:space="0" w:color="auto"/>
              <w:left w:val="nil"/>
              <w:bottom w:val="single" w:sz="8" w:space="0" w:color="auto"/>
              <w:right w:val="nil"/>
            </w:tcBorders>
            <w:shd w:val="clear" w:color="auto" w:fill="F2F2F2"/>
            <w:noWrap/>
            <w:vAlign w:val="center"/>
            <w:hideMark/>
          </w:tcPr>
          <w:p w14:paraId="248C9467"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7"/>
                <w:szCs w:val="17"/>
                <w:bdr w:val="none" w:sz="0" w:space="0" w:color="auto"/>
                <w:lang w:eastAsia="es-ES"/>
              </w:rPr>
            </w:pPr>
            <w:r w:rsidRPr="0045206D">
              <w:rPr>
                <w:rFonts w:eastAsia="Times New Roman"/>
                <w:b/>
                <w:bCs/>
                <w:sz w:val="17"/>
                <w:szCs w:val="17"/>
                <w:bdr w:val="none" w:sz="0" w:space="0" w:color="auto"/>
                <w:lang w:eastAsia="es-ES"/>
              </w:rPr>
              <w:t>SALDO AJUSTADO, 01.01.18</w:t>
            </w:r>
          </w:p>
        </w:tc>
        <w:tc>
          <w:tcPr>
            <w:tcW w:w="547" w:type="pct"/>
            <w:tcBorders>
              <w:top w:val="single" w:sz="8" w:space="0" w:color="auto"/>
              <w:left w:val="nil"/>
              <w:bottom w:val="single" w:sz="8" w:space="0" w:color="auto"/>
              <w:right w:val="nil"/>
            </w:tcBorders>
            <w:shd w:val="clear" w:color="auto" w:fill="F2F2F2"/>
            <w:noWrap/>
            <w:vAlign w:val="center"/>
            <w:hideMark/>
          </w:tcPr>
          <w:p w14:paraId="4025F9ED"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7"/>
                <w:szCs w:val="17"/>
                <w:bdr w:val="none" w:sz="0" w:space="0" w:color="auto"/>
                <w:lang w:eastAsia="es-ES"/>
              </w:rPr>
            </w:pPr>
            <w:r w:rsidRPr="0045206D">
              <w:rPr>
                <w:rFonts w:eastAsia="Times New Roman"/>
                <w:b/>
                <w:bCs/>
                <w:sz w:val="17"/>
                <w:szCs w:val="17"/>
                <w:bdr w:val="none" w:sz="0" w:space="0" w:color="auto"/>
                <w:lang w:eastAsia="es-ES"/>
              </w:rPr>
              <w:t>600.000,00</w:t>
            </w:r>
          </w:p>
        </w:tc>
        <w:tc>
          <w:tcPr>
            <w:tcW w:w="762" w:type="pct"/>
            <w:tcBorders>
              <w:top w:val="single" w:sz="8" w:space="0" w:color="auto"/>
              <w:left w:val="nil"/>
              <w:bottom w:val="single" w:sz="8" w:space="0" w:color="auto"/>
              <w:right w:val="nil"/>
            </w:tcBorders>
            <w:shd w:val="clear" w:color="auto" w:fill="F2F2F2"/>
            <w:noWrap/>
            <w:vAlign w:val="center"/>
            <w:hideMark/>
          </w:tcPr>
          <w:p w14:paraId="0BF1D005"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7"/>
                <w:szCs w:val="17"/>
                <w:bdr w:val="none" w:sz="0" w:space="0" w:color="auto"/>
                <w:lang w:eastAsia="es-ES"/>
              </w:rPr>
            </w:pPr>
            <w:r w:rsidRPr="0045206D">
              <w:rPr>
                <w:rFonts w:eastAsia="Times New Roman"/>
                <w:b/>
                <w:bCs/>
                <w:sz w:val="17"/>
                <w:szCs w:val="17"/>
                <w:bdr w:val="none" w:sz="0" w:space="0" w:color="auto"/>
                <w:lang w:eastAsia="es-ES"/>
              </w:rPr>
              <w:t>2.165.867,00</w:t>
            </w:r>
          </w:p>
        </w:tc>
        <w:tc>
          <w:tcPr>
            <w:tcW w:w="727" w:type="pct"/>
            <w:tcBorders>
              <w:top w:val="single" w:sz="8" w:space="0" w:color="auto"/>
              <w:left w:val="nil"/>
              <w:bottom w:val="single" w:sz="8" w:space="0" w:color="auto"/>
              <w:right w:val="nil"/>
            </w:tcBorders>
            <w:shd w:val="clear" w:color="auto" w:fill="F2F2F2"/>
            <w:noWrap/>
            <w:vAlign w:val="center"/>
            <w:hideMark/>
          </w:tcPr>
          <w:p w14:paraId="56C5F7E7"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7"/>
                <w:szCs w:val="17"/>
                <w:bdr w:val="none" w:sz="0" w:space="0" w:color="auto"/>
                <w:lang w:eastAsia="es-ES"/>
              </w:rPr>
            </w:pPr>
            <w:r w:rsidRPr="0045206D">
              <w:rPr>
                <w:rFonts w:eastAsia="Times New Roman"/>
                <w:b/>
                <w:bCs/>
                <w:sz w:val="17"/>
                <w:szCs w:val="17"/>
                <w:bdr w:val="none" w:sz="0" w:space="0" w:color="auto"/>
                <w:lang w:eastAsia="es-ES"/>
              </w:rPr>
              <w:t>(2.165.867,00)</w:t>
            </w:r>
          </w:p>
        </w:tc>
        <w:tc>
          <w:tcPr>
            <w:tcW w:w="704" w:type="pct"/>
            <w:tcBorders>
              <w:top w:val="single" w:sz="8" w:space="0" w:color="auto"/>
              <w:left w:val="nil"/>
              <w:bottom w:val="single" w:sz="8" w:space="0" w:color="auto"/>
              <w:right w:val="nil"/>
            </w:tcBorders>
            <w:shd w:val="clear" w:color="auto" w:fill="F2F2F2"/>
            <w:noWrap/>
            <w:vAlign w:val="center"/>
            <w:hideMark/>
          </w:tcPr>
          <w:p w14:paraId="03C43994"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7"/>
                <w:szCs w:val="17"/>
                <w:bdr w:val="none" w:sz="0" w:space="0" w:color="auto"/>
                <w:lang w:eastAsia="es-ES"/>
              </w:rPr>
            </w:pPr>
            <w:r w:rsidRPr="0045206D">
              <w:rPr>
                <w:rFonts w:eastAsia="Times New Roman"/>
                <w:b/>
                <w:bCs/>
                <w:sz w:val="17"/>
                <w:szCs w:val="17"/>
                <w:bdr w:val="none" w:sz="0" w:space="0" w:color="auto"/>
                <w:lang w:eastAsia="es-ES"/>
              </w:rPr>
              <w:t>253.906,64</w:t>
            </w:r>
          </w:p>
        </w:tc>
        <w:tc>
          <w:tcPr>
            <w:tcW w:w="687" w:type="pct"/>
            <w:tcBorders>
              <w:top w:val="single" w:sz="8" w:space="0" w:color="auto"/>
              <w:left w:val="nil"/>
              <w:bottom w:val="single" w:sz="8" w:space="0" w:color="auto"/>
              <w:right w:val="nil"/>
            </w:tcBorders>
            <w:shd w:val="clear" w:color="auto" w:fill="F2F2F2"/>
            <w:noWrap/>
            <w:vAlign w:val="center"/>
            <w:hideMark/>
          </w:tcPr>
          <w:p w14:paraId="19E1A262"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7"/>
                <w:szCs w:val="17"/>
                <w:bdr w:val="none" w:sz="0" w:space="0" w:color="auto"/>
                <w:lang w:eastAsia="es-ES"/>
              </w:rPr>
            </w:pPr>
            <w:r w:rsidRPr="0045206D">
              <w:rPr>
                <w:rFonts w:eastAsia="Times New Roman"/>
                <w:b/>
                <w:bCs/>
                <w:sz w:val="17"/>
                <w:szCs w:val="17"/>
                <w:bdr w:val="none" w:sz="0" w:space="0" w:color="auto"/>
                <w:lang w:eastAsia="es-ES"/>
              </w:rPr>
              <w:t>853.906,64</w:t>
            </w:r>
          </w:p>
        </w:tc>
      </w:tr>
      <w:tr w:rsidR="002E2D28" w:rsidRPr="0045206D" w14:paraId="2CA78383" w14:textId="77777777" w:rsidTr="00065019">
        <w:tblPrEx>
          <w:tblCellMar>
            <w:left w:w="70" w:type="dxa"/>
            <w:right w:w="70" w:type="dxa"/>
          </w:tblCellMar>
        </w:tblPrEx>
        <w:trPr>
          <w:trHeight w:val="255"/>
        </w:trPr>
        <w:tc>
          <w:tcPr>
            <w:tcW w:w="1573" w:type="pct"/>
            <w:tcBorders>
              <w:top w:val="nil"/>
              <w:left w:val="nil"/>
              <w:bottom w:val="nil"/>
              <w:right w:val="nil"/>
            </w:tcBorders>
            <w:shd w:val="clear" w:color="auto" w:fill="auto"/>
            <w:noWrap/>
            <w:vAlign w:val="center"/>
            <w:hideMark/>
          </w:tcPr>
          <w:p w14:paraId="4AB04BD7"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7"/>
                <w:szCs w:val="17"/>
                <w:bdr w:val="none" w:sz="0" w:space="0" w:color="auto"/>
                <w:lang w:eastAsia="es-ES"/>
              </w:rPr>
            </w:pPr>
            <w:r w:rsidRPr="0045206D">
              <w:rPr>
                <w:rFonts w:eastAsia="Times New Roman"/>
                <w:sz w:val="17"/>
                <w:szCs w:val="17"/>
                <w:bdr w:val="none" w:sz="0" w:space="0" w:color="auto"/>
                <w:lang w:eastAsia="es-ES"/>
              </w:rPr>
              <w:t>Total ingresos y gastos reconocidos</w:t>
            </w:r>
          </w:p>
        </w:tc>
        <w:tc>
          <w:tcPr>
            <w:tcW w:w="547" w:type="pct"/>
            <w:tcBorders>
              <w:top w:val="nil"/>
              <w:left w:val="nil"/>
              <w:bottom w:val="nil"/>
              <w:right w:val="nil"/>
            </w:tcBorders>
            <w:shd w:val="clear" w:color="auto" w:fill="auto"/>
            <w:noWrap/>
            <w:vAlign w:val="center"/>
            <w:hideMark/>
          </w:tcPr>
          <w:p w14:paraId="685A5BA9"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7"/>
                <w:szCs w:val="17"/>
                <w:bdr w:val="none" w:sz="0" w:space="0" w:color="auto"/>
                <w:lang w:eastAsia="es-ES"/>
              </w:rPr>
            </w:pPr>
            <w:r w:rsidRPr="0045206D">
              <w:rPr>
                <w:rFonts w:eastAsia="Times New Roman"/>
                <w:b/>
                <w:bCs/>
                <w:sz w:val="17"/>
                <w:szCs w:val="17"/>
                <w:bdr w:val="none" w:sz="0" w:space="0" w:color="auto"/>
                <w:lang w:eastAsia="es-ES"/>
              </w:rPr>
              <w:t xml:space="preserve"> -</w:t>
            </w:r>
          </w:p>
        </w:tc>
        <w:tc>
          <w:tcPr>
            <w:tcW w:w="762" w:type="pct"/>
            <w:tcBorders>
              <w:top w:val="nil"/>
              <w:left w:val="nil"/>
              <w:bottom w:val="nil"/>
              <w:right w:val="nil"/>
            </w:tcBorders>
            <w:shd w:val="clear" w:color="auto" w:fill="auto"/>
            <w:noWrap/>
            <w:vAlign w:val="center"/>
            <w:hideMark/>
          </w:tcPr>
          <w:p w14:paraId="6D7B417A"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7"/>
                <w:szCs w:val="17"/>
                <w:bdr w:val="none" w:sz="0" w:space="0" w:color="auto"/>
                <w:lang w:eastAsia="es-ES"/>
              </w:rPr>
            </w:pPr>
            <w:r w:rsidRPr="0045206D">
              <w:rPr>
                <w:rFonts w:eastAsia="Times New Roman"/>
                <w:sz w:val="17"/>
                <w:szCs w:val="17"/>
                <w:bdr w:val="none" w:sz="0" w:space="0" w:color="auto"/>
                <w:lang w:eastAsia="es-ES"/>
              </w:rPr>
              <w:t>-</w:t>
            </w:r>
          </w:p>
        </w:tc>
        <w:tc>
          <w:tcPr>
            <w:tcW w:w="727" w:type="pct"/>
            <w:tcBorders>
              <w:top w:val="nil"/>
              <w:left w:val="nil"/>
              <w:bottom w:val="nil"/>
              <w:right w:val="nil"/>
            </w:tcBorders>
            <w:shd w:val="clear" w:color="auto" w:fill="auto"/>
            <w:noWrap/>
            <w:vAlign w:val="center"/>
            <w:hideMark/>
          </w:tcPr>
          <w:p w14:paraId="2C8BD26B"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7"/>
                <w:szCs w:val="17"/>
                <w:bdr w:val="none" w:sz="0" w:space="0" w:color="auto"/>
                <w:lang w:eastAsia="es-ES"/>
              </w:rPr>
            </w:pPr>
            <w:r w:rsidRPr="0045206D">
              <w:rPr>
                <w:rFonts w:eastAsia="Times New Roman"/>
                <w:sz w:val="17"/>
                <w:szCs w:val="17"/>
                <w:bdr w:val="none" w:sz="0" w:space="0" w:color="auto"/>
                <w:lang w:eastAsia="es-ES"/>
              </w:rPr>
              <w:t>(2.165.867,00)</w:t>
            </w:r>
          </w:p>
        </w:tc>
        <w:tc>
          <w:tcPr>
            <w:tcW w:w="704" w:type="pct"/>
            <w:tcBorders>
              <w:top w:val="nil"/>
              <w:left w:val="nil"/>
              <w:bottom w:val="nil"/>
              <w:right w:val="nil"/>
            </w:tcBorders>
            <w:shd w:val="clear" w:color="auto" w:fill="auto"/>
            <w:noWrap/>
            <w:vAlign w:val="center"/>
            <w:hideMark/>
          </w:tcPr>
          <w:p w14:paraId="0B141855"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7"/>
                <w:szCs w:val="17"/>
                <w:bdr w:val="none" w:sz="0" w:space="0" w:color="auto"/>
                <w:lang w:eastAsia="es-ES"/>
              </w:rPr>
            </w:pPr>
            <w:r w:rsidRPr="0045206D">
              <w:rPr>
                <w:rFonts w:eastAsia="Times New Roman"/>
                <w:sz w:val="17"/>
                <w:szCs w:val="17"/>
                <w:bdr w:val="none" w:sz="0" w:space="0" w:color="auto"/>
                <w:lang w:eastAsia="es-ES"/>
              </w:rPr>
              <w:t>(20.972,68)</w:t>
            </w:r>
          </w:p>
        </w:tc>
        <w:tc>
          <w:tcPr>
            <w:tcW w:w="687" w:type="pct"/>
            <w:tcBorders>
              <w:top w:val="nil"/>
              <w:left w:val="nil"/>
              <w:bottom w:val="nil"/>
              <w:right w:val="nil"/>
            </w:tcBorders>
            <w:shd w:val="clear" w:color="auto" w:fill="auto"/>
            <w:noWrap/>
            <w:vAlign w:val="center"/>
            <w:hideMark/>
          </w:tcPr>
          <w:p w14:paraId="1CF636F8"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7"/>
                <w:szCs w:val="17"/>
                <w:bdr w:val="none" w:sz="0" w:space="0" w:color="auto"/>
                <w:lang w:eastAsia="es-ES"/>
              </w:rPr>
            </w:pPr>
            <w:r w:rsidRPr="0045206D">
              <w:rPr>
                <w:rFonts w:eastAsia="Times New Roman"/>
                <w:sz w:val="17"/>
                <w:szCs w:val="17"/>
                <w:bdr w:val="none" w:sz="0" w:space="0" w:color="auto"/>
                <w:lang w:eastAsia="es-ES"/>
              </w:rPr>
              <w:t>(2.186.839,68)</w:t>
            </w:r>
          </w:p>
        </w:tc>
      </w:tr>
      <w:tr w:rsidR="002E2D28" w:rsidRPr="0045206D" w14:paraId="724CF83B" w14:textId="77777777" w:rsidTr="00065019">
        <w:tblPrEx>
          <w:tblCellMar>
            <w:left w:w="70" w:type="dxa"/>
            <w:right w:w="70" w:type="dxa"/>
          </w:tblCellMar>
        </w:tblPrEx>
        <w:trPr>
          <w:trHeight w:val="255"/>
        </w:trPr>
        <w:tc>
          <w:tcPr>
            <w:tcW w:w="1573" w:type="pct"/>
            <w:tcBorders>
              <w:top w:val="nil"/>
              <w:left w:val="nil"/>
              <w:bottom w:val="nil"/>
              <w:right w:val="nil"/>
            </w:tcBorders>
            <w:shd w:val="clear" w:color="auto" w:fill="auto"/>
            <w:noWrap/>
            <w:vAlign w:val="center"/>
            <w:hideMark/>
          </w:tcPr>
          <w:p w14:paraId="316D1401"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7"/>
                <w:szCs w:val="17"/>
                <w:bdr w:val="none" w:sz="0" w:space="0" w:color="auto"/>
                <w:lang w:eastAsia="es-ES"/>
              </w:rPr>
            </w:pPr>
            <w:r w:rsidRPr="0045206D">
              <w:rPr>
                <w:rFonts w:eastAsia="Times New Roman"/>
                <w:sz w:val="17"/>
                <w:szCs w:val="17"/>
                <w:bdr w:val="none" w:sz="0" w:space="0" w:color="auto"/>
                <w:lang w:eastAsia="es-ES"/>
              </w:rPr>
              <w:t>Operaciones con socios</w:t>
            </w:r>
          </w:p>
        </w:tc>
        <w:tc>
          <w:tcPr>
            <w:tcW w:w="547" w:type="pct"/>
            <w:tcBorders>
              <w:top w:val="nil"/>
              <w:left w:val="nil"/>
              <w:bottom w:val="nil"/>
              <w:right w:val="nil"/>
            </w:tcBorders>
            <w:shd w:val="clear" w:color="auto" w:fill="auto"/>
            <w:noWrap/>
            <w:vAlign w:val="center"/>
            <w:hideMark/>
          </w:tcPr>
          <w:p w14:paraId="40A534EB"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7"/>
                <w:szCs w:val="17"/>
                <w:bdr w:val="none" w:sz="0" w:space="0" w:color="auto"/>
                <w:lang w:eastAsia="es-ES"/>
              </w:rPr>
            </w:pPr>
            <w:r w:rsidRPr="0045206D">
              <w:rPr>
                <w:rFonts w:eastAsia="Times New Roman"/>
                <w:b/>
                <w:bCs/>
                <w:sz w:val="17"/>
                <w:szCs w:val="17"/>
                <w:bdr w:val="none" w:sz="0" w:space="0" w:color="auto"/>
                <w:lang w:eastAsia="es-ES"/>
              </w:rPr>
              <w:t xml:space="preserve"> -</w:t>
            </w:r>
          </w:p>
        </w:tc>
        <w:tc>
          <w:tcPr>
            <w:tcW w:w="762" w:type="pct"/>
            <w:tcBorders>
              <w:top w:val="nil"/>
              <w:left w:val="nil"/>
              <w:bottom w:val="nil"/>
              <w:right w:val="nil"/>
            </w:tcBorders>
            <w:shd w:val="clear" w:color="auto" w:fill="auto"/>
            <w:noWrap/>
            <w:vAlign w:val="center"/>
            <w:hideMark/>
          </w:tcPr>
          <w:p w14:paraId="1CEBEAF3"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7"/>
                <w:szCs w:val="17"/>
                <w:bdr w:val="none" w:sz="0" w:space="0" w:color="auto"/>
                <w:lang w:eastAsia="es-ES"/>
              </w:rPr>
            </w:pPr>
            <w:r w:rsidRPr="0045206D">
              <w:rPr>
                <w:rFonts w:eastAsia="Times New Roman"/>
                <w:sz w:val="17"/>
                <w:szCs w:val="17"/>
                <w:bdr w:val="none" w:sz="0" w:space="0" w:color="auto"/>
                <w:lang w:eastAsia="es-ES"/>
              </w:rPr>
              <w:t>2.165.867,00</w:t>
            </w:r>
          </w:p>
        </w:tc>
        <w:tc>
          <w:tcPr>
            <w:tcW w:w="727" w:type="pct"/>
            <w:tcBorders>
              <w:top w:val="nil"/>
              <w:left w:val="nil"/>
              <w:bottom w:val="nil"/>
              <w:right w:val="nil"/>
            </w:tcBorders>
            <w:shd w:val="clear" w:color="auto" w:fill="auto"/>
            <w:noWrap/>
            <w:vAlign w:val="center"/>
            <w:hideMark/>
          </w:tcPr>
          <w:p w14:paraId="21A11C02"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7"/>
                <w:szCs w:val="17"/>
                <w:bdr w:val="none" w:sz="0" w:space="0" w:color="auto"/>
                <w:lang w:eastAsia="es-ES"/>
              </w:rPr>
            </w:pPr>
            <w:r w:rsidRPr="0045206D">
              <w:rPr>
                <w:rFonts w:eastAsia="Times New Roman"/>
                <w:sz w:val="17"/>
                <w:szCs w:val="17"/>
                <w:bdr w:val="none" w:sz="0" w:space="0" w:color="auto"/>
                <w:lang w:eastAsia="es-ES"/>
              </w:rPr>
              <w:t>-</w:t>
            </w:r>
          </w:p>
        </w:tc>
        <w:tc>
          <w:tcPr>
            <w:tcW w:w="704" w:type="pct"/>
            <w:tcBorders>
              <w:top w:val="nil"/>
              <w:left w:val="nil"/>
              <w:bottom w:val="nil"/>
              <w:right w:val="nil"/>
            </w:tcBorders>
            <w:shd w:val="clear" w:color="auto" w:fill="auto"/>
            <w:noWrap/>
            <w:vAlign w:val="center"/>
            <w:hideMark/>
          </w:tcPr>
          <w:p w14:paraId="3CBC4740"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7"/>
                <w:szCs w:val="17"/>
                <w:bdr w:val="none" w:sz="0" w:space="0" w:color="auto"/>
                <w:lang w:eastAsia="es-ES"/>
              </w:rPr>
            </w:pPr>
            <w:r w:rsidRPr="0045206D">
              <w:rPr>
                <w:rFonts w:eastAsia="Times New Roman"/>
                <w:sz w:val="17"/>
                <w:szCs w:val="17"/>
                <w:bdr w:val="none" w:sz="0" w:space="0" w:color="auto"/>
                <w:lang w:eastAsia="es-ES"/>
              </w:rPr>
              <w:t>-</w:t>
            </w:r>
          </w:p>
        </w:tc>
        <w:tc>
          <w:tcPr>
            <w:tcW w:w="687" w:type="pct"/>
            <w:tcBorders>
              <w:top w:val="nil"/>
              <w:left w:val="nil"/>
              <w:bottom w:val="nil"/>
              <w:right w:val="nil"/>
            </w:tcBorders>
            <w:shd w:val="clear" w:color="auto" w:fill="auto"/>
            <w:noWrap/>
            <w:vAlign w:val="center"/>
            <w:hideMark/>
          </w:tcPr>
          <w:p w14:paraId="1E0649E1"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7"/>
                <w:szCs w:val="17"/>
                <w:bdr w:val="none" w:sz="0" w:space="0" w:color="auto"/>
                <w:lang w:eastAsia="es-ES"/>
              </w:rPr>
            </w:pPr>
            <w:r w:rsidRPr="0045206D">
              <w:rPr>
                <w:rFonts w:eastAsia="Times New Roman"/>
                <w:sz w:val="17"/>
                <w:szCs w:val="17"/>
                <w:bdr w:val="none" w:sz="0" w:space="0" w:color="auto"/>
                <w:lang w:eastAsia="es-ES"/>
              </w:rPr>
              <w:t>2.165.867,00</w:t>
            </w:r>
          </w:p>
        </w:tc>
      </w:tr>
      <w:tr w:rsidR="002E2D28" w:rsidRPr="0045206D" w14:paraId="11240B8A" w14:textId="77777777" w:rsidTr="00065019">
        <w:tblPrEx>
          <w:tblCellMar>
            <w:left w:w="70" w:type="dxa"/>
            <w:right w:w="70" w:type="dxa"/>
          </w:tblCellMar>
        </w:tblPrEx>
        <w:trPr>
          <w:trHeight w:val="255"/>
        </w:trPr>
        <w:tc>
          <w:tcPr>
            <w:tcW w:w="1573" w:type="pct"/>
            <w:tcBorders>
              <w:top w:val="nil"/>
              <w:left w:val="nil"/>
              <w:bottom w:val="nil"/>
              <w:right w:val="nil"/>
            </w:tcBorders>
            <w:shd w:val="clear" w:color="auto" w:fill="auto"/>
            <w:noWrap/>
            <w:vAlign w:val="center"/>
            <w:hideMark/>
          </w:tcPr>
          <w:p w14:paraId="0DDBD1D1" w14:textId="77777777" w:rsid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7"/>
                <w:szCs w:val="17"/>
                <w:bdr w:val="none" w:sz="0" w:space="0" w:color="auto"/>
                <w:lang w:eastAsia="es-ES"/>
              </w:rPr>
            </w:pPr>
            <w:r w:rsidRPr="0045206D">
              <w:rPr>
                <w:rFonts w:eastAsia="Times New Roman"/>
                <w:sz w:val="17"/>
                <w:szCs w:val="17"/>
                <w:bdr w:val="none" w:sz="0" w:space="0" w:color="auto"/>
                <w:lang w:eastAsia="es-ES"/>
              </w:rPr>
              <w:t xml:space="preserve">Distribución del resultado del </w:t>
            </w:r>
          </w:p>
          <w:p w14:paraId="450D056F"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7"/>
                <w:szCs w:val="17"/>
                <w:bdr w:val="none" w:sz="0" w:space="0" w:color="auto"/>
                <w:lang w:eastAsia="es-ES"/>
              </w:rPr>
            </w:pPr>
            <w:r w:rsidRPr="0045206D">
              <w:rPr>
                <w:rFonts w:eastAsia="Times New Roman"/>
                <w:sz w:val="17"/>
                <w:szCs w:val="17"/>
                <w:bdr w:val="none" w:sz="0" w:space="0" w:color="auto"/>
                <w:lang w:eastAsia="es-ES"/>
              </w:rPr>
              <w:t>ejercicio anterior</w:t>
            </w:r>
          </w:p>
        </w:tc>
        <w:tc>
          <w:tcPr>
            <w:tcW w:w="547" w:type="pct"/>
            <w:tcBorders>
              <w:top w:val="nil"/>
              <w:left w:val="nil"/>
              <w:bottom w:val="nil"/>
              <w:right w:val="nil"/>
            </w:tcBorders>
            <w:shd w:val="clear" w:color="auto" w:fill="auto"/>
            <w:noWrap/>
            <w:vAlign w:val="center"/>
            <w:hideMark/>
          </w:tcPr>
          <w:p w14:paraId="1F964A3E"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7"/>
                <w:szCs w:val="17"/>
                <w:bdr w:val="none" w:sz="0" w:space="0" w:color="auto"/>
                <w:lang w:eastAsia="es-ES"/>
              </w:rPr>
            </w:pPr>
            <w:r w:rsidRPr="0045206D">
              <w:rPr>
                <w:rFonts w:eastAsia="Times New Roman"/>
                <w:b/>
                <w:bCs/>
                <w:sz w:val="17"/>
                <w:szCs w:val="17"/>
                <w:bdr w:val="none" w:sz="0" w:space="0" w:color="auto"/>
                <w:lang w:eastAsia="es-ES"/>
              </w:rPr>
              <w:t xml:space="preserve"> -</w:t>
            </w:r>
          </w:p>
        </w:tc>
        <w:tc>
          <w:tcPr>
            <w:tcW w:w="762" w:type="pct"/>
            <w:tcBorders>
              <w:top w:val="nil"/>
              <w:left w:val="nil"/>
              <w:bottom w:val="nil"/>
              <w:right w:val="nil"/>
            </w:tcBorders>
            <w:shd w:val="clear" w:color="auto" w:fill="auto"/>
            <w:noWrap/>
            <w:vAlign w:val="center"/>
            <w:hideMark/>
          </w:tcPr>
          <w:p w14:paraId="63AAFAF9"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7"/>
                <w:szCs w:val="17"/>
                <w:bdr w:val="none" w:sz="0" w:space="0" w:color="auto"/>
                <w:lang w:eastAsia="es-ES"/>
              </w:rPr>
            </w:pPr>
            <w:r w:rsidRPr="0045206D">
              <w:rPr>
                <w:rFonts w:eastAsia="Times New Roman"/>
                <w:sz w:val="17"/>
                <w:szCs w:val="17"/>
                <w:bdr w:val="none" w:sz="0" w:space="0" w:color="auto"/>
                <w:lang w:eastAsia="es-ES"/>
              </w:rPr>
              <w:t>(2.165.867,00)</w:t>
            </w:r>
          </w:p>
        </w:tc>
        <w:tc>
          <w:tcPr>
            <w:tcW w:w="727" w:type="pct"/>
            <w:tcBorders>
              <w:top w:val="nil"/>
              <w:left w:val="nil"/>
              <w:bottom w:val="nil"/>
              <w:right w:val="nil"/>
            </w:tcBorders>
            <w:shd w:val="clear" w:color="auto" w:fill="auto"/>
            <w:noWrap/>
            <w:vAlign w:val="center"/>
            <w:hideMark/>
          </w:tcPr>
          <w:p w14:paraId="316B031E"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7"/>
                <w:szCs w:val="17"/>
                <w:bdr w:val="none" w:sz="0" w:space="0" w:color="auto"/>
                <w:lang w:eastAsia="es-ES"/>
              </w:rPr>
            </w:pPr>
            <w:r w:rsidRPr="0045206D">
              <w:rPr>
                <w:rFonts w:eastAsia="Times New Roman"/>
                <w:sz w:val="17"/>
                <w:szCs w:val="17"/>
                <w:bdr w:val="none" w:sz="0" w:space="0" w:color="auto"/>
                <w:lang w:eastAsia="es-ES"/>
              </w:rPr>
              <w:t>2.165.867,00</w:t>
            </w:r>
          </w:p>
        </w:tc>
        <w:tc>
          <w:tcPr>
            <w:tcW w:w="704" w:type="pct"/>
            <w:tcBorders>
              <w:top w:val="nil"/>
              <w:left w:val="nil"/>
              <w:bottom w:val="nil"/>
              <w:right w:val="nil"/>
            </w:tcBorders>
            <w:shd w:val="clear" w:color="auto" w:fill="auto"/>
            <w:noWrap/>
            <w:vAlign w:val="center"/>
            <w:hideMark/>
          </w:tcPr>
          <w:p w14:paraId="71635583"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7"/>
                <w:szCs w:val="17"/>
                <w:bdr w:val="none" w:sz="0" w:space="0" w:color="auto"/>
                <w:lang w:eastAsia="es-ES"/>
              </w:rPr>
            </w:pPr>
            <w:r w:rsidRPr="0045206D">
              <w:rPr>
                <w:rFonts w:eastAsia="Times New Roman"/>
                <w:sz w:val="17"/>
                <w:szCs w:val="17"/>
                <w:bdr w:val="none" w:sz="0" w:space="0" w:color="auto"/>
                <w:lang w:eastAsia="es-ES"/>
              </w:rPr>
              <w:t>-</w:t>
            </w:r>
          </w:p>
        </w:tc>
        <w:tc>
          <w:tcPr>
            <w:tcW w:w="687" w:type="pct"/>
            <w:tcBorders>
              <w:top w:val="nil"/>
              <w:left w:val="nil"/>
              <w:bottom w:val="nil"/>
              <w:right w:val="nil"/>
            </w:tcBorders>
            <w:shd w:val="clear" w:color="auto" w:fill="auto"/>
            <w:noWrap/>
            <w:vAlign w:val="center"/>
            <w:hideMark/>
          </w:tcPr>
          <w:p w14:paraId="0AD4649A"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7"/>
                <w:szCs w:val="17"/>
                <w:bdr w:val="none" w:sz="0" w:space="0" w:color="auto"/>
                <w:lang w:eastAsia="es-ES"/>
              </w:rPr>
            </w:pPr>
            <w:r w:rsidRPr="0045206D">
              <w:rPr>
                <w:rFonts w:eastAsia="Times New Roman"/>
                <w:sz w:val="17"/>
                <w:szCs w:val="17"/>
                <w:bdr w:val="none" w:sz="0" w:space="0" w:color="auto"/>
                <w:lang w:eastAsia="es-ES"/>
              </w:rPr>
              <w:t xml:space="preserve"> -</w:t>
            </w:r>
          </w:p>
        </w:tc>
      </w:tr>
      <w:tr w:rsidR="002E2D28" w:rsidRPr="0045206D" w14:paraId="3F674D4F" w14:textId="77777777" w:rsidTr="001A7C10">
        <w:tblPrEx>
          <w:tblCellMar>
            <w:left w:w="70" w:type="dxa"/>
            <w:right w:w="70" w:type="dxa"/>
          </w:tblCellMar>
        </w:tblPrEx>
        <w:trPr>
          <w:trHeight w:val="283"/>
        </w:trPr>
        <w:tc>
          <w:tcPr>
            <w:tcW w:w="1573" w:type="pct"/>
            <w:tcBorders>
              <w:top w:val="single" w:sz="8" w:space="0" w:color="auto"/>
              <w:left w:val="nil"/>
              <w:bottom w:val="single" w:sz="8" w:space="0" w:color="auto"/>
              <w:right w:val="nil"/>
            </w:tcBorders>
            <w:shd w:val="clear" w:color="auto" w:fill="F2F2F2"/>
            <w:noWrap/>
            <w:vAlign w:val="center"/>
            <w:hideMark/>
          </w:tcPr>
          <w:p w14:paraId="2EDB6B53"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7"/>
                <w:szCs w:val="17"/>
                <w:bdr w:val="none" w:sz="0" w:space="0" w:color="auto"/>
                <w:lang w:eastAsia="es-ES"/>
              </w:rPr>
            </w:pPr>
            <w:r w:rsidRPr="0045206D">
              <w:rPr>
                <w:rFonts w:eastAsia="Times New Roman"/>
                <w:b/>
                <w:bCs/>
                <w:sz w:val="17"/>
                <w:szCs w:val="17"/>
                <w:bdr w:val="none" w:sz="0" w:space="0" w:color="auto"/>
                <w:lang w:eastAsia="es-ES"/>
              </w:rPr>
              <w:t>SALDO, FINAL 31.12.18</w:t>
            </w:r>
          </w:p>
        </w:tc>
        <w:tc>
          <w:tcPr>
            <w:tcW w:w="547" w:type="pct"/>
            <w:tcBorders>
              <w:top w:val="single" w:sz="8" w:space="0" w:color="auto"/>
              <w:left w:val="nil"/>
              <w:bottom w:val="single" w:sz="8" w:space="0" w:color="auto"/>
              <w:right w:val="nil"/>
            </w:tcBorders>
            <w:shd w:val="clear" w:color="auto" w:fill="F2F2F2"/>
            <w:noWrap/>
            <w:vAlign w:val="center"/>
            <w:hideMark/>
          </w:tcPr>
          <w:p w14:paraId="32B11FDA"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7"/>
                <w:szCs w:val="17"/>
                <w:bdr w:val="none" w:sz="0" w:space="0" w:color="auto"/>
                <w:lang w:eastAsia="es-ES"/>
              </w:rPr>
            </w:pPr>
            <w:r w:rsidRPr="0045206D">
              <w:rPr>
                <w:rFonts w:eastAsia="Times New Roman"/>
                <w:b/>
                <w:bCs/>
                <w:sz w:val="17"/>
                <w:szCs w:val="17"/>
                <w:bdr w:val="none" w:sz="0" w:space="0" w:color="auto"/>
                <w:lang w:eastAsia="es-ES"/>
              </w:rPr>
              <w:t>600.000,00</w:t>
            </w:r>
          </w:p>
        </w:tc>
        <w:tc>
          <w:tcPr>
            <w:tcW w:w="762" w:type="pct"/>
            <w:tcBorders>
              <w:top w:val="single" w:sz="8" w:space="0" w:color="auto"/>
              <w:left w:val="nil"/>
              <w:bottom w:val="single" w:sz="8" w:space="0" w:color="auto"/>
              <w:right w:val="nil"/>
            </w:tcBorders>
            <w:shd w:val="clear" w:color="auto" w:fill="F2F2F2"/>
            <w:noWrap/>
            <w:vAlign w:val="center"/>
            <w:hideMark/>
          </w:tcPr>
          <w:p w14:paraId="501FB9B9"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7"/>
                <w:szCs w:val="17"/>
                <w:bdr w:val="none" w:sz="0" w:space="0" w:color="auto"/>
                <w:lang w:eastAsia="es-ES"/>
              </w:rPr>
            </w:pPr>
            <w:r w:rsidRPr="0045206D">
              <w:rPr>
                <w:rFonts w:eastAsia="Times New Roman"/>
                <w:b/>
                <w:bCs/>
                <w:sz w:val="17"/>
                <w:szCs w:val="17"/>
                <w:bdr w:val="none" w:sz="0" w:space="0" w:color="auto"/>
                <w:lang w:eastAsia="es-ES"/>
              </w:rPr>
              <w:t>2.165.867,00</w:t>
            </w:r>
          </w:p>
        </w:tc>
        <w:tc>
          <w:tcPr>
            <w:tcW w:w="727" w:type="pct"/>
            <w:tcBorders>
              <w:top w:val="single" w:sz="8" w:space="0" w:color="auto"/>
              <w:left w:val="nil"/>
              <w:bottom w:val="single" w:sz="8" w:space="0" w:color="auto"/>
              <w:right w:val="nil"/>
            </w:tcBorders>
            <w:shd w:val="clear" w:color="auto" w:fill="F2F2F2"/>
            <w:noWrap/>
            <w:vAlign w:val="center"/>
            <w:hideMark/>
          </w:tcPr>
          <w:p w14:paraId="6C24CBA4"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7"/>
                <w:szCs w:val="17"/>
                <w:bdr w:val="none" w:sz="0" w:space="0" w:color="auto"/>
                <w:lang w:eastAsia="es-ES"/>
              </w:rPr>
            </w:pPr>
            <w:r w:rsidRPr="0045206D">
              <w:rPr>
                <w:rFonts w:eastAsia="Times New Roman"/>
                <w:b/>
                <w:bCs/>
                <w:sz w:val="17"/>
                <w:szCs w:val="17"/>
                <w:bdr w:val="none" w:sz="0" w:space="0" w:color="auto"/>
                <w:lang w:eastAsia="es-ES"/>
              </w:rPr>
              <w:t>(2.165.867,00)</w:t>
            </w:r>
          </w:p>
        </w:tc>
        <w:tc>
          <w:tcPr>
            <w:tcW w:w="704" w:type="pct"/>
            <w:tcBorders>
              <w:top w:val="single" w:sz="8" w:space="0" w:color="auto"/>
              <w:left w:val="nil"/>
              <w:bottom w:val="single" w:sz="8" w:space="0" w:color="auto"/>
              <w:right w:val="nil"/>
            </w:tcBorders>
            <w:shd w:val="clear" w:color="auto" w:fill="F2F2F2"/>
            <w:noWrap/>
            <w:vAlign w:val="center"/>
            <w:hideMark/>
          </w:tcPr>
          <w:p w14:paraId="5AA53FD3"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7"/>
                <w:szCs w:val="17"/>
                <w:bdr w:val="none" w:sz="0" w:space="0" w:color="auto"/>
                <w:lang w:eastAsia="es-ES"/>
              </w:rPr>
            </w:pPr>
            <w:r w:rsidRPr="0045206D">
              <w:rPr>
                <w:rFonts w:eastAsia="Times New Roman"/>
                <w:b/>
                <w:bCs/>
                <w:sz w:val="17"/>
                <w:szCs w:val="17"/>
                <w:bdr w:val="none" w:sz="0" w:space="0" w:color="auto"/>
                <w:lang w:eastAsia="es-ES"/>
              </w:rPr>
              <w:t>232.933,96</w:t>
            </w:r>
          </w:p>
        </w:tc>
        <w:tc>
          <w:tcPr>
            <w:tcW w:w="687" w:type="pct"/>
            <w:tcBorders>
              <w:top w:val="single" w:sz="8" w:space="0" w:color="auto"/>
              <w:left w:val="nil"/>
              <w:bottom w:val="single" w:sz="8" w:space="0" w:color="auto"/>
              <w:right w:val="nil"/>
            </w:tcBorders>
            <w:shd w:val="clear" w:color="auto" w:fill="F2F2F2"/>
            <w:noWrap/>
            <w:vAlign w:val="center"/>
            <w:hideMark/>
          </w:tcPr>
          <w:p w14:paraId="108E5533" w14:textId="77777777" w:rsidR="002E2D28" w:rsidRPr="0045206D" w:rsidRDefault="002E2D28" w:rsidP="002E2D2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7"/>
                <w:szCs w:val="17"/>
                <w:bdr w:val="none" w:sz="0" w:space="0" w:color="auto"/>
                <w:lang w:eastAsia="es-ES"/>
              </w:rPr>
            </w:pPr>
            <w:r w:rsidRPr="0045206D">
              <w:rPr>
                <w:rFonts w:eastAsia="Times New Roman"/>
                <w:b/>
                <w:bCs/>
                <w:sz w:val="17"/>
                <w:szCs w:val="17"/>
                <w:bdr w:val="none" w:sz="0" w:space="0" w:color="auto"/>
                <w:lang w:eastAsia="es-ES"/>
              </w:rPr>
              <w:t>832.933,96</w:t>
            </w:r>
          </w:p>
        </w:tc>
      </w:tr>
    </w:tbl>
    <w:p w14:paraId="790DA9FC" w14:textId="77777777" w:rsidR="006220A2" w:rsidRDefault="006220A2" w:rsidP="006220A2">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0"/>
        </w:rPr>
      </w:pPr>
    </w:p>
    <w:p w14:paraId="1C3F2408" w14:textId="77777777" w:rsidR="006220A2" w:rsidRDefault="006220A2" w:rsidP="003A4111">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center"/>
        <w:outlineLvl w:val="0"/>
        <w:rPr>
          <w:b/>
          <w:snapToGrid w:val="0"/>
          <w:sz w:val="20"/>
        </w:rPr>
      </w:pPr>
      <w:r w:rsidRPr="002932A1">
        <w:rPr>
          <w:i/>
          <w:iCs/>
          <w:sz w:val="16"/>
          <w:szCs w:val="18"/>
        </w:rPr>
        <w:t>Las Cuentas Anuales de la Sociedad, que forman u</w:t>
      </w:r>
      <w:r>
        <w:rPr>
          <w:i/>
          <w:iCs/>
          <w:sz w:val="16"/>
          <w:szCs w:val="18"/>
        </w:rPr>
        <w:t>na sola unidad, comprenden este Estado de Cambios en el Patrimonio Neto, el Balance</w:t>
      </w:r>
      <w:r w:rsidRPr="002932A1">
        <w:rPr>
          <w:i/>
          <w:iCs/>
          <w:sz w:val="16"/>
          <w:szCs w:val="18"/>
        </w:rPr>
        <w:t xml:space="preserve">, las Cuentas de Pérdidas y Ganancias, </w:t>
      </w:r>
      <w:r>
        <w:rPr>
          <w:i/>
          <w:iCs/>
          <w:sz w:val="16"/>
          <w:szCs w:val="18"/>
        </w:rPr>
        <w:t>el Estado de Flujos de Ef</w:t>
      </w:r>
      <w:r w:rsidRPr="002932A1">
        <w:rPr>
          <w:i/>
          <w:iCs/>
          <w:sz w:val="16"/>
          <w:szCs w:val="18"/>
        </w:rPr>
        <w:t xml:space="preserve">ectivo adjuntos y la Memoria Anual adjunta que consta </w:t>
      </w:r>
      <w:r>
        <w:rPr>
          <w:i/>
          <w:iCs/>
          <w:sz w:val="16"/>
          <w:szCs w:val="18"/>
        </w:rPr>
        <w:t>de 19</w:t>
      </w:r>
      <w:r w:rsidRPr="00CB2D33">
        <w:rPr>
          <w:i/>
          <w:iCs/>
          <w:sz w:val="16"/>
          <w:szCs w:val="18"/>
        </w:rPr>
        <w:t xml:space="preserve"> Notas</w:t>
      </w:r>
    </w:p>
    <w:p w14:paraId="3D560792" w14:textId="77777777" w:rsidR="003A4111" w:rsidRDefault="006220A2" w:rsidP="006220A2">
      <w:pPr>
        <w:widowControl w:val="0"/>
        <w:tabs>
          <w:tab w:val="left" w:pos="284"/>
          <w:tab w:val="left" w:pos="567"/>
          <w:tab w:val="left" w:pos="851"/>
        </w:tabs>
        <w:rPr>
          <w:sz w:val="20"/>
        </w:rPr>
      </w:pPr>
      <w:r w:rsidRPr="002E42FD">
        <w:rPr>
          <w:sz w:val="20"/>
        </w:rPr>
        <w:br w:type="page"/>
      </w:r>
    </w:p>
    <w:p w14:paraId="286D3C84" w14:textId="77777777" w:rsidR="003A4111" w:rsidRDefault="003A4111" w:rsidP="006220A2">
      <w:pPr>
        <w:widowControl w:val="0"/>
        <w:tabs>
          <w:tab w:val="left" w:pos="284"/>
          <w:tab w:val="left" w:pos="567"/>
          <w:tab w:val="left" w:pos="851"/>
        </w:tabs>
        <w:rPr>
          <w:sz w:val="20"/>
        </w:rPr>
      </w:pPr>
    </w:p>
    <w:p w14:paraId="01B74A94" w14:textId="77777777" w:rsidR="006220A2" w:rsidRPr="00D43E6F" w:rsidRDefault="006220A2" w:rsidP="006220A2">
      <w:pPr>
        <w:widowControl w:val="0"/>
        <w:tabs>
          <w:tab w:val="left" w:pos="284"/>
          <w:tab w:val="left" w:pos="567"/>
          <w:tab w:val="left" w:pos="851"/>
        </w:tabs>
        <w:rPr>
          <w:b/>
          <w:snapToGrid w:val="0"/>
          <w:sz w:val="20"/>
        </w:rPr>
      </w:pPr>
      <w:r w:rsidRPr="00D43E6F">
        <w:rPr>
          <w:b/>
          <w:snapToGrid w:val="0"/>
          <w:sz w:val="20"/>
        </w:rPr>
        <w:t>PROMOTUR TURISMO CANARIAS, S.A.</w:t>
      </w:r>
    </w:p>
    <w:p w14:paraId="6FB4D333" w14:textId="77777777" w:rsidR="006220A2" w:rsidRPr="003849D9" w:rsidRDefault="006220A2" w:rsidP="006220A2">
      <w:pPr>
        <w:widowControl w:val="0"/>
        <w:tabs>
          <w:tab w:val="left" w:pos="284"/>
          <w:tab w:val="left" w:pos="567"/>
          <w:tab w:val="left" w:pos="851"/>
        </w:tabs>
        <w:jc w:val="both"/>
        <w:rPr>
          <w:b/>
          <w:bCs/>
          <w:sz w:val="20"/>
        </w:rPr>
      </w:pPr>
      <w:r w:rsidRPr="003849D9">
        <w:rPr>
          <w:b/>
          <w:sz w:val="20"/>
        </w:rPr>
        <w:t>ESTADO DE FLUJOS DE EFECTIVO CORRESPONDIENTE AL EJERCICIO ANUAL TERM</w:t>
      </w:r>
      <w:r w:rsidR="003849D9">
        <w:rPr>
          <w:b/>
          <w:sz w:val="20"/>
        </w:rPr>
        <w:t>INADO EL 31 DE DICIEMBRE DE 2018</w:t>
      </w:r>
      <w:r w:rsidRPr="003849D9">
        <w:rPr>
          <w:b/>
          <w:sz w:val="20"/>
        </w:rPr>
        <w:t xml:space="preserve"> Y 201</w:t>
      </w:r>
      <w:r w:rsidR="003849D9">
        <w:rPr>
          <w:b/>
          <w:sz w:val="20"/>
        </w:rPr>
        <w:t>7</w:t>
      </w:r>
      <w:r w:rsidRPr="003849D9">
        <w:rPr>
          <w:b/>
          <w:sz w:val="20"/>
        </w:rPr>
        <w:t xml:space="preserve"> </w:t>
      </w:r>
      <w:r w:rsidRPr="003849D9">
        <w:rPr>
          <w:b/>
          <w:bCs/>
          <w:sz w:val="20"/>
        </w:rPr>
        <w:t>(Expresado en euros)</w:t>
      </w:r>
    </w:p>
    <w:p w14:paraId="071737A8" w14:textId="77777777" w:rsidR="006220A2" w:rsidRPr="003849D9" w:rsidRDefault="006220A2" w:rsidP="006220A2">
      <w:pPr>
        <w:pStyle w:val="TextePrinc"/>
        <w:spacing w:line="280" w:lineRule="atLeast"/>
        <w:jc w:val="both"/>
        <w:rPr>
          <w:rFonts w:cs="Arial"/>
          <w:noProof w:val="0"/>
          <w:szCs w:val="18"/>
        </w:rPr>
      </w:pPr>
    </w:p>
    <w:tbl>
      <w:tblPr>
        <w:tblW w:w="5000" w:type="pct"/>
        <w:jc w:val="center"/>
        <w:tblCellMar>
          <w:left w:w="70" w:type="dxa"/>
          <w:right w:w="70" w:type="dxa"/>
        </w:tblCellMar>
        <w:tblLook w:val="04A0" w:firstRow="1" w:lastRow="0" w:firstColumn="1" w:lastColumn="0" w:noHBand="0" w:noVBand="1"/>
      </w:tblPr>
      <w:tblGrid>
        <w:gridCol w:w="5409"/>
        <w:gridCol w:w="683"/>
        <w:gridCol w:w="1557"/>
        <w:gridCol w:w="1556"/>
      </w:tblGrid>
      <w:tr w:rsidR="006220A2" w:rsidRPr="00A64CC0" w14:paraId="2AD416BA" w14:textId="77777777" w:rsidTr="001A7C10">
        <w:trPr>
          <w:trHeight w:val="238"/>
          <w:jc w:val="center"/>
        </w:trPr>
        <w:tc>
          <w:tcPr>
            <w:tcW w:w="2938" w:type="pct"/>
            <w:tcBorders>
              <w:top w:val="single" w:sz="4" w:space="0" w:color="auto"/>
              <w:left w:val="nil"/>
              <w:bottom w:val="nil"/>
              <w:right w:val="nil"/>
            </w:tcBorders>
            <w:shd w:val="clear" w:color="auto" w:fill="F2F2F2"/>
            <w:vAlign w:val="bottom"/>
            <w:hideMark/>
          </w:tcPr>
          <w:p w14:paraId="20BED045" w14:textId="77777777" w:rsidR="006220A2" w:rsidRPr="00A64CC0" w:rsidRDefault="006220A2" w:rsidP="00852114">
            <w:pPr>
              <w:jc w:val="center"/>
              <w:rPr>
                <w:rFonts w:eastAsia="Times New Roman"/>
                <w:sz w:val="18"/>
                <w:szCs w:val="18"/>
              </w:rPr>
            </w:pPr>
          </w:p>
        </w:tc>
        <w:tc>
          <w:tcPr>
            <w:tcW w:w="371" w:type="pct"/>
            <w:tcBorders>
              <w:top w:val="single" w:sz="4" w:space="0" w:color="auto"/>
              <w:left w:val="nil"/>
              <w:bottom w:val="nil"/>
              <w:right w:val="nil"/>
            </w:tcBorders>
            <w:shd w:val="clear" w:color="auto" w:fill="F2F2F2"/>
            <w:noWrap/>
            <w:vAlign w:val="bottom"/>
            <w:hideMark/>
          </w:tcPr>
          <w:p w14:paraId="5348AF4C" w14:textId="77777777" w:rsidR="006220A2" w:rsidRPr="00A64CC0" w:rsidRDefault="006220A2" w:rsidP="00852114">
            <w:pPr>
              <w:jc w:val="center"/>
              <w:rPr>
                <w:rFonts w:eastAsia="Times New Roman"/>
                <w:sz w:val="18"/>
                <w:szCs w:val="18"/>
              </w:rPr>
            </w:pPr>
          </w:p>
        </w:tc>
        <w:tc>
          <w:tcPr>
            <w:tcW w:w="1691" w:type="pct"/>
            <w:gridSpan w:val="2"/>
            <w:tcBorders>
              <w:top w:val="single" w:sz="4" w:space="0" w:color="auto"/>
              <w:left w:val="nil"/>
              <w:bottom w:val="single" w:sz="4" w:space="0" w:color="auto"/>
              <w:right w:val="nil"/>
            </w:tcBorders>
            <w:shd w:val="clear" w:color="auto" w:fill="F2F2F2"/>
            <w:noWrap/>
            <w:vAlign w:val="bottom"/>
            <w:hideMark/>
          </w:tcPr>
          <w:p w14:paraId="2679D459" w14:textId="77777777" w:rsidR="006220A2" w:rsidRPr="00A64CC0" w:rsidRDefault="006220A2" w:rsidP="00852114">
            <w:pPr>
              <w:jc w:val="center"/>
              <w:rPr>
                <w:rFonts w:eastAsia="Times New Roman"/>
                <w:b/>
                <w:bCs/>
                <w:sz w:val="18"/>
                <w:szCs w:val="18"/>
              </w:rPr>
            </w:pPr>
            <w:r w:rsidRPr="00A64CC0">
              <w:rPr>
                <w:rFonts w:eastAsia="Times New Roman"/>
                <w:b/>
                <w:bCs/>
                <w:sz w:val="18"/>
                <w:szCs w:val="18"/>
              </w:rPr>
              <w:t>Euros</w:t>
            </w:r>
          </w:p>
        </w:tc>
      </w:tr>
      <w:tr w:rsidR="006220A2" w:rsidRPr="00A64CC0" w14:paraId="570BDBA8" w14:textId="77777777" w:rsidTr="001A7C10">
        <w:trPr>
          <w:trHeight w:val="238"/>
          <w:jc w:val="center"/>
        </w:trPr>
        <w:tc>
          <w:tcPr>
            <w:tcW w:w="2938" w:type="pct"/>
            <w:tcBorders>
              <w:top w:val="nil"/>
              <w:left w:val="nil"/>
              <w:bottom w:val="single" w:sz="4" w:space="0" w:color="auto"/>
              <w:right w:val="nil"/>
            </w:tcBorders>
            <w:shd w:val="clear" w:color="auto" w:fill="F2F2F2"/>
            <w:vAlign w:val="bottom"/>
            <w:hideMark/>
          </w:tcPr>
          <w:p w14:paraId="2578A07C" w14:textId="77777777" w:rsidR="006220A2" w:rsidRPr="00A64CC0" w:rsidRDefault="006220A2" w:rsidP="00852114">
            <w:pPr>
              <w:jc w:val="center"/>
              <w:rPr>
                <w:rFonts w:eastAsia="Times New Roman"/>
                <w:sz w:val="18"/>
                <w:szCs w:val="18"/>
              </w:rPr>
            </w:pPr>
          </w:p>
        </w:tc>
        <w:tc>
          <w:tcPr>
            <w:tcW w:w="371" w:type="pct"/>
            <w:tcBorders>
              <w:top w:val="nil"/>
              <w:left w:val="nil"/>
              <w:bottom w:val="single" w:sz="4" w:space="0" w:color="auto"/>
              <w:right w:val="nil"/>
            </w:tcBorders>
            <w:shd w:val="clear" w:color="auto" w:fill="F2F2F2"/>
            <w:vAlign w:val="bottom"/>
            <w:hideMark/>
          </w:tcPr>
          <w:p w14:paraId="1FB17064" w14:textId="77777777" w:rsidR="006220A2" w:rsidRPr="00A64CC0" w:rsidRDefault="006220A2" w:rsidP="00852114">
            <w:pPr>
              <w:jc w:val="center"/>
              <w:rPr>
                <w:rFonts w:eastAsia="Times New Roman"/>
                <w:b/>
                <w:bCs/>
                <w:sz w:val="18"/>
                <w:szCs w:val="18"/>
              </w:rPr>
            </w:pPr>
            <w:r w:rsidRPr="00A64CC0">
              <w:rPr>
                <w:rFonts w:eastAsia="Times New Roman"/>
                <w:b/>
                <w:bCs/>
                <w:sz w:val="18"/>
                <w:szCs w:val="18"/>
              </w:rPr>
              <w:t>Notas</w:t>
            </w:r>
          </w:p>
        </w:tc>
        <w:tc>
          <w:tcPr>
            <w:tcW w:w="846" w:type="pct"/>
            <w:tcBorders>
              <w:top w:val="nil"/>
              <w:left w:val="nil"/>
              <w:bottom w:val="single" w:sz="4" w:space="0" w:color="auto"/>
              <w:right w:val="nil"/>
            </w:tcBorders>
            <w:shd w:val="clear" w:color="auto" w:fill="F2F2F2"/>
            <w:vAlign w:val="bottom"/>
            <w:hideMark/>
          </w:tcPr>
          <w:p w14:paraId="753180C5" w14:textId="77777777" w:rsidR="006220A2" w:rsidRPr="00A64CC0" w:rsidRDefault="003849D9" w:rsidP="00852114">
            <w:pPr>
              <w:jc w:val="center"/>
              <w:rPr>
                <w:rFonts w:eastAsia="Times New Roman"/>
                <w:b/>
                <w:bCs/>
                <w:sz w:val="18"/>
                <w:szCs w:val="18"/>
              </w:rPr>
            </w:pPr>
            <w:r>
              <w:rPr>
                <w:rFonts w:eastAsia="Times New Roman"/>
                <w:b/>
                <w:bCs/>
                <w:sz w:val="18"/>
                <w:szCs w:val="18"/>
              </w:rPr>
              <w:t>2018</w:t>
            </w:r>
          </w:p>
        </w:tc>
        <w:tc>
          <w:tcPr>
            <w:tcW w:w="845" w:type="pct"/>
            <w:tcBorders>
              <w:top w:val="nil"/>
              <w:left w:val="nil"/>
              <w:bottom w:val="single" w:sz="4" w:space="0" w:color="auto"/>
              <w:right w:val="nil"/>
            </w:tcBorders>
            <w:shd w:val="clear" w:color="auto" w:fill="F2F2F2"/>
            <w:vAlign w:val="bottom"/>
            <w:hideMark/>
          </w:tcPr>
          <w:p w14:paraId="0725FA9C" w14:textId="77777777" w:rsidR="006220A2" w:rsidRPr="00A64CC0" w:rsidRDefault="003849D9" w:rsidP="00852114">
            <w:pPr>
              <w:jc w:val="center"/>
              <w:rPr>
                <w:rFonts w:eastAsia="Times New Roman"/>
                <w:b/>
                <w:bCs/>
                <w:sz w:val="18"/>
                <w:szCs w:val="18"/>
              </w:rPr>
            </w:pPr>
            <w:r>
              <w:rPr>
                <w:rFonts w:eastAsia="Times New Roman"/>
                <w:b/>
                <w:bCs/>
                <w:sz w:val="18"/>
                <w:szCs w:val="18"/>
              </w:rPr>
              <w:t>2017</w:t>
            </w:r>
          </w:p>
        </w:tc>
      </w:tr>
      <w:tr w:rsidR="00706DDF" w:rsidRPr="00A64CC0" w14:paraId="1A91C12D" w14:textId="77777777" w:rsidTr="001A7C10">
        <w:trPr>
          <w:trHeight w:val="227"/>
          <w:jc w:val="center"/>
        </w:trPr>
        <w:tc>
          <w:tcPr>
            <w:tcW w:w="2938" w:type="pct"/>
            <w:tcBorders>
              <w:top w:val="nil"/>
              <w:left w:val="nil"/>
              <w:bottom w:val="single" w:sz="4" w:space="0" w:color="auto"/>
              <w:right w:val="nil"/>
            </w:tcBorders>
            <w:shd w:val="clear" w:color="auto" w:fill="F2F2F2"/>
            <w:vAlign w:val="center"/>
            <w:hideMark/>
          </w:tcPr>
          <w:p w14:paraId="7CF6A394" w14:textId="77777777" w:rsidR="00706DDF" w:rsidRPr="00A64CC0" w:rsidRDefault="00706DDF" w:rsidP="00706DDF">
            <w:pPr>
              <w:rPr>
                <w:rFonts w:eastAsia="Times New Roman"/>
                <w:b/>
                <w:bCs/>
                <w:sz w:val="18"/>
                <w:szCs w:val="18"/>
              </w:rPr>
            </w:pPr>
            <w:r w:rsidRPr="00A64CC0">
              <w:rPr>
                <w:rFonts w:eastAsia="Times New Roman"/>
                <w:b/>
                <w:bCs/>
                <w:sz w:val="18"/>
                <w:szCs w:val="18"/>
              </w:rPr>
              <w:t>A) FLUJOS DE EFECTIVO DE LAS ACTIVIDADES DE EXPLOTACIÓN</w:t>
            </w:r>
          </w:p>
        </w:tc>
        <w:tc>
          <w:tcPr>
            <w:tcW w:w="371" w:type="pct"/>
            <w:tcBorders>
              <w:top w:val="nil"/>
              <w:left w:val="nil"/>
              <w:bottom w:val="single" w:sz="4" w:space="0" w:color="auto"/>
              <w:right w:val="nil"/>
            </w:tcBorders>
            <w:shd w:val="clear" w:color="auto" w:fill="F2F2F2"/>
            <w:vAlign w:val="center"/>
            <w:hideMark/>
          </w:tcPr>
          <w:p w14:paraId="1CEE6605" w14:textId="77777777" w:rsidR="00706DDF" w:rsidRPr="00A64CC0" w:rsidRDefault="00706DDF" w:rsidP="00706DDF">
            <w:pPr>
              <w:jc w:val="center"/>
              <w:rPr>
                <w:rFonts w:eastAsia="Times New Roman"/>
                <w:b/>
                <w:bCs/>
                <w:sz w:val="18"/>
                <w:szCs w:val="18"/>
              </w:rPr>
            </w:pPr>
          </w:p>
        </w:tc>
        <w:tc>
          <w:tcPr>
            <w:tcW w:w="846" w:type="pct"/>
            <w:tcBorders>
              <w:top w:val="nil"/>
              <w:left w:val="nil"/>
              <w:bottom w:val="single" w:sz="4" w:space="0" w:color="auto"/>
              <w:right w:val="nil"/>
            </w:tcBorders>
            <w:shd w:val="clear" w:color="auto" w:fill="F2F2F2"/>
            <w:vAlign w:val="center"/>
            <w:hideMark/>
          </w:tcPr>
          <w:p w14:paraId="00CC8E09" w14:textId="77777777" w:rsidR="00706DDF" w:rsidRDefault="00706DDF" w:rsidP="00706DD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Pr>
                <w:b/>
                <w:bCs/>
                <w:sz w:val="18"/>
                <w:szCs w:val="18"/>
              </w:rPr>
              <w:t>(2.341.735,86)</w:t>
            </w:r>
          </w:p>
        </w:tc>
        <w:tc>
          <w:tcPr>
            <w:tcW w:w="845" w:type="pct"/>
            <w:tcBorders>
              <w:top w:val="nil"/>
              <w:left w:val="nil"/>
              <w:bottom w:val="single" w:sz="4" w:space="0" w:color="auto"/>
              <w:right w:val="nil"/>
            </w:tcBorders>
            <w:shd w:val="clear" w:color="auto" w:fill="F2F2F2"/>
            <w:vAlign w:val="center"/>
            <w:hideMark/>
          </w:tcPr>
          <w:p w14:paraId="427195EF" w14:textId="77777777" w:rsidR="00706DDF" w:rsidRDefault="00706DDF" w:rsidP="00706DDF">
            <w:pPr>
              <w:jc w:val="right"/>
              <w:rPr>
                <w:b/>
                <w:bCs/>
                <w:sz w:val="18"/>
                <w:szCs w:val="18"/>
              </w:rPr>
            </w:pPr>
            <w:r>
              <w:rPr>
                <w:b/>
                <w:bCs/>
                <w:sz w:val="18"/>
                <w:szCs w:val="18"/>
              </w:rPr>
              <w:t>(1.352.323,55)</w:t>
            </w:r>
          </w:p>
        </w:tc>
      </w:tr>
      <w:tr w:rsidR="00706DDF" w:rsidRPr="003A4111" w14:paraId="7DA679F0" w14:textId="77777777" w:rsidTr="00065019">
        <w:trPr>
          <w:trHeight w:val="113"/>
          <w:jc w:val="center"/>
        </w:trPr>
        <w:tc>
          <w:tcPr>
            <w:tcW w:w="2938" w:type="pct"/>
            <w:tcBorders>
              <w:top w:val="nil"/>
              <w:left w:val="nil"/>
              <w:bottom w:val="nil"/>
              <w:right w:val="nil"/>
            </w:tcBorders>
            <w:shd w:val="clear" w:color="auto" w:fill="auto"/>
            <w:vAlign w:val="center"/>
            <w:hideMark/>
          </w:tcPr>
          <w:p w14:paraId="64ACA7FF" w14:textId="77777777" w:rsidR="00706DDF" w:rsidRPr="003A4111" w:rsidRDefault="00706DDF" w:rsidP="00706DDF">
            <w:pPr>
              <w:rPr>
                <w:rFonts w:eastAsia="Times New Roman"/>
                <w:b/>
                <w:bCs/>
                <w:sz w:val="12"/>
                <w:szCs w:val="12"/>
              </w:rPr>
            </w:pPr>
          </w:p>
        </w:tc>
        <w:tc>
          <w:tcPr>
            <w:tcW w:w="371" w:type="pct"/>
            <w:tcBorders>
              <w:top w:val="nil"/>
              <w:left w:val="nil"/>
              <w:bottom w:val="nil"/>
              <w:right w:val="nil"/>
            </w:tcBorders>
            <w:shd w:val="clear" w:color="auto" w:fill="auto"/>
            <w:vAlign w:val="center"/>
            <w:hideMark/>
          </w:tcPr>
          <w:p w14:paraId="4EB5DADF" w14:textId="77777777" w:rsidR="00706DDF" w:rsidRPr="003A4111" w:rsidRDefault="00706DDF" w:rsidP="00706DDF">
            <w:pPr>
              <w:jc w:val="center"/>
              <w:rPr>
                <w:rFonts w:eastAsia="Times New Roman"/>
                <w:sz w:val="12"/>
                <w:szCs w:val="12"/>
              </w:rPr>
            </w:pPr>
          </w:p>
        </w:tc>
        <w:tc>
          <w:tcPr>
            <w:tcW w:w="846" w:type="pct"/>
            <w:tcBorders>
              <w:top w:val="nil"/>
              <w:left w:val="nil"/>
              <w:bottom w:val="nil"/>
              <w:right w:val="nil"/>
            </w:tcBorders>
            <w:shd w:val="clear" w:color="auto" w:fill="auto"/>
            <w:vAlign w:val="center"/>
            <w:hideMark/>
          </w:tcPr>
          <w:p w14:paraId="319A72CE" w14:textId="77777777" w:rsidR="00706DDF" w:rsidRPr="003A4111" w:rsidRDefault="00706DDF" w:rsidP="00706DDF">
            <w:pPr>
              <w:jc w:val="right"/>
              <w:rPr>
                <w:b/>
                <w:bCs/>
                <w:sz w:val="12"/>
                <w:szCs w:val="12"/>
              </w:rPr>
            </w:pPr>
          </w:p>
        </w:tc>
        <w:tc>
          <w:tcPr>
            <w:tcW w:w="845" w:type="pct"/>
            <w:tcBorders>
              <w:top w:val="nil"/>
              <w:left w:val="nil"/>
              <w:bottom w:val="nil"/>
              <w:right w:val="nil"/>
            </w:tcBorders>
            <w:shd w:val="clear" w:color="auto" w:fill="auto"/>
            <w:vAlign w:val="center"/>
            <w:hideMark/>
          </w:tcPr>
          <w:p w14:paraId="0D3321DB" w14:textId="77777777" w:rsidR="00706DDF" w:rsidRPr="003A4111" w:rsidRDefault="00706DDF" w:rsidP="00706DDF">
            <w:pPr>
              <w:jc w:val="right"/>
              <w:rPr>
                <w:rFonts w:eastAsia="Times New Roman"/>
                <w:sz w:val="12"/>
                <w:szCs w:val="12"/>
              </w:rPr>
            </w:pPr>
          </w:p>
        </w:tc>
      </w:tr>
      <w:tr w:rsidR="00706DDF" w:rsidRPr="00A64CC0" w14:paraId="0CD9C3BE" w14:textId="77777777" w:rsidTr="00065019">
        <w:trPr>
          <w:trHeight w:val="227"/>
          <w:jc w:val="center"/>
        </w:trPr>
        <w:tc>
          <w:tcPr>
            <w:tcW w:w="2938" w:type="pct"/>
            <w:tcBorders>
              <w:top w:val="nil"/>
              <w:left w:val="nil"/>
              <w:bottom w:val="nil"/>
              <w:right w:val="nil"/>
            </w:tcBorders>
            <w:shd w:val="clear" w:color="auto" w:fill="auto"/>
            <w:vAlign w:val="center"/>
            <w:hideMark/>
          </w:tcPr>
          <w:p w14:paraId="76A0F2E8" w14:textId="77777777" w:rsidR="00706DDF" w:rsidRPr="00A64CC0" w:rsidRDefault="00706DDF" w:rsidP="00706DDF">
            <w:pPr>
              <w:rPr>
                <w:rFonts w:eastAsia="Times New Roman"/>
                <w:b/>
                <w:bCs/>
                <w:sz w:val="18"/>
                <w:szCs w:val="18"/>
              </w:rPr>
            </w:pPr>
            <w:r w:rsidRPr="00A64CC0">
              <w:rPr>
                <w:rFonts w:eastAsia="Times New Roman"/>
                <w:b/>
                <w:bCs/>
                <w:sz w:val="18"/>
                <w:szCs w:val="18"/>
              </w:rPr>
              <w:t>Resultado del ejercicio antes de impuestos</w:t>
            </w:r>
          </w:p>
        </w:tc>
        <w:tc>
          <w:tcPr>
            <w:tcW w:w="371" w:type="pct"/>
            <w:tcBorders>
              <w:top w:val="nil"/>
              <w:left w:val="nil"/>
              <w:bottom w:val="nil"/>
              <w:right w:val="nil"/>
            </w:tcBorders>
            <w:shd w:val="clear" w:color="auto" w:fill="auto"/>
            <w:noWrap/>
            <w:vAlign w:val="center"/>
            <w:hideMark/>
          </w:tcPr>
          <w:p w14:paraId="17939EE7" w14:textId="77777777" w:rsidR="00706DDF" w:rsidRPr="00A64CC0" w:rsidRDefault="00706DDF" w:rsidP="00706DDF">
            <w:pPr>
              <w:jc w:val="center"/>
              <w:rPr>
                <w:rFonts w:eastAsia="Times New Roman"/>
                <w:b/>
                <w:bCs/>
                <w:sz w:val="18"/>
                <w:szCs w:val="18"/>
              </w:rPr>
            </w:pPr>
          </w:p>
        </w:tc>
        <w:tc>
          <w:tcPr>
            <w:tcW w:w="846" w:type="pct"/>
            <w:tcBorders>
              <w:top w:val="single" w:sz="4" w:space="0" w:color="auto"/>
              <w:left w:val="nil"/>
              <w:bottom w:val="single" w:sz="4" w:space="0" w:color="auto"/>
              <w:right w:val="nil"/>
            </w:tcBorders>
            <w:shd w:val="clear" w:color="auto" w:fill="auto"/>
            <w:vAlign w:val="center"/>
            <w:hideMark/>
          </w:tcPr>
          <w:p w14:paraId="1543B7B2" w14:textId="77777777" w:rsidR="00706DDF" w:rsidRDefault="00706DDF" w:rsidP="00706DDF">
            <w:pPr>
              <w:jc w:val="right"/>
              <w:rPr>
                <w:b/>
                <w:bCs/>
                <w:sz w:val="18"/>
                <w:szCs w:val="18"/>
              </w:rPr>
            </w:pPr>
            <w:r>
              <w:rPr>
                <w:b/>
                <w:bCs/>
                <w:sz w:val="18"/>
                <w:szCs w:val="18"/>
              </w:rPr>
              <w:t>(2.165.867,00)</w:t>
            </w:r>
          </w:p>
        </w:tc>
        <w:tc>
          <w:tcPr>
            <w:tcW w:w="845" w:type="pct"/>
            <w:tcBorders>
              <w:top w:val="single" w:sz="4" w:space="0" w:color="auto"/>
              <w:left w:val="nil"/>
              <w:bottom w:val="single" w:sz="4" w:space="0" w:color="auto"/>
              <w:right w:val="nil"/>
            </w:tcBorders>
            <w:shd w:val="clear" w:color="auto" w:fill="auto"/>
            <w:vAlign w:val="center"/>
            <w:hideMark/>
          </w:tcPr>
          <w:p w14:paraId="61EAEED8" w14:textId="77777777" w:rsidR="00706DDF" w:rsidRPr="006E00F7" w:rsidRDefault="00706DDF" w:rsidP="00706DDF">
            <w:pPr>
              <w:jc w:val="right"/>
              <w:rPr>
                <w:rFonts w:eastAsia="Times New Roman"/>
                <w:b/>
                <w:bCs/>
                <w:sz w:val="18"/>
                <w:szCs w:val="18"/>
              </w:rPr>
            </w:pPr>
            <w:r w:rsidRPr="006E00F7">
              <w:rPr>
                <w:rFonts w:eastAsia="Times New Roman"/>
                <w:b/>
                <w:bCs/>
                <w:sz w:val="18"/>
                <w:szCs w:val="18"/>
              </w:rPr>
              <w:t>(2.165.867,00)</w:t>
            </w:r>
          </w:p>
        </w:tc>
      </w:tr>
      <w:tr w:rsidR="00706DDF" w:rsidRPr="00A64CC0" w14:paraId="09DAD721" w14:textId="77777777" w:rsidTr="00065019">
        <w:trPr>
          <w:trHeight w:val="227"/>
          <w:jc w:val="center"/>
        </w:trPr>
        <w:tc>
          <w:tcPr>
            <w:tcW w:w="2938" w:type="pct"/>
            <w:tcBorders>
              <w:top w:val="nil"/>
              <w:left w:val="nil"/>
              <w:bottom w:val="nil"/>
              <w:right w:val="nil"/>
            </w:tcBorders>
            <w:shd w:val="clear" w:color="auto" w:fill="auto"/>
            <w:vAlign w:val="center"/>
            <w:hideMark/>
          </w:tcPr>
          <w:p w14:paraId="1936F963" w14:textId="77777777" w:rsidR="00706DDF" w:rsidRPr="00A64CC0" w:rsidRDefault="00706DDF" w:rsidP="00706DDF">
            <w:pPr>
              <w:rPr>
                <w:rFonts w:eastAsia="Times New Roman"/>
                <w:b/>
                <w:bCs/>
                <w:sz w:val="18"/>
                <w:szCs w:val="18"/>
              </w:rPr>
            </w:pPr>
            <w:r w:rsidRPr="00A64CC0">
              <w:rPr>
                <w:rFonts w:eastAsia="Times New Roman"/>
                <w:b/>
                <w:bCs/>
                <w:sz w:val="18"/>
                <w:szCs w:val="18"/>
              </w:rPr>
              <w:t>Ajustes al resultado</w:t>
            </w:r>
          </w:p>
        </w:tc>
        <w:tc>
          <w:tcPr>
            <w:tcW w:w="371" w:type="pct"/>
            <w:tcBorders>
              <w:top w:val="nil"/>
              <w:left w:val="nil"/>
              <w:bottom w:val="nil"/>
              <w:right w:val="nil"/>
            </w:tcBorders>
            <w:shd w:val="clear" w:color="auto" w:fill="auto"/>
            <w:noWrap/>
            <w:vAlign w:val="center"/>
            <w:hideMark/>
          </w:tcPr>
          <w:p w14:paraId="6D0A08A1" w14:textId="77777777" w:rsidR="00706DDF" w:rsidRPr="00A64CC0" w:rsidRDefault="00706DDF" w:rsidP="00706DDF">
            <w:pPr>
              <w:jc w:val="center"/>
              <w:rPr>
                <w:rFonts w:eastAsia="Times New Roman"/>
                <w:b/>
                <w:bCs/>
                <w:sz w:val="18"/>
                <w:szCs w:val="18"/>
              </w:rPr>
            </w:pPr>
          </w:p>
        </w:tc>
        <w:tc>
          <w:tcPr>
            <w:tcW w:w="846" w:type="pct"/>
            <w:tcBorders>
              <w:top w:val="nil"/>
              <w:left w:val="nil"/>
              <w:bottom w:val="single" w:sz="4" w:space="0" w:color="auto"/>
              <w:right w:val="nil"/>
            </w:tcBorders>
            <w:shd w:val="clear" w:color="auto" w:fill="auto"/>
            <w:vAlign w:val="center"/>
            <w:hideMark/>
          </w:tcPr>
          <w:p w14:paraId="34F9F523" w14:textId="77777777" w:rsidR="00706DDF" w:rsidRDefault="00706DDF" w:rsidP="00706DDF">
            <w:pPr>
              <w:jc w:val="right"/>
              <w:rPr>
                <w:b/>
                <w:bCs/>
                <w:color w:val="auto"/>
                <w:sz w:val="18"/>
                <w:szCs w:val="18"/>
              </w:rPr>
            </w:pPr>
            <w:r>
              <w:rPr>
                <w:b/>
                <w:bCs/>
                <w:sz w:val="18"/>
                <w:szCs w:val="18"/>
              </w:rPr>
              <w:t>40.397,20</w:t>
            </w:r>
          </w:p>
        </w:tc>
        <w:tc>
          <w:tcPr>
            <w:tcW w:w="845" w:type="pct"/>
            <w:tcBorders>
              <w:top w:val="nil"/>
              <w:left w:val="nil"/>
              <w:bottom w:val="single" w:sz="4" w:space="0" w:color="auto"/>
              <w:right w:val="nil"/>
            </w:tcBorders>
            <w:shd w:val="clear" w:color="auto" w:fill="auto"/>
            <w:vAlign w:val="center"/>
            <w:hideMark/>
          </w:tcPr>
          <w:p w14:paraId="743E01E0" w14:textId="77777777" w:rsidR="00706DDF" w:rsidRPr="006E00F7" w:rsidRDefault="00706DDF" w:rsidP="00706DDF">
            <w:pPr>
              <w:jc w:val="right"/>
              <w:rPr>
                <w:rFonts w:eastAsia="Times New Roman"/>
                <w:b/>
                <w:bCs/>
                <w:sz w:val="18"/>
                <w:szCs w:val="18"/>
              </w:rPr>
            </w:pPr>
            <w:r w:rsidRPr="006E00F7">
              <w:rPr>
                <w:rFonts w:eastAsia="Times New Roman"/>
                <w:b/>
                <w:bCs/>
                <w:sz w:val="18"/>
                <w:szCs w:val="18"/>
              </w:rPr>
              <w:t>36.735,31</w:t>
            </w:r>
          </w:p>
        </w:tc>
      </w:tr>
      <w:tr w:rsidR="00706DDF" w:rsidRPr="00A64CC0" w14:paraId="0911650C" w14:textId="77777777" w:rsidTr="00065019">
        <w:trPr>
          <w:trHeight w:val="227"/>
          <w:jc w:val="center"/>
        </w:trPr>
        <w:tc>
          <w:tcPr>
            <w:tcW w:w="2938" w:type="pct"/>
            <w:tcBorders>
              <w:top w:val="nil"/>
              <w:left w:val="nil"/>
              <w:bottom w:val="nil"/>
              <w:right w:val="nil"/>
            </w:tcBorders>
            <w:shd w:val="clear" w:color="auto" w:fill="auto"/>
            <w:vAlign w:val="center"/>
            <w:hideMark/>
          </w:tcPr>
          <w:p w14:paraId="2B7BBE11" w14:textId="77777777" w:rsidR="00706DDF" w:rsidRPr="00A64CC0" w:rsidRDefault="00706DDF" w:rsidP="00706DDF">
            <w:pPr>
              <w:rPr>
                <w:rFonts w:eastAsia="Times New Roman"/>
                <w:sz w:val="18"/>
                <w:szCs w:val="18"/>
              </w:rPr>
            </w:pPr>
            <w:r w:rsidRPr="00A64CC0">
              <w:rPr>
                <w:rFonts w:eastAsia="Times New Roman"/>
                <w:sz w:val="18"/>
                <w:szCs w:val="18"/>
              </w:rPr>
              <w:t>- Amortización del inmovilizado</w:t>
            </w:r>
          </w:p>
        </w:tc>
        <w:tc>
          <w:tcPr>
            <w:tcW w:w="371" w:type="pct"/>
            <w:tcBorders>
              <w:top w:val="nil"/>
              <w:left w:val="nil"/>
              <w:bottom w:val="nil"/>
              <w:right w:val="nil"/>
            </w:tcBorders>
            <w:shd w:val="clear" w:color="auto" w:fill="auto"/>
            <w:noWrap/>
            <w:vAlign w:val="center"/>
            <w:hideMark/>
          </w:tcPr>
          <w:p w14:paraId="45376B0A" w14:textId="77777777" w:rsidR="00706DDF" w:rsidRPr="00A64CC0" w:rsidRDefault="00706DDF" w:rsidP="00706DDF">
            <w:pPr>
              <w:jc w:val="center"/>
              <w:rPr>
                <w:rFonts w:eastAsia="Times New Roman"/>
                <w:sz w:val="18"/>
                <w:szCs w:val="18"/>
              </w:rPr>
            </w:pPr>
            <w:r w:rsidRPr="00A64CC0">
              <w:rPr>
                <w:rFonts w:eastAsia="Times New Roman"/>
                <w:sz w:val="18"/>
                <w:szCs w:val="18"/>
              </w:rPr>
              <w:t>5 y 6</w:t>
            </w:r>
          </w:p>
        </w:tc>
        <w:tc>
          <w:tcPr>
            <w:tcW w:w="846" w:type="pct"/>
            <w:tcBorders>
              <w:top w:val="nil"/>
              <w:left w:val="nil"/>
              <w:bottom w:val="nil"/>
              <w:right w:val="nil"/>
            </w:tcBorders>
            <w:shd w:val="clear" w:color="auto" w:fill="auto"/>
            <w:vAlign w:val="center"/>
            <w:hideMark/>
          </w:tcPr>
          <w:p w14:paraId="7A1248CE" w14:textId="77777777" w:rsidR="00706DDF" w:rsidRDefault="00706DDF" w:rsidP="00706DDF">
            <w:pPr>
              <w:jc w:val="right"/>
              <w:rPr>
                <w:sz w:val="18"/>
                <w:szCs w:val="18"/>
              </w:rPr>
            </w:pPr>
            <w:r>
              <w:rPr>
                <w:sz w:val="18"/>
                <w:szCs w:val="18"/>
              </w:rPr>
              <w:t>68.512,44</w:t>
            </w:r>
          </w:p>
        </w:tc>
        <w:tc>
          <w:tcPr>
            <w:tcW w:w="845" w:type="pct"/>
            <w:tcBorders>
              <w:top w:val="nil"/>
              <w:left w:val="nil"/>
              <w:bottom w:val="nil"/>
              <w:right w:val="nil"/>
            </w:tcBorders>
            <w:shd w:val="clear" w:color="auto" w:fill="auto"/>
            <w:vAlign w:val="center"/>
            <w:hideMark/>
          </w:tcPr>
          <w:p w14:paraId="2A7FEF70" w14:textId="77777777" w:rsidR="00706DDF" w:rsidRPr="006E00F7" w:rsidRDefault="00706DDF" w:rsidP="00706DDF">
            <w:pPr>
              <w:jc w:val="right"/>
              <w:rPr>
                <w:rFonts w:eastAsia="Times New Roman"/>
                <w:sz w:val="18"/>
                <w:szCs w:val="18"/>
              </w:rPr>
            </w:pPr>
            <w:r w:rsidRPr="006E00F7">
              <w:rPr>
                <w:rFonts w:eastAsia="Times New Roman"/>
                <w:sz w:val="18"/>
                <w:szCs w:val="18"/>
              </w:rPr>
              <w:t>65.303,79</w:t>
            </w:r>
          </w:p>
        </w:tc>
      </w:tr>
      <w:tr w:rsidR="00706DDF" w:rsidRPr="00A64CC0" w14:paraId="73FBD175" w14:textId="77777777" w:rsidTr="00065019">
        <w:trPr>
          <w:trHeight w:val="227"/>
          <w:jc w:val="center"/>
        </w:trPr>
        <w:tc>
          <w:tcPr>
            <w:tcW w:w="2938" w:type="pct"/>
            <w:tcBorders>
              <w:top w:val="nil"/>
              <w:left w:val="nil"/>
              <w:bottom w:val="nil"/>
              <w:right w:val="nil"/>
            </w:tcBorders>
            <w:shd w:val="clear" w:color="auto" w:fill="auto"/>
            <w:vAlign w:val="center"/>
            <w:hideMark/>
          </w:tcPr>
          <w:p w14:paraId="7B5E2A2A" w14:textId="77777777" w:rsidR="00706DDF" w:rsidRPr="00A64CC0" w:rsidRDefault="00706DDF" w:rsidP="00706DDF">
            <w:pPr>
              <w:rPr>
                <w:rFonts w:eastAsia="Times New Roman"/>
                <w:sz w:val="18"/>
                <w:szCs w:val="18"/>
              </w:rPr>
            </w:pPr>
            <w:r w:rsidRPr="00A64CC0">
              <w:rPr>
                <w:rFonts w:eastAsia="Times New Roman"/>
                <w:sz w:val="18"/>
                <w:szCs w:val="18"/>
              </w:rPr>
              <w:t>- Correcciones valorativos por deterioro</w:t>
            </w:r>
          </w:p>
        </w:tc>
        <w:tc>
          <w:tcPr>
            <w:tcW w:w="371" w:type="pct"/>
            <w:tcBorders>
              <w:top w:val="nil"/>
              <w:left w:val="nil"/>
              <w:bottom w:val="nil"/>
              <w:right w:val="nil"/>
            </w:tcBorders>
            <w:shd w:val="clear" w:color="auto" w:fill="auto"/>
            <w:noWrap/>
            <w:vAlign w:val="center"/>
            <w:hideMark/>
          </w:tcPr>
          <w:p w14:paraId="66847EEC" w14:textId="77777777" w:rsidR="00706DDF" w:rsidRPr="00A64CC0" w:rsidRDefault="00706DDF" w:rsidP="00706DDF">
            <w:pPr>
              <w:jc w:val="center"/>
              <w:rPr>
                <w:rFonts w:eastAsia="Times New Roman"/>
                <w:sz w:val="18"/>
                <w:szCs w:val="18"/>
              </w:rPr>
            </w:pPr>
          </w:p>
        </w:tc>
        <w:tc>
          <w:tcPr>
            <w:tcW w:w="846" w:type="pct"/>
            <w:tcBorders>
              <w:top w:val="nil"/>
              <w:left w:val="nil"/>
              <w:bottom w:val="nil"/>
              <w:right w:val="nil"/>
            </w:tcBorders>
            <w:shd w:val="clear" w:color="auto" w:fill="auto"/>
            <w:vAlign w:val="center"/>
            <w:hideMark/>
          </w:tcPr>
          <w:p w14:paraId="040612B5" w14:textId="77777777" w:rsidR="00706DDF" w:rsidRDefault="00706DDF" w:rsidP="00706DDF">
            <w:pPr>
              <w:jc w:val="right"/>
              <w:rPr>
                <w:sz w:val="18"/>
                <w:szCs w:val="18"/>
              </w:rPr>
            </w:pPr>
            <w:r>
              <w:rPr>
                <w:sz w:val="18"/>
                <w:szCs w:val="18"/>
              </w:rPr>
              <w:t xml:space="preserve"> -</w:t>
            </w:r>
          </w:p>
        </w:tc>
        <w:tc>
          <w:tcPr>
            <w:tcW w:w="845" w:type="pct"/>
            <w:tcBorders>
              <w:top w:val="nil"/>
              <w:left w:val="nil"/>
              <w:bottom w:val="nil"/>
              <w:right w:val="nil"/>
            </w:tcBorders>
            <w:shd w:val="clear" w:color="auto" w:fill="auto"/>
            <w:vAlign w:val="center"/>
            <w:hideMark/>
          </w:tcPr>
          <w:p w14:paraId="78085D9A" w14:textId="77777777" w:rsidR="00706DDF" w:rsidRPr="006E00F7" w:rsidRDefault="00706DDF" w:rsidP="00706DDF">
            <w:pPr>
              <w:jc w:val="right"/>
              <w:rPr>
                <w:rFonts w:eastAsia="Times New Roman"/>
                <w:sz w:val="18"/>
                <w:szCs w:val="18"/>
              </w:rPr>
            </w:pPr>
            <w:r w:rsidRPr="006E00F7">
              <w:rPr>
                <w:rFonts w:eastAsia="Times New Roman"/>
                <w:sz w:val="18"/>
                <w:szCs w:val="18"/>
              </w:rPr>
              <w:t>139,05</w:t>
            </w:r>
          </w:p>
        </w:tc>
      </w:tr>
      <w:tr w:rsidR="00706DDF" w:rsidRPr="00A64CC0" w14:paraId="155FFB5B" w14:textId="77777777" w:rsidTr="00065019">
        <w:trPr>
          <w:trHeight w:val="227"/>
          <w:jc w:val="center"/>
        </w:trPr>
        <w:tc>
          <w:tcPr>
            <w:tcW w:w="2938" w:type="pct"/>
            <w:tcBorders>
              <w:top w:val="nil"/>
              <w:left w:val="nil"/>
              <w:bottom w:val="nil"/>
              <w:right w:val="nil"/>
            </w:tcBorders>
            <w:shd w:val="clear" w:color="auto" w:fill="auto"/>
            <w:vAlign w:val="center"/>
            <w:hideMark/>
          </w:tcPr>
          <w:p w14:paraId="1E9F60BB" w14:textId="77777777" w:rsidR="00706DDF" w:rsidRPr="00A64CC0" w:rsidRDefault="00706DDF" w:rsidP="00706DDF">
            <w:pPr>
              <w:rPr>
                <w:rFonts w:eastAsia="Times New Roman"/>
                <w:sz w:val="18"/>
                <w:szCs w:val="18"/>
              </w:rPr>
            </w:pPr>
            <w:r w:rsidRPr="00A64CC0">
              <w:rPr>
                <w:rFonts w:eastAsia="Times New Roman"/>
                <w:sz w:val="18"/>
                <w:szCs w:val="18"/>
              </w:rPr>
              <w:t>- Imputación de subvenciones</w:t>
            </w:r>
          </w:p>
        </w:tc>
        <w:tc>
          <w:tcPr>
            <w:tcW w:w="371" w:type="pct"/>
            <w:tcBorders>
              <w:top w:val="nil"/>
              <w:left w:val="nil"/>
              <w:bottom w:val="nil"/>
              <w:right w:val="nil"/>
            </w:tcBorders>
            <w:shd w:val="clear" w:color="auto" w:fill="auto"/>
            <w:noWrap/>
            <w:vAlign w:val="center"/>
            <w:hideMark/>
          </w:tcPr>
          <w:p w14:paraId="634E96B6" w14:textId="77777777" w:rsidR="00706DDF" w:rsidRPr="00A64CC0" w:rsidRDefault="00706DDF" w:rsidP="00706DDF">
            <w:pPr>
              <w:jc w:val="center"/>
              <w:rPr>
                <w:rFonts w:eastAsia="Times New Roman"/>
                <w:sz w:val="18"/>
                <w:szCs w:val="18"/>
              </w:rPr>
            </w:pPr>
            <w:r w:rsidRPr="00A64CC0">
              <w:rPr>
                <w:rFonts w:eastAsia="Times New Roman"/>
                <w:sz w:val="18"/>
                <w:szCs w:val="18"/>
              </w:rPr>
              <w:t>15.1</w:t>
            </w:r>
          </w:p>
        </w:tc>
        <w:tc>
          <w:tcPr>
            <w:tcW w:w="846" w:type="pct"/>
            <w:tcBorders>
              <w:top w:val="nil"/>
              <w:left w:val="nil"/>
              <w:bottom w:val="nil"/>
              <w:right w:val="nil"/>
            </w:tcBorders>
            <w:shd w:val="clear" w:color="auto" w:fill="auto"/>
            <w:vAlign w:val="center"/>
            <w:hideMark/>
          </w:tcPr>
          <w:p w14:paraId="58F8A779" w14:textId="77777777" w:rsidR="00706DDF" w:rsidRDefault="00706DDF" w:rsidP="00706DDF">
            <w:pPr>
              <w:jc w:val="right"/>
              <w:rPr>
                <w:sz w:val="18"/>
                <w:szCs w:val="18"/>
              </w:rPr>
            </w:pPr>
            <w:r>
              <w:rPr>
                <w:sz w:val="18"/>
                <w:szCs w:val="18"/>
              </w:rPr>
              <w:t>(27.963,58)</w:t>
            </w:r>
          </w:p>
        </w:tc>
        <w:tc>
          <w:tcPr>
            <w:tcW w:w="845" w:type="pct"/>
            <w:tcBorders>
              <w:top w:val="nil"/>
              <w:left w:val="nil"/>
              <w:bottom w:val="nil"/>
              <w:right w:val="nil"/>
            </w:tcBorders>
            <w:shd w:val="clear" w:color="auto" w:fill="auto"/>
            <w:vAlign w:val="center"/>
            <w:hideMark/>
          </w:tcPr>
          <w:p w14:paraId="563DA140" w14:textId="77777777" w:rsidR="00706DDF" w:rsidRPr="006E00F7" w:rsidRDefault="00706DDF" w:rsidP="00706DDF">
            <w:pPr>
              <w:jc w:val="right"/>
              <w:rPr>
                <w:rFonts w:eastAsia="Times New Roman"/>
                <w:sz w:val="18"/>
                <w:szCs w:val="18"/>
              </w:rPr>
            </w:pPr>
            <w:r w:rsidRPr="006E00F7">
              <w:rPr>
                <w:rFonts w:eastAsia="Times New Roman"/>
                <w:sz w:val="18"/>
                <w:szCs w:val="18"/>
              </w:rPr>
              <w:t>(29.180,43)</w:t>
            </w:r>
          </w:p>
        </w:tc>
      </w:tr>
      <w:tr w:rsidR="00706DDF" w:rsidRPr="00A64CC0" w14:paraId="535A86BD" w14:textId="77777777" w:rsidTr="00065019">
        <w:trPr>
          <w:trHeight w:val="227"/>
          <w:jc w:val="center"/>
        </w:trPr>
        <w:tc>
          <w:tcPr>
            <w:tcW w:w="2938" w:type="pct"/>
            <w:tcBorders>
              <w:top w:val="nil"/>
              <w:left w:val="nil"/>
              <w:bottom w:val="nil"/>
              <w:right w:val="nil"/>
            </w:tcBorders>
            <w:shd w:val="clear" w:color="auto" w:fill="auto"/>
            <w:vAlign w:val="center"/>
            <w:hideMark/>
          </w:tcPr>
          <w:p w14:paraId="1E3A8324" w14:textId="77777777" w:rsidR="00706DDF" w:rsidRPr="00A64CC0" w:rsidRDefault="00706DDF" w:rsidP="00706DDF">
            <w:pPr>
              <w:rPr>
                <w:rFonts w:eastAsia="Times New Roman"/>
                <w:sz w:val="18"/>
                <w:szCs w:val="18"/>
              </w:rPr>
            </w:pPr>
            <w:r w:rsidRPr="00A64CC0">
              <w:rPr>
                <w:rFonts w:eastAsia="Times New Roman"/>
                <w:sz w:val="18"/>
                <w:szCs w:val="18"/>
              </w:rPr>
              <w:t>- Ingresos financieros</w:t>
            </w:r>
          </w:p>
        </w:tc>
        <w:tc>
          <w:tcPr>
            <w:tcW w:w="371" w:type="pct"/>
            <w:tcBorders>
              <w:top w:val="nil"/>
              <w:left w:val="nil"/>
              <w:bottom w:val="nil"/>
              <w:right w:val="nil"/>
            </w:tcBorders>
            <w:shd w:val="clear" w:color="auto" w:fill="auto"/>
            <w:noWrap/>
            <w:vAlign w:val="center"/>
            <w:hideMark/>
          </w:tcPr>
          <w:p w14:paraId="45C5AE94" w14:textId="77777777" w:rsidR="00706DDF" w:rsidRPr="00A64CC0" w:rsidRDefault="00706DDF" w:rsidP="00706DDF">
            <w:pPr>
              <w:jc w:val="center"/>
              <w:rPr>
                <w:rFonts w:eastAsia="Times New Roman"/>
                <w:sz w:val="18"/>
                <w:szCs w:val="18"/>
              </w:rPr>
            </w:pPr>
            <w:r w:rsidRPr="00A64CC0">
              <w:rPr>
                <w:rFonts w:eastAsia="Times New Roman"/>
                <w:sz w:val="18"/>
                <w:szCs w:val="18"/>
              </w:rPr>
              <w:t>12.e</w:t>
            </w:r>
          </w:p>
        </w:tc>
        <w:tc>
          <w:tcPr>
            <w:tcW w:w="846" w:type="pct"/>
            <w:tcBorders>
              <w:top w:val="nil"/>
              <w:left w:val="nil"/>
              <w:bottom w:val="nil"/>
              <w:right w:val="nil"/>
            </w:tcBorders>
            <w:shd w:val="clear" w:color="auto" w:fill="auto"/>
            <w:vAlign w:val="center"/>
            <w:hideMark/>
          </w:tcPr>
          <w:p w14:paraId="4BC74DF0" w14:textId="77777777" w:rsidR="00706DDF" w:rsidRDefault="00706DDF" w:rsidP="00706DDF">
            <w:pPr>
              <w:jc w:val="right"/>
              <w:rPr>
                <w:sz w:val="18"/>
                <w:szCs w:val="18"/>
              </w:rPr>
            </w:pPr>
            <w:r>
              <w:rPr>
                <w:sz w:val="18"/>
                <w:szCs w:val="18"/>
              </w:rPr>
              <w:t>(151,66)</w:t>
            </w:r>
          </w:p>
        </w:tc>
        <w:tc>
          <w:tcPr>
            <w:tcW w:w="845" w:type="pct"/>
            <w:tcBorders>
              <w:top w:val="nil"/>
              <w:left w:val="nil"/>
              <w:bottom w:val="nil"/>
              <w:right w:val="nil"/>
            </w:tcBorders>
            <w:shd w:val="clear" w:color="auto" w:fill="auto"/>
            <w:vAlign w:val="center"/>
            <w:hideMark/>
          </w:tcPr>
          <w:p w14:paraId="3805D8CA" w14:textId="77777777" w:rsidR="00706DDF" w:rsidRPr="006E00F7" w:rsidRDefault="00706DDF" w:rsidP="00706DDF">
            <w:pPr>
              <w:jc w:val="right"/>
              <w:rPr>
                <w:rFonts w:eastAsia="Times New Roman"/>
                <w:sz w:val="18"/>
                <w:szCs w:val="18"/>
              </w:rPr>
            </w:pPr>
            <w:r w:rsidRPr="006E00F7">
              <w:rPr>
                <w:rFonts w:eastAsia="Times New Roman"/>
                <w:sz w:val="18"/>
                <w:szCs w:val="18"/>
              </w:rPr>
              <w:t>(478,77)</w:t>
            </w:r>
          </w:p>
        </w:tc>
      </w:tr>
      <w:tr w:rsidR="003849D9" w:rsidRPr="00A64CC0" w14:paraId="1924515C" w14:textId="77777777" w:rsidTr="00065019">
        <w:trPr>
          <w:trHeight w:val="227"/>
          <w:jc w:val="center"/>
        </w:trPr>
        <w:tc>
          <w:tcPr>
            <w:tcW w:w="2938" w:type="pct"/>
            <w:tcBorders>
              <w:top w:val="nil"/>
              <w:left w:val="nil"/>
              <w:bottom w:val="nil"/>
              <w:right w:val="nil"/>
            </w:tcBorders>
            <w:shd w:val="clear" w:color="auto" w:fill="auto"/>
            <w:vAlign w:val="center"/>
            <w:hideMark/>
          </w:tcPr>
          <w:p w14:paraId="52EFD3D4" w14:textId="77777777" w:rsidR="003849D9" w:rsidRPr="00A64CC0" w:rsidRDefault="003849D9" w:rsidP="003849D9">
            <w:pPr>
              <w:rPr>
                <w:rFonts w:eastAsia="Times New Roman"/>
                <w:sz w:val="18"/>
                <w:szCs w:val="18"/>
              </w:rPr>
            </w:pPr>
            <w:r w:rsidRPr="00A64CC0">
              <w:rPr>
                <w:rFonts w:eastAsia="Times New Roman"/>
                <w:sz w:val="18"/>
                <w:szCs w:val="18"/>
              </w:rPr>
              <w:t>- Gastos financieros</w:t>
            </w:r>
          </w:p>
        </w:tc>
        <w:tc>
          <w:tcPr>
            <w:tcW w:w="371" w:type="pct"/>
            <w:tcBorders>
              <w:top w:val="nil"/>
              <w:left w:val="nil"/>
              <w:bottom w:val="nil"/>
              <w:right w:val="nil"/>
            </w:tcBorders>
            <w:shd w:val="clear" w:color="auto" w:fill="auto"/>
            <w:noWrap/>
            <w:vAlign w:val="center"/>
            <w:hideMark/>
          </w:tcPr>
          <w:p w14:paraId="559E5DAE" w14:textId="77777777" w:rsidR="003849D9" w:rsidRPr="00A64CC0" w:rsidRDefault="003849D9" w:rsidP="003849D9">
            <w:pPr>
              <w:jc w:val="center"/>
              <w:rPr>
                <w:rFonts w:eastAsia="Times New Roman"/>
                <w:sz w:val="18"/>
                <w:szCs w:val="18"/>
              </w:rPr>
            </w:pPr>
            <w:r w:rsidRPr="006E00F7">
              <w:rPr>
                <w:rFonts w:eastAsia="Times New Roman"/>
                <w:sz w:val="18"/>
                <w:szCs w:val="18"/>
              </w:rPr>
              <w:t>12.e</w:t>
            </w:r>
          </w:p>
        </w:tc>
        <w:tc>
          <w:tcPr>
            <w:tcW w:w="846" w:type="pct"/>
            <w:tcBorders>
              <w:top w:val="nil"/>
              <w:left w:val="nil"/>
              <w:bottom w:val="nil"/>
              <w:right w:val="nil"/>
            </w:tcBorders>
            <w:shd w:val="clear" w:color="auto" w:fill="auto"/>
            <w:vAlign w:val="center"/>
            <w:hideMark/>
          </w:tcPr>
          <w:p w14:paraId="377CCB1B" w14:textId="77777777" w:rsidR="003849D9" w:rsidRDefault="003849D9" w:rsidP="00065019">
            <w:pPr>
              <w:jc w:val="right"/>
              <w:rPr>
                <w:sz w:val="18"/>
                <w:szCs w:val="18"/>
              </w:rPr>
            </w:pPr>
            <w:r>
              <w:rPr>
                <w:sz w:val="18"/>
                <w:szCs w:val="18"/>
              </w:rPr>
              <w:t xml:space="preserve"> -</w:t>
            </w:r>
          </w:p>
        </w:tc>
        <w:tc>
          <w:tcPr>
            <w:tcW w:w="845" w:type="pct"/>
            <w:tcBorders>
              <w:top w:val="nil"/>
              <w:left w:val="nil"/>
              <w:bottom w:val="nil"/>
              <w:right w:val="nil"/>
            </w:tcBorders>
            <w:shd w:val="clear" w:color="auto" w:fill="auto"/>
            <w:vAlign w:val="center"/>
            <w:hideMark/>
          </w:tcPr>
          <w:p w14:paraId="49889E0E" w14:textId="77777777" w:rsidR="003849D9" w:rsidRPr="006E00F7" w:rsidRDefault="003849D9" w:rsidP="00065019">
            <w:pPr>
              <w:jc w:val="right"/>
              <w:rPr>
                <w:rFonts w:eastAsia="Times New Roman"/>
                <w:sz w:val="18"/>
                <w:szCs w:val="18"/>
              </w:rPr>
            </w:pPr>
            <w:r w:rsidRPr="006E00F7">
              <w:rPr>
                <w:rFonts w:eastAsia="Times New Roman"/>
                <w:sz w:val="18"/>
                <w:szCs w:val="18"/>
              </w:rPr>
              <w:t>951,67</w:t>
            </w:r>
          </w:p>
        </w:tc>
      </w:tr>
      <w:tr w:rsidR="003849D9" w:rsidRPr="003A4111" w14:paraId="630DEEDD" w14:textId="77777777" w:rsidTr="00065019">
        <w:trPr>
          <w:trHeight w:val="113"/>
          <w:jc w:val="center"/>
        </w:trPr>
        <w:tc>
          <w:tcPr>
            <w:tcW w:w="2938" w:type="pct"/>
            <w:tcBorders>
              <w:top w:val="nil"/>
              <w:left w:val="nil"/>
              <w:bottom w:val="nil"/>
              <w:right w:val="nil"/>
            </w:tcBorders>
            <w:shd w:val="clear" w:color="auto" w:fill="auto"/>
            <w:vAlign w:val="center"/>
            <w:hideMark/>
          </w:tcPr>
          <w:p w14:paraId="2151FAD5" w14:textId="77777777" w:rsidR="003849D9" w:rsidRPr="003A4111" w:rsidRDefault="003849D9" w:rsidP="003849D9">
            <w:pPr>
              <w:rPr>
                <w:rFonts w:eastAsia="Times New Roman"/>
                <w:sz w:val="12"/>
                <w:szCs w:val="12"/>
              </w:rPr>
            </w:pPr>
          </w:p>
        </w:tc>
        <w:tc>
          <w:tcPr>
            <w:tcW w:w="371" w:type="pct"/>
            <w:tcBorders>
              <w:top w:val="nil"/>
              <w:left w:val="nil"/>
              <w:bottom w:val="nil"/>
              <w:right w:val="nil"/>
            </w:tcBorders>
            <w:shd w:val="clear" w:color="auto" w:fill="auto"/>
            <w:noWrap/>
            <w:vAlign w:val="center"/>
            <w:hideMark/>
          </w:tcPr>
          <w:p w14:paraId="611090FF" w14:textId="77777777" w:rsidR="003849D9" w:rsidRPr="003A4111" w:rsidRDefault="003849D9" w:rsidP="003849D9">
            <w:pPr>
              <w:jc w:val="center"/>
              <w:rPr>
                <w:rFonts w:eastAsia="Times New Roman"/>
                <w:sz w:val="12"/>
                <w:szCs w:val="12"/>
              </w:rPr>
            </w:pPr>
          </w:p>
        </w:tc>
        <w:tc>
          <w:tcPr>
            <w:tcW w:w="846" w:type="pct"/>
            <w:tcBorders>
              <w:top w:val="nil"/>
              <w:left w:val="nil"/>
              <w:bottom w:val="nil"/>
              <w:right w:val="nil"/>
            </w:tcBorders>
            <w:shd w:val="clear" w:color="auto" w:fill="auto"/>
            <w:noWrap/>
            <w:vAlign w:val="center"/>
            <w:hideMark/>
          </w:tcPr>
          <w:p w14:paraId="53977BC0" w14:textId="77777777" w:rsidR="003849D9" w:rsidRPr="003A4111" w:rsidRDefault="003849D9" w:rsidP="00065019">
            <w:pPr>
              <w:jc w:val="right"/>
              <w:rPr>
                <w:rFonts w:eastAsia="Times New Roman"/>
                <w:sz w:val="12"/>
                <w:szCs w:val="12"/>
              </w:rPr>
            </w:pPr>
          </w:p>
        </w:tc>
        <w:tc>
          <w:tcPr>
            <w:tcW w:w="845" w:type="pct"/>
            <w:tcBorders>
              <w:top w:val="nil"/>
              <w:left w:val="nil"/>
              <w:bottom w:val="nil"/>
              <w:right w:val="nil"/>
            </w:tcBorders>
            <w:shd w:val="clear" w:color="auto" w:fill="auto"/>
            <w:noWrap/>
            <w:vAlign w:val="center"/>
            <w:hideMark/>
          </w:tcPr>
          <w:p w14:paraId="75734AEA" w14:textId="77777777" w:rsidR="003849D9" w:rsidRPr="003A4111" w:rsidRDefault="003849D9" w:rsidP="00065019">
            <w:pPr>
              <w:jc w:val="right"/>
              <w:rPr>
                <w:rFonts w:eastAsia="Times New Roman"/>
                <w:sz w:val="12"/>
                <w:szCs w:val="12"/>
              </w:rPr>
            </w:pPr>
          </w:p>
        </w:tc>
      </w:tr>
      <w:tr w:rsidR="00C93969" w:rsidRPr="00A64CC0" w14:paraId="740E54A9" w14:textId="77777777" w:rsidTr="00065019">
        <w:trPr>
          <w:trHeight w:val="227"/>
          <w:jc w:val="center"/>
        </w:trPr>
        <w:tc>
          <w:tcPr>
            <w:tcW w:w="2938" w:type="pct"/>
            <w:tcBorders>
              <w:top w:val="nil"/>
              <w:left w:val="nil"/>
              <w:bottom w:val="nil"/>
              <w:right w:val="nil"/>
            </w:tcBorders>
            <w:shd w:val="clear" w:color="auto" w:fill="auto"/>
            <w:vAlign w:val="center"/>
            <w:hideMark/>
          </w:tcPr>
          <w:p w14:paraId="289177DE" w14:textId="77777777" w:rsidR="00C93969" w:rsidRPr="00A64CC0" w:rsidRDefault="00C93969" w:rsidP="00C93969">
            <w:pPr>
              <w:rPr>
                <w:rFonts w:eastAsia="Times New Roman"/>
                <w:b/>
                <w:bCs/>
                <w:sz w:val="18"/>
                <w:szCs w:val="18"/>
              </w:rPr>
            </w:pPr>
            <w:r w:rsidRPr="00A64CC0">
              <w:rPr>
                <w:rFonts w:eastAsia="Times New Roman"/>
                <w:b/>
                <w:bCs/>
                <w:sz w:val="18"/>
                <w:szCs w:val="18"/>
              </w:rPr>
              <w:t>Cambios en el capital corriente</w:t>
            </w:r>
          </w:p>
        </w:tc>
        <w:tc>
          <w:tcPr>
            <w:tcW w:w="371" w:type="pct"/>
            <w:tcBorders>
              <w:top w:val="nil"/>
              <w:left w:val="nil"/>
              <w:bottom w:val="nil"/>
              <w:right w:val="nil"/>
            </w:tcBorders>
            <w:shd w:val="clear" w:color="auto" w:fill="auto"/>
            <w:noWrap/>
            <w:vAlign w:val="center"/>
            <w:hideMark/>
          </w:tcPr>
          <w:p w14:paraId="6FB0427B" w14:textId="77777777" w:rsidR="00C93969" w:rsidRPr="00A64CC0" w:rsidRDefault="00C93969" w:rsidP="00C93969">
            <w:pPr>
              <w:jc w:val="center"/>
              <w:rPr>
                <w:rFonts w:eastAsia="Times New Roman"/>
                <w:b/>
                <w:bCs/>
                <w:sz w:val="18"/>
                <w:szCs w:val="18"/>
              </w:rPr>
            </w:pPr>
          </w:p>
        </w:tc>
        <w:tc>
          <w:tcPr>
            <w:tcW w:w="846" w:type="pct"/>
            <w:tcBorders>
              <w:top w:val="single" w:sz="4" w:space="0" w:color="auto"/>
              <w:left w:val="nil"/>
              <w:bottom w:val="single" w:sz="4" w:space="0" w:color="auto"/>
              <w:right w:val="nil"/>
            </w:tcBorders>
            <w:shd w:val="clear" w:color="auto" w:fill="auto"/>
            <w:vAlign w:val="center"/>
            <w:hideMark/>
          </w:tcPr>
          <w:p w14:paraId="57F369C9" w14:textId="77777777" w:rsidR="00C93969" w:rsidRDefault="00C93969" w:rsidP="00C9396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Pr>
                <w:b/>
                <w:bCs/>
                <w:sz w:val="18"/>
                <w:szCs w:val="18"/>
              </w:rPr>
              <w:t>(216.417,72)</w:t>
            </w:r>
          </w:p>
        </w:tc>
        <w:tc>
          <w:tcPr>
            <w:tcW w:w="845" w:type="pct"/>
            <w:tcBorders>
              <w:top w:val="single" w:sz="4" w:space="0" w:color="auto"/>
              <w:left w:val="nil"/>
              <w:bottom w:val="single" w:sz="4" w:space="0" w:color="auto"/>
              <w:right w:val="nil"/>
            </w:tcBorders>
            <w:shd w:val="clear" w:color="auto" w:fill="auto"/>
            <w:vAlign w:val="center"/>
            <w:hideMark/>
          </w:tcPr>
          <w:p w14:paraId="302E1CA9" w14:textId="77777777" w:rsidR="00C93969" w:rsidRPr="006E00F7" w:rsidRDefault="00C93969" w:rsidP="00C93969">
            <w:pPr>
              <w:jc w:val="right"/>
              <w:rPr>
                <w:rFonts w:eastAsia="Times New Roman"/>
                <w:b/>
                <w:bCs/>
                <w:sz w:val="18"/>
                <w:szCs w:val="18"/>
              </w:rPr>
            </w:pPr>
            <w:r w:rsidRPr="006E00F7">
              <w:rPr>
                <w:rFonts w:eastAsia="Times New Roman"/>
                <w:b/>
                <w:bCs/>
                <w:sz w:val="18"/>
                <w:szCs w:val="18"/>
              </w:rPr>
              <w:t>777.281,04</w:t>
            </w:r>
          </w:p>
        </w:tc>
      </w:tr>
      <w:tr w:rsidR="00C93969" w:rsidRPr="00A64CC0" w14:paraId="7DE30075" w14:textId="77777777" w:rsidTr="00065019">
        <w:trPr>
          <w:trHeight w:val="227"/>
          <w:jc w:val="center"/>
        </w:trPr>
        <w:tc>
          <w:tcPr>
            <w:tcW w:w="2938" w:type="pct"/>
            <w:tcBorders>
              <w:top w:val="nil"/>
              <w:left w:val="nil"/>
              <w:bottom w:val="nil"/>
              <w:right w:val="nil"/>
            </w:tcBorders>
            <w:shd w:val="clear" w:color="auto" w:fill="auto"/>
            <w:vAlign w:val="center"/>
            <w:hideMark/>
          </w:tcPr>
          <w:p w14:paraId="64D2CC5B" w14:textId="77777777" w:rsidR="00C93969" w:rsidRPr="00A64CC0" w:rsidRDefault="00C93969" w:rsidP="00C93969">
            <w:pPr>
              <w:rPr>
                <w:rFonts w:eastAsia="Times New Roman"/>
                <w:sz w:val="18"/>
                <w:szCs w:val="18"/>
              </w:rPr>
            </w:pPr>
            <w:r w:rsidRPr="00A64CC0">
              <w:rPr>
                <w:rFonts w:eastAsia="Times New Roman"/>
                <w:sz w:val="18"/>
                <w:szCs w:val="18"/>
              </w:rPr>
              <w:t>- Deudores y otras cuentas a cobrar</w:t>
            </w:r>
          </w:p>
        </w:tc>
        <w:tc>
          <w:tcPr>
            <w:tcW w:w="371" w:type="pct"/>
            <w:tcBorders>
              <w:top w:val="nil"/>
              <w:left w:val="nil"/>
              <w:bottom w:val="nil"/>
              <w:right w:val="nil"/>
            </w:tcBorders>
            <w:shd w:val="clear" w:color="auto" w:fill="auto"/>
            <w:noWrap/>
            <w:vAlign w:val="center"/>
            <w:hideMark/>
          </w:tcPr>
          <w:p w14:paraId="05F6ADBB" w14:textId="77777777" w:rsidR="00C93969" w:rsidRPr="00A64CC0" w:rsidRDefault="00C93969" w:rsidP="00C93969">
            <w:pPr>
              <w:jc w:val="center"/>
              <w:rPr>
                <w:rFonts w:eastAsia="Times New Roman"/>
                <w:sz w:val="18"/>
                <w:szCs w:val="18"/>
              </w:rPr>
            </w:pPr>
          </w:p>
        </w:tc>
        <w:tc>
          <w:tcPr>
            <w:tcW w:w="846" w:type="pct"/>
            <w:tcBorders>
              <w:top w:val="nil"/>
              <w:left w:val="nil"/>
              <w:bottom w:val="nil"/>
              <w:right w:val="nil"/>
            </w:tcBorders>
            <w:shd w:val="clear" w:color="auto" w:fill="auto"/>
            <w:vAlign w:val="center"/>
            <w:hideMark/>
          </w:tcPr>
          <w:p w14:paraId="63739D46" w14:textId="77777777" w:rsidR="00C93969" w:rsidRDefault="00C93969" w:rsidP="00C93969">
            <w:pPr>
              <w:jc w:val="right"/>
              <w:rPr>
                <w:sz w:val="18"/>
                <w:szCs w:val="18"/>
              </w:rPr>
            </w:pPr>
            <w:r>
              <w:rPr>
                <w:sz w:val="18"/>
                <w:szCs w:val="18"/>
              </w:rPr>
              <w:t>762.831,86</w:t>
            </w:r>
          </w:p>
        </w:tc>
        <w:tc>
          <w:tcPr>
            <w:tcW w:w="845" w:type="pct"/>
            <w:tcBorders>
              <w:top w:val="nil"/>
              <w:left w:val="nil"/>
              <w:bottom w:val="nil"/>
              <w:right w:val="nil"/>
            </w:tcBorders>
            <w:shd w:val="clear" w:color="auto" w:fill="auto"/>
            <w:vAlign w:val="center"/>
            <w:hideMark/>
          </w:tcPr>
          <w:p w14:paraId="65656510" w14:textId="77777777" w:rsidR="00C93969" w:rsidRPr="006E00F7" w:rsidRDefault="00C93969" w:rsidP="00C93969">
            <w:pPr>
              <w:jc w:val="right"/>
              <w:rPr>
                <w:rFonts w:eastAsia="Times New Roman"/>
                <w:sz w:val="18"/>
                <w:szCs w:val="18"/>
              </w:rPr>
            </w:pPr>
            <w:r w:rsidRPr="006E00F7">
              <w:rPr>
                <w:rFonts w:eastAsia="Times New Roman"/>
                <w:sz w:val="18"/>
                <w:szCs w:val="18"/>
              </w:rPr>
              <w:t>(2.333.756,14)</w:t>
            </w:r>
          </w:p>
        </w:tc>
      </w:tr>
      <w:tr w:rsidR="00C93969" w:rsidRPr="00A64CC0" w14:paraId="3946D926" w14:textId="77777777" w:rsidTr="00065019">
        <w:trPr>
          <w:trHeight w:val="227"/>
          <w:jc w:val="center"/>
        </w:trPr>
        <w:tc>
          <w:tcPr>
            <w:tcW w:w="2938" w:type="pct"/>
            <w:tcBorders>
              <w:top w:val="nil"/>
              <w:left w:val="nil"/>
              <w:bottom w:val="nil"/>
              <w:right w:val="nil"/>
            </w:tcBorders>
            <w:shd w:val="clear" w:color="auto" w:fill="auto"/>
            <w:vAlign w:val="center"/>
            <w:hideMark/>
          </w:tcPr>
          <w:p w14:paraId="08958D0E" w14:textId="77777777" w:rsidR="00C93969" w:rsidRPr="00A64CC0" w:rsidRDefault="00C93969" w:rsidP="00C93969">
            <w:pPr>
              <w:rPr>
                <w:rFonts w:eastAsia="Times New Roman"/>
                <w:sz w:val="18"/>
                <w:szCs w:val="18"/>
              </w:rPr>
            </w:pPr>
            <w:r w:rsidRPr="00A64CC0">
              <w:rPr>
                <w:rFonts w:eastAsia="Times New Roman"/>
                <w:sz w:val="18"/>
                <w:szCs w:val="18"/>
              </w:rPr>
              <w:t>- Otros activos corrientes</w:t>
            </w:r>
          </w:p>
        </w:tc>
        <w:tc>
          <w:tcPr>
            <w:tcW w:w="371" w:type="pct"/>
            <w:tcBorders>
              <w:top w:val="nil"/>
              <w:left w:val="nil"/>
              <w:bottom w:val="nil"/>
              <w:right w:val="nil"/>
            </w:tcBorders>
            <w:shd w:val="clear" w:color="auto" w:fill="auto"/>
            <w:noWrap/>
            <w:vAlign w:val="center"/>
            <w:hideMark/>
          </w:tcPr>
          <w:p w14:paraId="6C5111FF" w14:textId="77777777" w:rsidR="00C93969" w:rsidRPr="00A64CC0" w:rsidRDefault="00C93969" w:rsidP="00C93969">
            <w:pPr>
              <w:jc w:val="center"/>
              <w:rPr>
                <w:rFonts w:eastAsia="Times New Roman"/>
                <w:sz w:val="18"/>
                <w:szCs w:val="18"/>
              </w:rPr>
            </w:pPr>
          </w:p>
        </w:tc>
        <w:tc>
          <w:tcPr>
            <w:tcW w:w="846" w:type="pct"/>
            <w:tcBorders>
              <w:top w:val="nil"/>
              <w:left w:val="nil"/>
              <w:bottom w:val="nil"/>
              <w:right w:val="nil"/>
            </w:tcBorders>
            <w:shd w:val="clear" w:color="auto" w:fill="auto"/>
            <w:vAlign w:val="center"/>
            <w:hideMark/>
          </w:tcPr>
          <w:p w14:paraId="7D2C6183" w14:textId="77777777" w:rsidR="00C93969" w:rsidRDefault="00C93969" w:rsidP="00C93969">
            <w:pPr>
              <w:jc w:val="right"/>
              <w:rPr>
                <w:sz w:val="18"/>
                <w:szCs w:val="18"/>
              </w:rPr>
            </w:pPr>
            <w:r>
              <w:rPr>
                <w:sz w:val="18"/>
                <w:szCs w:val="18"/>
              </w:rPr>
              <w:t>(44,79)</w:t>
            </w:r>
          </w:p>
        </w:tc>
        <w:tc>
          <w:tcPr>
            <w:tcW w:w="845" w:type="pct"/>
            <w:tcBorders>
              <w:top w:val="nil"/>
              <w:left w:val="nil"/>
              <w:bottom w:val="nil"/>
              <w:right w:val="nil"/>
            </w:tcBorders>
            <w:shd w:val="clear" w:color="auto" w:fill="auto"/>
            <w:vAlign w:val="center"/>
            <w:hideMark/>
          </w:tcPr>
          <w:p w14:paraId="2AA5E4CA" w14:textId="77777777" w:rsidR="00C93969" w:rsidRPr="006E00F7" w:rsidRDefault="00C93969" w:rsidP="00C93969">
            <w:pPr>
              <w:jc w:val="right"/>
              <w:rPr>
                <w:rFonts w:eastAsia="Times New Roman"/>
                <w:sz w:val="18"/>
                <w:szCs w:val="18"/>
              </w:rPr>
            </w:pPr>
            <w:r w:rsidRPr="006E00F7">
              <w:rPr>
                <w:rFonts w:eastAsia="Times New Roman"/>
                <w:sz w:val="18"/>
                <w:szCs w:val="18"/>
              </w:rPr>
              <w:t>215.299,14</w:t>
            </w:r>
          </w:p>
        </w:tc>
      </w:tr>
      <w:tr w:rsidR="00C93969" w:rsidRPr="00A64CC0" w14:paraId="4BAA7339" w14:textId="77777777" w:rsidTr="00065019">
        <w:trPr>
          <w:trHeight w:val="227"/>
          <w:jc w:val="center"/>
        </w:trPr>
        <w:tc>
          <w:tcPr>
            <w:tcW w:w="2938" w:type="pct"/>
            <w:tcBorders>
              <w:top w:val="nil"/>
              <w:left w:val="nil"/>
              <w:bottom w:val="nil"/>
              <w:right w:val="nil"/>
            </w:tcBorders>
            <w:shd w:val="clear" w:color="auto" w:fill="auto"/>
            <w:vAlign w:val="center"/>
            <w:hideMark/>
          </w:tcPr>
          <w:p w14:paraId="6E055062" w14:textId="77777777" w:rsidR="00C93969" w:rsidRPr="00A64CC0" w:rsidRDefault="00C93969" w:rsidP="00C93969">
            <w:pPr>
              <w:rPr>
                <w:rFonts w:eastAsia="Times New Roman"/>
                <w:sz w:val="18"/>
                <w:szCs w:val="18"/>
              </w:rPr>
            </w:pPr>
            <w:r w:rsidRPr="00A64CC0">
              <w:rPr>
                <w:rFonts w:eastAsia="Times New Roman"/>
                <w:sz w:val="18"/>
                <w:szCs w:val="18"/>
              </w:rPr>
              <w:t>- Acreedores y otras cuentas a pagar</w:t>
            </w:r>
          </w:p>
        </w:tc>
        <w:tc>
          <w:tcPr>
            <w:tcW w:w="371" w:type="pct"/>
            <w:tcBorders>
              <w:top w:val="nil"/>
              <w:left w:val="nil"/>
              <w:bottom w:val="nil"/>
              <w:right w:val="nil"/>
            </w:tcBorders>
            <w:shd w:val="clear" w:color="auto" w:fill="auto"/>
            <w:noWrap/>
            <w:vAlign w:val="center"/>
            <w:hideMark/>
          </w:tcPr>
          <w:p w14:paraId="5CE9A7AD" w14:textId="77777777" w:rsidR="00C93969" w:rsidRPr="00A64CC0" w:rsidRDefault="00C93969" w:rsidP="00C93969">
            <w:pPr>
              <w:jc w:val="center"/>
              <w:rPr>
                <w:rFonts w:eastAsia="Times New Roman"/>
                <w:sz w:val="18"/>
                <w:szCs w:val="18"/>
              </w:rPr>
            </w:pPr>
          </w:p>
        </w:tc>
        <w:tc>
          <w:tcPr>
            <w:tcW w:w="846" w:type="pct"/>
            <w:tcBorders>
              <w:top w:val="nil"/>
              <w:left w:val="nil"/>
              <w:bottom w:val="nil"/>
              <w:right w:val="nil"/>
            </w:tcBorders>
            <w:shd w:val="clear" w:color="auto" w:fill="auto"/>
            <w:vAlign w:val="center"/>
            <w:hideMark/>
          </w:tcPr>
          <w:p w14:paraId="0AD27D3B" w14:textId="77777777" w:rsidR="00C93969" w:rsidRDefault="00C93969" w:rsidP="00C93969">
            <w:pPr>
              <w:jc w:val="right"/>
              <w:rPr>
                <w:sz w:val="18"/>
                <w:szCs w:val="18"/>
              </w:rPr>
            </w:pPr>
            <w:r>
              <w:rPr>
                <w:sz w:val="18"/>
                <w:szCs w:val="18"/>
              </w:rPr>
              <w:t>(1.007.746,85)</w:t>
            </w:r>
          </w:p>
        </w:tc>
        <w:tc>
          <w:tcPr>
            <w:tcW w:w="845" w:type="pct"/>
            <w:tcBorders>
              <w:top w:val="nil"/>
              <w:left w:val="nil"/>
              <w:bottom w:val="nil"/>
              <w:right w:val="nil"/>
            </w:tcBorders>
            <w:shd w:val="clear" w:color="auto" w:fill="auto"/>
            <w:vAlign w:val="center"/>
            <w:hideMark/>
          </w:tcPr>
          <w:p w14:paraId="481AEAB1" w14:textId="77777777" w:rsidR="00C93969" w:rsidRPr="006E00F7" w:rsidRDefault="00C93969" w:rsidP="00C93969">
            <w:pPr>
              <w:jc w:val="right"/>
              <w:rPr>
                <w:rFonts w:eastAsia="Times New Roman"/>
                <w:sz w:val="18"/>
                <w:szCs w:val="18"/>
              </w:rPr>
            </w:pPr>
            <w:r w:rsidRPr="006E00F7">
              <w:rPr>
                <w:rFonts w:eastAsia="Times New Roman"/>
                <w:sz w:val="18"/>
                <w:szCs w:val="18"/>
              </w:rPr>
              <w:t>2.861.663,23</w:t>
            </w:r>
          </w:p>
        </w:tc>
      </w:tr>
      <w:tr w:rsidR="00C93969" w:rsidRPr="00A64CC0" w14:paraId="5DB6D713" w14:textId="77777777" w:rsidTr="00065019">
        <w:trPr>
          <w:trHeight w:val="227"/>
          <w:jc w:val="center"/>
        </w:trPr>
        <w:tc>
          <w:tcPr>
            <w:tcW w:w="2938" w:type="pct"/>
            <w:tcBorders>
              <w:top w:val="nil"/>
              <w:left w:val="nil"/>
              <w:bottom w:val="nil"/>
              <w:right w:val="nil"/>
            </w:tcBorders>
            <w:shd w:val="clear" w:color="auto" w:fill="auto"/>
            <w:vAlign w:val="center"/>
            <w:hideMark/>
          </w:tcPr>
          <w:p w14:paraId="65133343" w14:textId="77777777" w:rsidR="00C93969" w:rsidRPr="00A64CC0" w:rsidRDefault="00C93969" w:rsidP="00C93969">
            <w:pPr>
              <w:rPr>
                <w:rFonts w:eastAsia="Times New Roman"/>
                <w:sz w:val="18"/>
                <w:szCs w:val="18"/>
              </w:rPr>
            </w:pPr>
            <w:r w:rsidRPr="00A64CC0">
              <w:rPr>
                <w:rFonts w:eastAsia="Times New Roman"/>
                <w:sz w:val="18"/>
                <w:szCs w:val="18"/>
              </w:rPr>
              <w:t>- Otros pasivos corrientes</w:t>
            </w:r>
          </w:p>
        </w:tc>
        <w:tc>
          <w:tcPr>
            <w:tcW w:w="371" w:type="pct"/>
            <w:tcBorders>
              <w:top w:val="nil"/>
              <w:left w:val="nil"/>
              <w:bottom w:val="nil"/>
              <w:right w:val="nil"/>
            </w:tcBorders>
            <w:shd w:val="clear" w:color="auto" w:fill="auto"/>
            <w:noWrap/>
            <w:vAlign w:val="center"/>
            <w:hideMark/>
          </w:tcPr>
          <w:p w14:paraId="2CA27E36" w14:textId="77777777" w:rsidR="00C93969" w:rsidRPr="00A64CC0" w:rsidRDefault="00C93969" w:rsidP="00C93969">
            <w:pPr>
              <w:jc w:val="center"/>
              <w:rPr>
                <w:rFonts w:eastAsia="Times New Roman"/>
                <w:sz w:val="18"/>
                <w:szCs w:val="18"/>
              </w:rPr>
            </w:pPr>
          </w:p>
        </w:tc>
        <w:tc>
          <w:tcPr>
            <w:tcW w:w="846" w:type="pct"/>
            <w:tcBorders>
              <w:top w:val="nil"/>
              <w:left w:val="nil"/>
              <w:bottom w:val="nil"/>
              <w:right w:val="nil"/>
            </w:tcBorders>
            <w:shd w:val="clear" w:color="auto" w:fill="auto"/>
            <w:vAlign w:val="center"/>
            <w:hideMark/>
          </w:tcPr>
          <w:p w14:paraId="70D0B488" w14:textId="77777777" w:rsidR="00C93969" w:rsidRDefault="00C93969" w:rsidP="00C93969">
            <w:pPr>
              <w:jc w:val="right"/>
              <w:rPr>
                <w:sz w:val="18"/>
                <w:szCs w:val="18"/>
              </w:rPr>
            </w:pPr>
            <w:r>
              <w:rPr>
                <w:sz w:val="18"/>
                <w:szCs w:val="18"/>
              </w:rPr>
              <w:t>28.542,06</w:t>
            </w:r>
          </w:p>
        </w:tc>
        <w:tc>
          <w:tcPr>
            <w:tcW w:w="845" w:type="pct"/>
            <w:tcBorders>
              <w:top w:val="nil"/>
              <w:left w:val="nil"/>
              <w:bottom w:val="nil"/>
              <w:right w:val="nil"/>
            </w:tcBorders>
            <w:shd w:val="clear" w:color="auto" w:fill="auto"/>
            <w:vAlign w:val="center"/>
            <w:hideMark/>
          </w:tcPr>
          <w:p w14:paraId="11AABA39" w14:textId="77777777" w:rsidR="00C93969" w:rsidRPr="006E00F7" w:rsidRDefault="00C93969" w:rsidP="00C93969">
            <w:pPr>
              <w:jc w:val="right"/>
              <w:rPr>
                <w:rFonts w:eastAsia="Times New Roman"/>
                <w:sz w:val="18"/>
                <w:szCs w:val="18"/>
              </w:rPr>
            </w:pPr>
            <w:r w:rsidRPr="006E00F7">
              <w:rPr>
                <w:rFonts w:eastAsia="Times New Roman"/>
                <w:sz w:val="18"/>
                <w:szCs w:val="18"/>
              </w:rPr>
              <w:t>34.074,81</w:t>
            </w:r>
          </w:p>
        </w:tc>
      </w:tr>
      <w:tr w:rsidR="003849D9" w:rsidRPr="003A4111" w14:paraId="542F3FFC" w14:textId="77777777" w:rsidTr="00065019">
        <w:trPr>
          <w:trHeight w:val="227"/>
          <w:jc w:val="center"/>
        </w:trPr>
        <w:tc>
          <w:tcPr>
            <w:tcW w:w="2938" w:type="pct"/>
            <w:tcBorders>
              <w:top w:val="nil"/>
              <w:left w:val="nil"/>
              <w:bottom w:val="nil"/>
              <w:right w:val="nil"/>
            </w:tcBorders>
            <w:shd w:val="clear" w:color="auto" w:fill="auto"/>
            <w:noWrap/>
            <w:vAlign w:val="center"/>
            <w:hideMark/>
          </w:tcPr>
          <w:p w14:paraId="4A65E0D9" w14:textId="77777777" w:rsidR="003849D9" w:rsidRPr="003A4111" w:rsidRDefault="003849D9" w:rsidP="003849D9">
            <w:pPr>
              <w:rPr>
                <w:rFonts w:eastAsia="Times New Roman"/>
                <w:sz w:val="12"/>
                <w:szCs w:val="12"/>
              </w:rPr>
            </w:pPr>
          </w:p>
        </w:tc>
        <w:tc>
          <w:tcPr>
            <w:tcW w:w="371" w:type="pct"/>
            <w:tcBorders>
              <w:top w:val="nil"/>
              <w:left w:val="nil"/>
              <w:bottom w:val="nil"/>
              <w:right w:val="nil"/>
            </w:tcBorders>
            <w:shd w:val="clear" w:color="auto" w:fill="auto"/>
            <w:noWrap/>
            <w:vAlign w:val="center"/>
            <w:hideMark/>
          </w:tcPr>
          <w:p w14:paraId="416FC2B8" w14:textId="77777777" w:rsidR="003849D9" w:rsidRPr="003A4111" w:rsidRDefault="003849D9" w:rsidP="003849D9">
            <w:pPr>
              <w:jc w:val="center"/>
              <w:rPr>
                <w:rFonts w:eastAsia="Times New Roman"/>
                <w:sz w:val="12"/>
                <w:szCs w:val="12"/>
              </w:rPr>
            </w:pPr>
          </w:p>
        </w:tc>
        <w:tc>
          <w:tcPr>
            <w:tcW w:w="846" w:type="pct"/>
            <w:tcBorders>
              <w:top w:val="nil"/>
              <w:left w:val="nil"/>
              <w:bottom w:val="nil"/>
              <w:right w:val="nil"/>
            </w:tcBorders>
            <w:shd w:val="clear" w:color="auto" w:fill="auto"/>
            <w:noWrap/>
            <w:vAlign w:val="center"/>
            <w:hideMark/>
          </w:tcPr>
          <w:p w14:paraId="778DD72B" w14:textId="77777777" w:rsidR="003849D9" w:rsidRPr="003A4111" w:rsidRDefault="003849D9" w:rsidP="00065019">
            <w:pPr>
              <w:jc w:val="right"/>
              <w:rPr>
                <w:rFonts w:eastAsia="Times New Roman"/>
                <w:sz w:val="12"/>
                <w:szCs w:val="12"/>
              </w:rPr>
            </w:pPr>
          </w:p>
        </w:tc>
        <w:tc>
          <w:tcPr>
            <w:tcW w:w="845" w:type="pct"/>
            <w:tcBorders>
              <w:top w:val="nil"/>
              <w:left w:val="nil"/>
              <w:bottom w:val="nil"/>
              <w:right w:val="nil"/>
            </w:tcBorders>
            <w:shd w:val="clear" w:color="auto" w:fill="auto"/>
            <w:noWrap/>
            <w:vAlign w:val="center"/>
            <w:hideMark/>
          </w:tcPr>
          <w:p w14:paraId="17849405" w14:textId="77777777" w:rsidR="003849D9" w:rsidRPr="003A4111" w:rsidRDefault="003849D9" w:rsidP="00065019">
            <w:pPr>
              <w:jc w:val="right"/>
              <w:rPr>
                <w:rFonts w:eastAsia="Times New Roman"/>
                <w:sz w:val="12"/>
                <w:szCs w:val="12"/>
              </w:rPr>
            </w:pPr>
          </w:p>
        </w:tc>
      </w:tr>
      <w:tr w:rsidR="003849D9" w:rsidRPr="00A64CC0" w14:paraId="67FD8AA8" w14:textId="77777777" w:rsidTr="00065019">
        <w:trPr>
          <w:trHeight w:val="227"/>
          <w:jc w:val="center"/>
        </w:trPr>
        <w:tc>
          <w:tcPr>
            <w:tcW w:w="2938" w:type="pct"/>
            <w:tcBorders>
              <w:top w:val="nil"/>
              <w:left w:val="nil"/>
              <w:bottom w:val="nil"/>
              <w:right w:val="nil"/>
            </w:tcBorders>
            <w:shd w:val="clear" w:color="auto" w:fill="auto"/>
            <w:vAlign w:val="center"/>
            <w:hideMark/>
          </w:tcPr>
          <w:p w14:paraId="33B67AEB" w14:textId="77777777" w:rsidR="003849D9" w:rsidRPr="00A64CC0" w:rsidRDefault="003849D9" w:rsidP="003849D9">
            <w:pPr>
              <w:rPr>
                <w:rFonts w:eastAsia="Times New Roman"/>
                <w:b/>
                <w:bCs/>
                <w:sz w:val="18"/>
                <w:szCs w:val="18"/>
              </w:rPr>
            </w:pPr>
            <w:r w:rsidRPr="00A64CC0">
              <w:rPr>
                <w:rFonts w:eastAsia="Times New Roman"/>
                <w:b/>
                <w:bCs/>
                <w:sz w:val="18"/>
                <w:szCs w:val="18"/>
              </w:rPr>
              <w:t>Otros flujos de efectivo de las actividades de explotación</w:t>
            </w:r>
          </w:p>
        </w:tc>
        <w:tc>
          <w:tcPr>
            <w:tcW w:w="371" w:type="pct"/>
            <w:tcBorders>
              <w:top w:val="nil"/>
              <w:left w:val="nil"/>
              <w:bottom w:val="nil"/>
              <w:right w:val="nil"/>
            </w:tcBorders>
            <w:shd w:val="clear" w:color="auto" w:fill="auto"/>
            <w:noWrap/>
            <w:vAlign w:val="center"/>
            <w:hideMark/>
          </w:tcPr>
          <w:p w14:paraId="7A965113" w14:textId="77777777" w:rsidR="003849D9" w:rsidRPr="00A64CC0" w:rsidRDefault="003849D9" w:rsidP="003849D9">
            <w:pPr>
              <w:jc w:val="center"/>
              <w:rPr>
                <w:rFonts w:eastAsia="Times New Roman"/>
                <w:b/>
                <w:bCs/>
                <w:sz w:val="18"/>
                <w:szCs w:val="18"/>
              </w:rPr>
            </w:pPr>
          </w:p>
        </w:tc>
        <w:tc>
          <w:tcPr>
            <w:tcW w:w="846" w:type="pct"/>
            <w:tcBorders>
              <w:top w:val="single" w:sz="4" w:space="0" w:color="auto"/>
              <w:left w:val="nil"/>
              <w:bottom w:val="single" w:sz="4" w:space="0" w:color="auto"/>
              <w:right w:val="nil"/>
            </w:tcBorders>
            <w:shd w:val="clear" w:color="auto" w:fill="auto"/>
            <w:vAlign w:val="center"/>
            <w:hideMark/>
          </w:tcPr>
          <w:p w14:paraId="73B13F95" w14:textId="77777777" w:rsidR="003849D9" w:rsidRDefault="003849D9"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Pr>
                <w:b/>
                <w:bCs/>
                <w:sz w:val="18"/>
                <w:szCs w:val="18"/>
              </w:rPr>
              <w:t>151,66</w:t>
            </w:r>
          </w:p>
        </w:tc>
        <w:tc>
          <w:tcPr>
            <w:tcW w:w="845" w:type="pct"/>
            <w:tcBorders>
              <w:top w:val="single" w:sz="4" w:space="0" w:color="auto"/>
              <w:left w:val="nil"/>
              <w:bottom w:val="single" w:sz="4" w:space="0" w:color="auto"/>
              <w:right w:val="nil"/>
            </w:tcBorders>
            <w:shd w:val="clear" w:color="auto" w:fill="auto"/>
            <w:vAlign w:val="center"/>
            <w:hideMark/>
          </w:tcPr>
          <w:p w14:paraId="71E136BB" w14:textId="77777777" w:rsidR="003849D9" w:rsidRPr="00A64CC0" w:rsidRDefault="003849D9" w:rsidP="00065019">
            <w:pPr>
              <w:jc w:val="right"/>
              <w:rPr>
                <w:rFonts w:eastAsia="Times New Roman"/>
                <w:b/>
                <w:bCs/>
                <w:sz w:val="18"/>
                <w:szCs w:val="18"/>
              </w:rPr>
            </w:pPr>
            <w:r w:rsidRPr="00A64CC0">
              <w:rPr>
                <w:rFonts w:eastAsia="Times New Roman"/>
                <w:b/>
                <w:bCs/>
                <w:sz w:val="18"/>
                <w:szCs w:val="18"/>
              </w:rPr>
              <w:t>(472,90)</w:t>
            </w:r>
          </w:p>
        </w:tc>
      </w:tr>
      <w:tr w:rsidR="003849D9" w:rsidRPr="00A64CC0" w14:paraId="39537876" w14:textId="77777777" w:rsidTr="00065019">
        <w:trPr>
          <w:trHeight w:val="227"/>
          <w:jc w:val="center"/>
        </w:trPr>
        <w:tc>
          <w:tcPr>
            <w:tcW w:w="2938" w:type="pct"/>
            <w:tcBorders>
              <w:top w:val="nil"/>
              <w:left w:val="nil"/>
              <w:bottom w:val="nil"/>
              <w:right w:val="nil"/>
            </w:tcBorders>
            <w:shd w:val="clear" w:color="auto" w:fill="auto"/>
            <w:vAlign w:val="center"/>
            <w:hideMark/>
          </w:tcPr>
          <w:p w14:paraId="04BD5070" w14:textId="77777777" w:rsidR="003849D9" w:rsidRPr="00A64CC0" w:rsidRDefault="003849D9" w:rsidP="003849D9">
            <w:pPr>
              <w:rPr>
                <w:rFonts w:eastAsia="Times New Roman"/>
                <w:sz w:val="18"/>
                <w:szCs w:val="18"/>
              </w:rPr>
            </w:pPr>
            <w:r w:rsidRPr="00A64CC0">
              <w:rPr>
                <w:rFonts w:eastAsia="Times New Roman"/>
                <w:sz w:val="18"/>
                <w:szCs w:val="18"/>
              </w:rPr>
              <w:t>- Cobros de intereses</w:t>
            </w:r>
          </w:p>
        </w:tc>
        <w:tc>
          <w:tcPr>
            <w:tcW w:w="371" w:type="pct"/>
            <w:tcBorders>
              <w:top w:val="nil"/>
              <w:left w:val="nil"/>
              <w:bottom w:val="nil"/>
              <w:right w:val="nil"/>
            </w:tcBorders>
            <w:shd w:val="clear" w:color="auto" w:fill="auto"/>
            <w:noWrap/>
            <w:vAlign w:val="center"/>
            <w:hideMark/>
          </w:tcPr>
          <w:p w14:paraId="6DC38066" w14:textId="77777777" w:rsidR="003849D9" w:rsidRPr="00A64CC0" w:rsidRDefault="003849D9" w:rsidP="003849D9">
            <w:pPr>
              <w:jc w:val="center"/>
              <w:rPr>
                <w:rFonts w:eastAsia="Times New Roman"/>
                <w:sz w:val="18"/>
                <w:szCs w:val="18"/>
              </w:rPr>
            </w:pPr>
          </w:p>
        </w:tc>
        <w:tc>
          <w:tcPr>
            <w:tcW w:w="846" w:type="pct"/>
            <w:tcBorders>
              <w:top w:val="nil"/>
              <w:left w:val="nil"/>
              <w:bottom w:val="nil"/>
              <w:right w:val="nil"/>
            </w:tcBorders>
            <w:shd w:val="clear" w:color="auto" w:fill="auto"/>
            <w:vAlign w:val="center"/>
            <w:hideMark/>
          </w:tcPr>
          <w:p w14:paraId="0021AD3D" w14:textId="77777777" w:rsidR="003849D9" w:rsidRDefault="003849D9" w:rsidP="00065019">
            <w:pPr>
              <w:jc w:val="right"/>
              <w:rPr>
                <w:sz w:val="18"/>
                <w:szCs w:val="18"/>
              </w:rPr>
            </w:pPr>
            <w:r>
              <w:rPr>
                <w:sz w:val="18"/>
                <w:szCs w:val="18"/>
              </w:rPr>
              <w:t>151,66</w:t>
            </w:r>
          </w:p>
        </w:tc>
        <w:tc>
          <w:tcPr>
            <w:tcW w:w="845" w:type="pct"/>
            <w:tcBorders>
              <w:top w:val="nil"/>
              <w:left w:val="nil"/>
              <w:bottom w:val="nil"/>
              <w:right w:val="nil"/>
            </w:tcBorders>
            <w:shd w:val="clear" w:color="auto" w:fill="auto"/>
            <w:vAlign w:val="center"/>
            <w:hideMark/>
          </w:tcPr>
          <w:p w14:paraId="26FFAB18" w14:textId="77777777" w:rsidR="003849D9" w:rsidRPr="00A64CC0" w:rsidRDefault="003849D9" w:rsidP="00065019">
            <w:pPr>
              <w:jc w:val="right"/>
              <w:rPr>
                <w:rFonts w:eastAsia="Times New Roman"/>
                <w:sz w:val="18"/>
                <w:szCs w:val="18"/>
              </w:rPr>
            </w:pPr>
            <w:r w:rsidRPr="00A64CC0">
              <w:rPr>
                <w:rFonts w:eastAsia="Times New Roman"/>
                <w:sz w:val="18"/>
                <w:szCs w:val="18"/>
              </w:rPr>
              <w:t>478,77</w:t>
            </w:r>
          </w:p>
        </w:tc>
      </w:tr>
      <w:tr w:rsidR="003849D9" w:rsidRPr="00A64CC0" w14:paraId="47A0B395" w14:textId="77777777" w:rsidTr="00065019">
        <w:trPr>
          <w:trHeight w:val="227"/>
          <w:jc w:val="center"/>
        </w:trPr>
        <w:tc>
          <w:tcPr>
            <w:tcW w:w="2938" w:type="pct"/>
            <w:tcBorders>
              <w:top w:val="nil"/>
              <w:left w:val="nil"/>
              <w:bottom w:val="nil"/>
              <w:right w:val="nil"/>
            </w:tcBorders>
            <w:shd w:val="clear" w:color="auto" w:fill="auto"/>
            <w:vAlign w:val="center"/>
            <w:hideMark/>
          </w:tcPr>
          <w:p w14:paraId="52410655" w14:textId="77777777" w:rsidR="003849D9" w:rsidRPr="00A64CC0" w:rsidRDefault="003849D9" w:rsidP="003849D9">
            <w:pPr>
              <w:rPr>
                <w:rFonts w:eastAsia="Times New Roman"/>
                <w:sz w:val="18"/>
                <w:szCs w:val="18"/>
              </w:rPr>
            </w:pPr>
            <w:r w:rsidRPr="00A64CC0">
              <w:rPr>
                <w:rFonts w:eastAsia="Times New Roman"/>
                <w:sz w:val="18"/>
                <w:szCs w:val="18"/>
              </w:rPr>
              <w:t>- Pagos de intereses</w:t>
            </w:r>
          </w:p>
        </w:tc>
        <w:tc>
          <w:tcPr>
            <w:tcW w:w="371" w:type="pct"/>
            <w:tcBorders>
              <w:top w:val="nil"/>
              <w:left w:val="nil"/>
              <w:bottom w:val="nil"/>
              <w:right w:val="nil"/>
            </w:tcBorders>
            <w:shd w:val="clear" w:color="auto" w:fill="auto"/>
            <w:noWrap/>
            <w:vAlign w:val="center"/>
            <w:hideMark/>
          </w:tcPr>
          <w:p w14:paraId="239CBEF3" w14:textId="77777777" w:rsidR="003849D9" w:rsidRPr="00A64CC0" w:rsidRDefault="003849D9" w:rsidP="003849D9">
            <w:pPr>
              <w:jc w:val="center"/>
              <w:rPr>
                <w:rFonts w:eastAsia="Times New Roman"/>
                <w:sz w:val="18"/>
                <w:szCs w:val="18"/>
              </w:rPr>
            </w:pPr>
          </w:p>
        </w:tc>
        <w:tc>
          <w:tcPr>
            <w:tcW w:w="846" w:type="pct"/>
            <w:tcBorders>
              <w:top w:val="nil"/>
              <w:left w:val="nil"/>
              <w:bottom w:val="nil"/>
              <w:right w:val="nil"/>
            </w:tcBorders>
            <w:shd w:val="clear" w:color="auto" w:fill="auto"/>
            <w:vAlign w:val="center"/>
            <w:hideMark/>
          </w:tcPr>
          <w:p w14:paraId="4F564279" w14:textId="77777777" w:rsidR="003849D9" w:rsidRPr="00A64CC0" w:rsidRDefault="003849D9" w:rsidP="00065019">
            <w:pPr>
              <w:jc w:val="right"/>
              <w:rPr>
                <w:rFonts w:eastAsia="Times New Roman"/>
                <w:sz w:val="18"/>
                <w:szCs w:val="18"/>
              </w:rPr>
            </w:pPr>
            <w:r>
              <w:rPr>
                <w:rFonts w:eastAsia="Times New Roman"/>
                <w:sz w:val="18"/>
                <w:szCs w:val="18"/>
              </w:rPr>
              <w:t>-</w:t>
            </w:r>
          </w:p>
        </w:tc>
        <w:tc>
          <w:tcPr>
            <w:tcW w:w="845" w:type="pct"/>
            <w:tcBorders>
              <w:top w:val="nil"/>
              <w:left w:val="nil"/>
              <w:bottom w:val="nil"/>
              <w:right w:val="nil"/>
            </w:tcBorders>
            <w:shd w:val="clear" w:color="auto" w:fill="auto"/>
            <w:vAlign w:val="center"/>
            <w:hideMark/>
          </w:tcPr>
          <w:p w14:paraId="3B40FFC3" w14:textId="77777777" w:rsidR="003849D9" w:rsidRPr="00A64CC0" w:rsidRDefault="003849D9" w:rsidP="00065019">
            <w:pPr>
              <w:jc w:val="right"/>
              <w:rPr>
                <w:rFonts w:eastAsia="Times New Roman"/>
                <w:sz w:val="18"/>
                <w:szCs w:val="18"/>
              </w:rPr>
            </w:pPr>
            <w:r w:rsidRPr="00A64CC0">
              <w:rPr>
                <w:rFonts w:eastAsia="Times New Roman"/>
                <w:sz w:val="18"/>
                <w:szCs w:val="18"/>
              </w:rPr>
              <w:t>(951,67)</w:t>
            </w:r>
          </w:p>
        </w:tc>
      </w:tr>
      <w:tr w:rsidR="003849D9" w:rsidRPr="003A4111" w14:paraId="5FEB0799" w14:textId="77777777" w:rsidTr="00065019">
        <w:trPr>
          <w:trHeight w:val="113"/>
          <w:jc w:val="center"/>
        </w:trPr>
        <w:tc>
          <w:tcPr>
            <w:tcW w:w="2938" w:type="pct"/>
            <w:tcBorders>
              <w:top w:val="nil"/>
              <w:left w:val="nil"/>
              <w:bottom w:val="nil"/>
              <w:right w:val="nil"/>
            </w:tcBorders>
            <w:shd w:val="clear" w:color="auto" w:fill="auto"/>
            <w:vAlign w:val="center"/>
            <w:hideMark/>
          </w:tcPr>
          <w:p w14:paraId="7B162980" w14:textId="77777777" w:rsidR="003849D9" w:rsidRPr="003A4111" w:rsidRDefault="003849D9" w:rsidP="003849D9">
            <w:pPr>
              <w:rPr>
                <w:rFonts w:eastAsia="Times New Roman"/>
                <w:sz w:val="12"/>
                <w:szCs w:val="12"/>
              </w:rPr>
            </w:pPr>
          </w:p>
        </w:tc>
        <w:tc>
          <w:tcPr>
            <w:tcW w:w="371" w:type="pct"/>
            <w:tcBorders>
              <w:top w:val="nil"/>
              <w:left w:val="nil"/>
              <w:bottom w:val="nil"/>
              <w:right w:val="nil"/>
            </w:tcBorders>
            <w:shd w:val="clear" w:color="auto" w:fill="auto"/>
            <w:vAlign w:val="center"/>
            <w:hideMark/>
          </w:tcPr>
          <w:p w14:paraId="1C43138E" w14:textId="77777777" w:rsidR="003849D9" w:rsidRPr="003A4111" w:rsidRDefault="003849D9" w:rsidP="003849D9">
            <w:pPr>
              <w:jc w:val="center"/>
              <w:rPr>
                <w:rFonts w:eastAsia="Times New Roman"/>
                <w:sz w:val="12"/>
                <w:szCs w:val="12"/>
              </w:rPr>
            </w:pPr>
          </w:p>
        </w:tc>
        <w:tc>
          <w:tcPr>
            <w:tcW w:w="846" w:type="pct"/>
            <w:tcBorders>
              <w:top w:val="nil"/>
              <w:left w:val="nil"/>
              <w:bottom w:val="nil"/>
              <w:right w:val="nil"/>
            </w:tcBorders>
            <w:shd w:val="clear" w:color="auto" w:fill="auto"/>
            <w:noWrap/>
            <w:vAlign w:val="center"/>
            <w:hideMark/>
          </w:tcPr>
          <w:p w14:paraId="5451F265" w14:textId="77777777" w:rsidR="003849D9" w:rsidRPr="003A4111" w:rsidRDefault="003849D9" w:rsidP="00065019">
            <w:pPr>
              <w:jc w:val="right"/>
              <w:rPr>
                <w:rFonts w:eastAsia="Times New Roman"/>
                <w:sz w:val="12"/>
                <w:szCs w:val="12"/>
              </w:rPr>
            </w:pPr>
          </w:p>
        </w:tc>
        <w:tc>
          <w:tcPr>
            <w:tcW w:w="845" w:type="pct"/>
            <w:tcBorders>
              <w:top w:val="nil"/>
              <w:left w:val="nil"/>
              <w:bottom w:val="nil"/>
              <w:right w:val="nil"/>
            </w:tcBorders>
            <w:shd w:val="clear" w:color="auto" w:fill="auto"/>
            <w:noWrap/>
            <w:vAlign w:val="center"/>
            <w:hideMark/>
          </w:tcPr>
          <w:p w14:paraId="66CCF54A" w14:textId="77777777" w:rsidR="003849D9" w:rsidRPr="003A4111" w:rsidRDefault="003849D9" w:rsidP="00065019">
            <w:pPr>
              <w:jc w:val="right"/>
              <w:rPr>
                <w:rFonts w:eastAsia="Times New Roman"/>
                <w:sz w:val="12"/>
                <w:szCs w:val="12"/>
              </w:rPr>
            </w:pPr>
          </w:p>
        </w:tc>
      </w:tr>
      <w:tr w:rsidR="00C93969" w:rsidRPr="00A64CC0" w14:paraId="52F6005C" w14:textId="77777777" w:rsidTr="001A7C10">
        <w:trPr>
          <w:trHeight w:val="227"/>
          <w:jc w:val="center"/>
        </w:trPr>
        <w:tc>
          <w:tcPr>
            <w:tcW w:w="2938" w:type="pct"/>
            <w:tcBorders>
              <w:top w:val="single" w:sz="4" w:space="0" w:color="auto"/>
              <w:left w:val="nil"/>
              <w:bottom w:val="single" w:sz="4" w:space="0" w:color="auto"/>
              <w:right w:val="nil"/>
            </w:tcBorders>
            <w:shd w:val="clear" w:color="auto" w:fill="F2F2F2"/>
            <w:vAlign w:val="center"/>
            <w:hideMark/>
          </w:tcPr>
          <w:p w14:paraId="568F721D" w14:textId="77777777" w:rsidR="00C93969" w:rsidRDefault="00C93969" w:rsidP="00C93969">
            <w:pPr>
              <w:rPr>
                <w:rFonts w:eastAsia="Times New Roman"/>
                <w:b/>
                <w:bCs/>
                <w:sz w:val="18"/>
                <w:szCs w:val="18"/>
              </w:rPr>
            </w:pPr>
            <w:r w:rsidRPr="00A64CC0">
              <w:rPr>
                <w:rFonts w:eastAsia="Times New Roman"/>
                <w:b/>
                <w:bCs/>
                <w:sz w:val="18"/>
                <w:szCs w:val="18"/>
              </w:rPr>
              <w:t>B) FLUJOS</w:t>
            </w:r>
            <w:r>
              <w:rPr>
                <w:rFonts w:eastAsia="Times New Roman"/>
                <w:b/>
                <w:bCs/>
                <w:sz w:val="18"/>
                <w:szCs w:val="18"/>
              </w:rPr>
              <w:t xml:space="preserve"> DE EFECTIVO DE LAS ACTIVIDADES</w:t>
            </w:r>
          </w:p>
          <w:p w14:paraId="5819B433" w14:textId="77777777" w:rsidR="00C93969" w:rsidRPr="00A64CC0" w:rsidRDefault="00C93969" w:rsidP="00C93969">
            <w:pPr>
              <w:rPr>
                <w:rFonts w:eastAsia="Times New Roman"/>
                <w:b/>
                <w:bCs/>
                <w:sz w:val="18"/>
                <w:szCs w:val="18"/>
              </w:rPr>
            </w:pPr>
            <w:r w:rsidRPr="00A64CC0">
              <w:rPr>
                <w:rFonts w:eastAsia="Times New Roman"/>
                <w:b/>
                <w:bCs/>
                <w:sz w:val="18"/>
                <w:szCs w:val="18"/>
              </w:rPr>
              <w:t>DE INVERSIÓN</w:t>
            </w:r>
          </w:p>
        </w:tc>
        <w:tc>
          <w:tcPr>
            <w:tcW w:w="371" w:type="pct"/>
            <w:tcBorders>
              <w:top w:val="single" w:sz="4" w:space="0" w:color="auto"/>
              <w:left w:val="nil"/>
              <w:bottom w:val="single" w:sz="4" w:space="0" w:color="auto"/>
              <w:right w:val="nil"/>
            </w:tcBorders>
            <w:shd w:val="clear" w:color="auto" w:fill="F2F2F2"/>
            <w:vAlign w:val="center"/>
            <w:hideMark/>
          </w:tcPr>
          <w:p w14:paraId="6D22F76B" w14:textId="77777777" w:rsidR="00C93969" w:rsidRPr="00A64CC0" w:rsidRDefault="00C93969" w:rsidP="00C93969">
            <w:pPr>
              <w:jc w:val="center"/>
              <w:rPr>
                <w:rFonts w:eastAsia="Times New Roman"/>
                <w:b/>
                <w:bCs/>
                <w:sz w:val="18"/>
                <w:szCs w:val="18"/>
              </w:rPr>
            </w:pPr>
          </w:p>
        </w:tc>
        <w:tc>
          <w:tcPr>
            <w:tcW w:w="846" w:type="pct"/>
            <w:tcBorders>
              <w:top w:val="single" w:sz="4" w:space="0" w:color="auto"/>
              <w:left w:val="nil"/>
              <w:bottom w:val="single" w:sz="4" w:space="0" w:color="auto"/>
              <w:right w:val="nil"/>
            </w:tcBorders>
            <w:shd w:val="clear" w:color="auto" w:fill="F2F2F2"/>
            <w:vAlign w:val="center"/>
            <w:hideMark/>
          </w:tcPr>
          <w:p w14:paraId="717ABD7A" w14:textId="77777777" w:rsidR="00C93969" w:rsidRDefault="00C93969" w:rsidP="00C9396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(27.771,89)</w:t>
            </w:r>
          </w:p>
        </w:tc>
        <w:tc>
          <w:tcPr>
            <w:tcW w:w="845" w:type="pct"/>
            <w:tcBorders>
              <w:top w:val="single" w:sz="4" w:space="0" w:color="auto"/>
              <w:left w:val="nil"/>
              <w:bottom w:val="single" w:sz="4" w:space="0" w:color="auto"/>
              <w:right w:val="nil"/>
            </w:tcBorders>
            <w:shd w:val="clear" w:color="auto" w:fill="F2F2F2"/>
            <w:vAlign w:val="center"/>
            <w:hideMark/>
          </w:tcPr>
          <w:p w14:paraId="0CC3EA09" w14:textId="77777777" w:rsidR="00C93969" w:rsidRDefault="00C93969" w:rsidP="00C93969">
            <w:pPr>
              <w:jc w:val="right"/>
              <w:rPr>
                <w:b/>
                <w:bCs/>
                <w:sz w:val="18"/>
                <w:szCs w:val="18"/>
              </w:rPr>
            </w:pPr>
            <w:r>
              <w:rPr>
                <w:b/>
                <w:bCs/>
                <w:sz w:val="18"/>
                <w:szCs w:val="18"/>
              </w:rPr>
              <w:t>(26.356,15)</w:t>
            </w:r>
          </w:p>
        </w:tc>
      </w:tr>
      <w:tr w:rsidR="00C93969" w:rsidRPr="003A4111" w14:paraId="161BB1CC" w14:textId="77777777" w:rsidTr="00065019">
        <w:trPr>
          <w:trHeight w:val="113"/>
          <w:jc w:val="center"/>
        </w:trPr>
        <w:tc>
          <w:tcPr>
            <w:tcW w:w="2938" w:type="pct"/>
            <w:tcBorders>
              <w:top w:val="nil"/>
              <w:left w:val="nil"/>
              <w:bottom w:val="nil"/>
              <w:right w:val="nil"/>
            </w:tcBorders>
            <w:shd w:val="clear" w:color="auto" w:fill="auto"/>
            <w:noWrap/>
            <w:vAlign w:val="center"/>
            <w:hideMark/>
          </w:tcPr>
          <w:p w14:paraId="42789FE4" w14:textId="77777777" w:rsidR="00C93969" w:rsidRPr="003A4111" w:rsidRDefault="00C93969" w:rsidP="00C93969">
            <w:pPr>
              <w:rPr>
                <w:rFonts w:eastAsia="Times New Roman"/>
                <w:b/>
                <w:bCs/>
                <w:sz w:val="12"/>
                <w:szCs w:val="12"/>
              </w:rPr>
            </w:pPr>
          </w:p>
        </w:tc>
        <w:tc>
          <w:tcPr>
            <w:tcW w:w="371" w:type="pct"/>
            <w:tcBorders>
              <w:top w:val="nil"/>
              <w:left w:val="nil"/>
              <w:bottom w:val="nil"/>
              <w:right w:val="nil"/>
            </w:tcBorders>
            <w:shd w:val="clear" w:color="auto" w:fill="auto"/>
            <w:noWrap/>
            <w:vAlign w:val="center"/>
            <w:hideMark/>
          </w:tcPr>
          <w:p w14:paraId="289AB8D5" w14:textId="77777777" w:rsidR="00C93969" w:rsidRPr="003A4111" w:rsidRDefault="00C93969" w:rsidP="00C93969">
            <w:pPr>
              <w:jc w:val="center"/>
              <w:rPr>
                <w:rFonts w:eastAsia="Times New Roman"/>
                <w:sz w:val="12"/>
                <w:szCs w:val="12"/>
              </w:rPr>
            </w:pPr>
          </w:p>
        </w:tc>
        <w:tc>
          <w:tcPr>
            <w:tcW w:w="846" w:type="pct"/>
            <w:tcBorders>
              <w:top w:val="nil"/>
              <w:left w:val="nil"/>
              <w:bottom w:val="nil"/>
              <w:right w:val="nil"/>
            </w:tcBorders>
            <w:shd w:val="clear" w:color="auto" w:fill="auto"/>
            <w:noWrap/>
            <w:vAlign w:val="center"/>
            <w:hideMark/>
          </w:tcPr>
          <w:p w14:paraId="52B19666" w14:textId="77777777" w:rsidR="00C93969" w:rsidRPr="003A4111" w:rsidRDefault="00C93969" w:rsidP="00C93969">
            <w:pPr>
              <w:jc w:val="right"/>
              <w:rPr>
                <w:b/>
                <w:bCs/>
                <w:sz w:val="12"/>
                <w:szCs w:val="12"/>
              </w:rPr>
            </w:pPr>
          </w:p>
        </w:tc>
        <w:tc>
          <w:tcPr>
            <w:tcW w:w="845" w:type="pct"/>
            <w:tcBorders>
              <w:top w:val="nil"/>
              <w:left w:val="nil"/>
              <w:bottom w:val="nil"/>
              <w:right w:val="nil"/>
            </w:tcBorders>
            <w:shd w:val="clear" w:color="auto" w:fill="auto"/>
            <w:noWrap/>
            <w:vAlign w:val="center"/>
            <w:hideMark/>
          </w:tcPr>
          <w:p w14:paraId="01E3AACA" w14:textId="77777777" w:rsidR="00C93969" w:rsidRPr="003A4111" w:rsidRDefault="00C93969" w:rsidP="00C93969">
            <w:pPr>
              <w:jc w:val="right"/>
              <w:rPr>
                <w:rFonts w:eastAsia="Times New Roman"/>
                <w:sz w:val="12"/>
                <w:szCs w:val="12"/>
              </w:rPr>
            </w:pPr>
          </w:p>
        </w:tc>
      </w:tr>
      <w:tr w:rsidR="00C93969" w:rsidRPr="00A64CC0" w14:paraId="4BF8113F" w14:textId="77777777" w:rsidTr="00065019">
        <w:trPr>
          <w:trHeight w:val="227"/>
          <w:jc w:val="center"/>
        </w:trPr>
        <w:tc>
          <w:tcPr>
            <w:tcW w:w="2938" w:type="pct"/>
            <w:tcBorders>
              <w:top w:val="nil"/>
              <w:left w:val="nil"/>
              <w:bottom w:val="nil"/>
              <w:right w:val="nil"/>
            </w:tcBorders>
            <w:shd w:val="clear" w:color="auto" w:fill="auto"/>
            <w:vAlign w:val="center"/>
            <w:hideMark/>
          </w:tcPr>
          <w:p w14:paraId="3F808B3F" w14:textId="77777777" w:rsidR="00C93969" w:rsidRPr="00A64CC0" w:rsidRDefault="00C93969" w:rsidP="00C93969">
            <w:pPr>
              <w:rPr>
                <w:rFonts w:eastAsia="Times New Roman"/>
                <w:b/>
                <w:bCs/>
                <w:sz w:val="18"/>
                <w:szCs w:val="18"/>
              </w:rPr>
            </w:pPr>
            <w:r w:rsidRPr="00A64CC0">
              <w:rPr>
                <w:rFonts w:eastAsia="Times New Roman"/>
                <w:b/>
                <w:bCs/>
                <w:sz w:val="18"/>
                <w:szCs w:val="18"/>
              </w:rPr>
              <w:t>Pagos por inversiones:</w:t>
            </w:r>
          </w:p>
        </w:tc>
        <w:tc>
          <w:tcPr>
            <w:tcW w:w="371" w:type="pct"/>
            <w:tcBorders>
              <w:top w:val="nil"/>
              <w:left w:val="nil"/>
              <w:bottom w:val="nil"/>
              <w:right w:val="nil"/>
            </w:tcBorders>
            <w:shd w:val="clear" w:color="auto" w:fill="auto"/>
            <w:noWrap/>
            <w:vAlign w:val="center"/>
            <w:hideMark/>
          </w:tcPr>
          <w:p w14:paraId="416AB9D7" w14:textId="77777777" w:rsidR="00C93969" w:rsidRPr="00A64CC0" w:rsidRDefault="00C93969" w:rsidP="00C93969">
            <w:pPr>
              <w:jc w:val="center"/>
              <w:rPr>
                <w:rFonts w:eastAsia="Times New Roman"/>
                <w:b/>
                <w:bCs/>
                <w:sz w:val="18"/>
                <w:szCs w:val="18"/>
              </w:rPr>
            </w:pPr>
          </w:p>
        </w:tc>
        <w:tc>
          <w:tcPr>
            <w:tcW w:w="846" w:type="pct"/>
            <w:tcBorders>
              <w:top w:val="single" w:sz="4" w:space="0" w:color="auto"/>
              <w:left w:val="nil"/>
              <w:bottom w:val="single" w:sz="4" w:space="0" w:color="auto"/>
              <w:right w:val="nil"/>
            </w:tcBorders>
            <w:shd w:val="clear" w:color="auto" w:fill="auto"/>
            <w:vAlign w:val="center"/>
            <w:hideMark/>
          </w:tcPr>
          <w:p w14:paraId="366851A9" w14:textId="77777777" w:rsidR="00C93969" w:rsidRDefault="00C93969" w:rsidP="00C93969">
            <w:pPr>
              <w:jc w:val="right"/>
              <w:rPr>
                <w:b/>
                <w:bCs/>
                <w:sz w:val="18"/>
                <w:szCs w:val="18"/>
              </w:rPr>
            </w:pPr>
            <w:r>
              <w:rPr>
                <w:b/>
                <w:bCs/>
                <w:sz w:val="18"/>
                <w:szCs w:val="18"/>
              </w:rPr>
              <w:t>(27.771,89)</w:t>
            </w:r>
          </w:p>
        </w:tc>
        <w:tc>
          <w:tcPr>
            <w:tcW w:w="845" w:type="pct"/>
            <w:tcBorders>
              <w:top w:val="single" w:sz="4" w:space="0" w:color="auto"/>
              <w:left w:val="nil"/>
              <w:bottom w:val="single" w:sz="4" w:space="0" w:color="auto"/>
              <w:right w:val="nil"/>
            </w:tcBorders>
            <w:shd w:val="clear" w:color="auto" w:fill="auto"/>
            <w:vAlign w:val="center"/>
            <w:hideMark/>
          </w:tcPr>
          <w:p w14:paraId="5B119117" w14:textId="77777777" w:rsidR="00C93969" w:rsidRPr="00A64CC0" w:rsidRDefault="00C93969" w:rsidP="00C93969">
            <w:pPr>
              <w:jc w:val="right"/>
              <w:rPr>
                <w:rFonts w:eastAsia="Times New Roman"/>
                <w:b/>
                <w:bCs/>
                <w:sz w:val="18"/>
                <w:szCs w:val="18"/>
              </w:rPr>
            </w:pPr>
            <w:r w:rsidRPr="00A64CC0">
              <w:rPr>
                <w:rFonts w:eastAsia="Times New Roman"/>
                <w:b/>
                <w:bCs/>
                <w:sz w:val="18"/>
                <w:szCs w:val="18"/>
              </w:rPr>
              <w:t>(47.027,46)</w:t>
            </w:r>
          </w:p>
        </w:tc>
      </w:tr>
      <w:tr w:rsidR="00C93969" w:rsidRPr="00A64CC0" w14:paraId="27244543" w14:textId="77777777" w:rsidTr="00065019">
        <w:trPr>
          <w:trHeight w:val="227"/>
          <w:jc w:val="center"/>
        </w:trPr>
        <w:tc>
          <w:tcPr>
            <w:tcW w:w="2938" w:type="pct"/>
            <w:tcBorders>
              <w:top w:val="nil"/>
              <w:left w:val="nil"/>
              <w:bottom w:val="nil"/>
              <w:right w:val="nil"/>
            </w:tcBorders>
            <w:shd w:val="clear" w:color="auto" w:fill="auto"/>
            <w:vAlign w:val="center"/>
            <w:hideMark/>
          </w:tcPr>
          <w:p w14:paraId="06BA7B53" w14:textId="77777777" w:rsidR="00C93969" w:rsidRPr="00A64CC0" w:rsidRDefault="00C93969" w:rsidP="00C93969">
            <w:pPr>
              <w:rPr>
                <w:rFonts w:eastAsia="Times New Roman"/>
                <w:sz w:val="18"/>
                <w:szCs w:val="18"/>
              </w:rPr>
            </w:pPr>
            <w:r w:rsidRPr="00A64CC0">
              <w:rPr>
                <w:rFonts w:eastAsia="Times New Roman"/>
                <w:sz w:val="18"/>
                <w:szCs w:val="18"/>
              </w:rPr>
              <w:t>- Inmovilizado intangible</w:t>
            </w:r>
          </w:p>
        </w:tc>
        <w:tc>
          <w:tcPr>
            <w:tcW w:w="371" w:type="pct"/>
            <w:tcBorders>
              <w:top w:val="nil"/>
              <w:left w:val="nil"/>
              <w:bottom w:val="nil"/>
              <w:right w:val="nil"/>
            </w:tcBorders>
            <w:shd w:val="clear" w:color="auto" w:fill="auto"/>
            <w:noWrap/>
            <w:vAlign w:val="center"/>
            <w:hideMark/>
          </w:tcPr>
          <w:p w14:paraId="3B19E609" w14:textId="77777777" w:rsidR="00C93969" w:rsidRPr="00A64CC0" w:rsidRDefault="00C93969" w:rsidP="00C93969">
            <w:pPr>
              <w:jc w:val="center"/>
              <w:rPr>
                <w:rFonts w:eastAsia="Times New Roman"/>
                <w:sz w:val="18"/>
                <w:szCs w:val="18"/>
              </w:rPr>
            </w:pPr>
            <w:r w:rsidRPr="00A64CC0">
              <w:rPr>
                <w:rFonts w:eastAsia="Times New Roman"/>
                <w:sz w:val="18"/>
                <w:szCs w:val="18"/>
              </w:rPr>
              <w:t>5</w:t>
            </w:r>
          </w:p>
        </w:tc>
        <w:tc>
          <w:tcPr>
            <w:tcW w:w="846" w:type="pct"/>
            <w:tcBorders>
              <w:top w:val="nil"/>
              <w:left w:val="nil"/>
              <w:bottom w:val="nil"/>
              <w:right w:val="nil"/>
            </w:tcBorders>
            <w:shd w:val="clear" w:color="auto" w:fill="auto"/>
            <w:vAlign w:val="center"/>
            <w:hideMark/>
          </w:tcPr>
          <w:p w14:paraId="6B9ABAAA" w14:textId="77777777" w:rsidR="00C93969" w:rsidRDefault="00C93969" w:rsidP="00C93969">
            <w:pPr>
              <w:jc w:val="right"/>
              <w:rPr>
                <w:sz w:val="18"/>
                <w:szCs w:val="18"/>
              </w:rPr>
            </w:pPr>
            <w:r>
              <w:rPr>
                <w:sz w:val="18"/>
                <w:szCs w:val="18"/>
              </w:rPr>
              <w:t>(18.235,98)</w:t>
            </w:r>
          </w:p>
        </w:tc>
        <w:tc>
          <w:tcPr>
            <w:tcW w:w="845" w:type="pct"/>
            <w:tcBorders>
              <w:top w:val="nil"/>
              <w:left w:val="nil"/>
              <w:bottom w:val="nil"/>
              <w:right w:val="nil"/>
            </w:tcBorders>
            <w:shd w:val="clear" w:color="auto" w:fill="auto"/>
            <w:vAlign w:val="center"/>
            <w:hideMark/>
          </w:tcPr>
          <w:p w14:paraId="29F7EBF8" w14:textId="77777777" w:rsidR="00C93969" w:rsidRPr="00A64CC0" w:rsidRDefault="00C93969" w:rsidP="00C93969">
            <w:pPr>
              <w:jc w:val="right"/>
              <w:rPr>
                <w:rFonts w:eastAsia="Times New Roman"/>
                <w:sz w:val="18"/>
                <w:szCs w:val="18"/>
              </w:rPr>
            </w:pPr>
            <w:r w:rsidRPr="00A64CC0">
              <w:rPr>
                <w:rFonts w:eastAsia="Times New Roman"/>
                <w:sz w:val="18"/>
                <w:szCs w:val="18"/>
              </w:rPr>
              <w:t>(7.969,36)</w:t>
            </w:r>
          </w:p>
        </w:tc>
      </w:tr>
      <w:tr w:rsidR="00C93969" w:rsidRPr="00A64CC0" w14:paraId="41F59151" w14:textId="77777777" w:rsidTr="00065019">
        <w:trPr>
          <w:trHeight w:val="227"/>
          <w:jc w:val="center"/>
        </w:trPr>
        <w:tc>
          <w:tcPr>
            <w:tcW w:w="2938" w:type="pct"/>
            <w:tcBorders>
              <w:top w:val="nil"/>
              <w:left w:val="nil"/>
              <w:bottom w:val="nil"/>
              <w:right w:val="nil"/>
            </w:tcBorders>
            <w:shd w:val="clear" w:color="auto" w:fill="auto"/>
            <w:vAlign w:val="center"/>
            <w:hideMark/>
          </w:tcPr>
          <w:p w14:paraId="3581EFB6" w14:textId="77777777" w:rsidR="00C93969" w:rsidRPr="00A64CC0" w:rsidRDefault="00C93969" w:rsidP="00C93969">
            <w:pPr>
              <w:rPr>
                <w:rFonts w:eastAsia="Times New Roman"/>
                <w:sz w:val="18"/>
                <w:szCs w:val="18"/>
              </w:rPr>
            </w:pPr>
            <w:r w:rsidRPr="00A64CC0">
              <w:rPr>
                <w:rFonts w:eastAsia="Times New Roman"/>
                <w:sz w:val="18"/>
                <w:szCs w:val="18"/>
              </w:rPr>
              <w:t>- Inmovilizado material</w:t>
            </w:r>
          </w:p>
        </w:tc>
        <w:tc>
          <w:tcPr>
            <w:tcW w:w="371" w:type="pct"/>
            <w:tcBorders>
              <w:top w:val="nil"/>
              <w:left w:val="nil"/>
              <w:bottom w:val="nil"/>
              <w:right w:val="nil"/>
            </w:tcBorders>
            <w:shd w:val="clear" w:color="auto" w:fill="auto"/>
            <w:noWrap/>
            <w:vAlign w:val="center"/>
            <w:hideMark/>
          </w:tcPr>
          <w:p w14:paraId="54D5E0D3" w14:textId="77777777" w:rsidR="00C93969" w:rsidRPr="00A64CC0" w:rsidRDefault="00C93969" w:rsidP="00C93969">
            <w:pPr>
              <w:jc w:val="center"/>
              <w:rPr>
                <w:rFonts w:eastAsia="Times New Roman"/>
                <w:sz w:val="18"/>
                <w:szCs w:val="18"/>
              </w:rPr>
            </w:pPr>
            <w:r w:rsidRPr="00A64CC0">
              <w:rPr>
                <w:rFonts w:eastAsia="Times New Roman"/>
                <w:sz w:val="18"/>
                <w:szCs w:val="18"/>
              </w:rPr>
              <w:t>6</w:t>
            </w:r>
          </w:p>
        </w:tc>
        <w:tc>
          <w:tcPr>
            <w:tcW w:w="846" w:type="pct"/>
            <w:tcBorders>
              <w:top w:val="nil"/>
              <w:left w:val="nil"/>
              <w:bottom w:val="nil"/>
              <w:right w:val="nil"/>
            </w:tcBorders>
            <w:shd w:val="clear" w:color="auto" w:fill="auto"/>
            <w:vAlign w:val="center"/>
            <w:hideMark/>
          </w:tcPr>
          <w:p w14:paraId="2C1ED1F9" w14:textId="77777777" w:rsidR="00C93969" w:rsidRDefault="00C93969" w:rsidP="00C93969">
            <w:pPr>
              <w:jc w:val="right"/>
              <w:rPr>
                <w:sz w:val="18"/>
                <w:szCs w:val="18"/>
              </w:rPr>
            </w:pPr>
            <w:r>
              <w:rPr>
                <w:sz w:val="18"/>
                <w:szCs w:val="18"/>
              </w:rPr>
              <w:t>(9.535,91)</w:t>
            </w:r>
          </w:p>
        </w:tc>
        <w:tc>
          <w:tcPr>
            <w:tcW w:w="845" w:type="pct"/>
            <w:tcBorders>
              <w:top w:val="nil"/>
              <w:left w:val="nil"/>
              <w:bottom w:val="nil"/>
              <w:right w:val="nil"/>
            </w:tcBorders>
            <w:shd w:val="clear" w:color="auto" w:fill="auto"/>
            <w:vAlign w:val="center"/>
            <w:hideMark/>
          </w:tcPr>
          <w:p w14:paraId="356A16B3" w14:textId="77777777" w:rsidR="00C93969" w:rsidRPr="00A64CC0" w:rsidRDefault="00C93969" w:rsidP="00C93969">
            <w:pPr>
              <w:jc w:val="right"/>
              <w:rPr>
                <w:rFonts w:eastAsia="Times New Roman"/>
                <w:sz w:val="18"/>
                <w:szCs w:val="18"/>
              </w:rPr>
            </w:pPr>
            <w:r w:rsidRPr="00A64CC0">
              <w:rPr>
                <w:rFonts w:eastAsia="Times New Roman"/>
                <w:sz w:val="18"/>
                <w:szCs w:val="18"/>
              </w:rPr>
              <w:t>(39.058,10)</w:t>
            </w:r>
          </w:p>
        </w:tc>
      </w:tr>
      <w:tr w:rsidR="003849D9" w:rsidRPr="00A64CC0" w14:paraId="67F5ED4D" w14:textId="77777777" w:rsidTr="00065019">
        <w:trPr>
          <w:trHeight w:val="227"/>
          <w:jc w:val="center"/>
        </w:trPr>
        <w:tc>
          <w:tcPr>
            <w:tcW w:w="2938" w:type="pct"/>
            <w:tcBorders>
              <w:top w:val="nil"/>
              <w:left w:val="nil"/>
              <w:bottom w:val="nil"/>
              <w:right w:val="nil"/>
            </w:tcBorders>
            <w:shd w:val="clear" w:color="auto" w:fill="auto"/>
            <w:vAlign w:val="center"/>
            <w:hideMark/>
          </w:tcPr>
          <w:p w14:paraId="04D4A46D" w14:textId="77777777" w:rsidR="003849D9" w:rsidRPr="00A64CC0" w:rsidRDefault="003849D9" w:rsidP="003849D9">
            <w:pPr>
              <w:rPr>
                <w:rFonts w:eastAsia="Times New Roman"/>
                <w:b/>
                <w:sz w:val="18"/>
                <w:szCs w:val="18"/>
              </w:rPr>
            </w:pPr>
            <w:r w:rsidRPr="00A64CC0">
              <w:rPr>
                <w:rFonts w:eastAsia="Times New Roman"/>
                <w:b/>
                <w:sz w:val="18"/>
                <w:szCs w:val="18"/>
              </w:rPr>
              <w:t>Cobros por desinversiones:</w:t>
            </w:r>
          </w:p>
        </w:tc>
        <w:tc>
          <w:tcPr>
            <w:tcW w:w="371" w:type="pct"/>
            <w:tcBorders>
              <w:top w:val="nil"/>
              <w:left w:val="nil"/>
              <w:bottom w:val="nil"/>
              <w:right w:val="nil"/>
            </w:tcBorders>
            <w:shd w:val="clear" w:color="auto" w:fill="auto"/>
            <w:noWrap/>
            <w:vAlign w:val="center"/>
            <w:hideMark/>
          </w:tcPr>
          <w:p w14:paraId="6CB48E76" w14:textId="77777777" w:rsidR="003849D9" w:rsidRPr="00A64CC0" w:rsidRDefault="003849D9" w:rsidP="003849D9">
            <w:pPr>
              <w:jc w:val="center"/>
              <w:rPr>
                <w:rFonts w:eastAsia="Times New Roman"/>
                <w:sz w:val="18"/>
                <w:szCs w:val="18"/>
              </w:rPr>
            </w:pPr>
          </w:p>
        </w:tc>
        <w:tc>
          <w:tcPr>
            <w:tcW w:w="846" w:type="pct"/>
            <w:tcBorders>
              <w:top w:val="single" w:sz="4" w:space="0" w:color="auto"/>
              <w:left w:val="nil"/>
              <w:bottom w:val="single" w:sz="4" w:space="0" w:color="auto"/>
              <w:right w:val="nil"/>
            </w:tcBorders>
            <w:shd w:val="clear" w:color="auto" w:fill="auto"/>
            <w:vAlign w:val="center"/>
            <w:hideMark/>
          </w:tcPr>
          <w:p w14:paraId="65CA2CCA" w14:textId="77777777" w:rsidR="003849D9" w:rsidRPr="00A64CC0" w:rsidRDefault="003849D9" w:rsidP="00065019">
            <w:pPr>
              <w:jc w:val="right"/>
              <w:rPr>
                <w:rFonts w:eastAsia="Times New Roman"/>
                <w:b/>
                <w:bCs/>
                <w:sz w:val="18"/>
                <w:szCs w:val="18"/>
              </w:rPr>
            </w:pPr>
            <w:r>
              <w:rPr>
                <w:rFonts w:eastAsia="Times New Roman"/>
                <w:b/>
                <w:bCs/>
                <w:sz w:val="18"/>
                <w:szCs w:val="18"/>
              </w:rPr>
              <w:t>-</w:t>
            </w:r>
          </w:p>
        </w:tc>
        <w:tc>
          <w:tcPr>
            <w:tcW w:w="845" w:type="pct"/>
            <w:tcBorders>
              <w:top w:val="single" w:sz="4" w:space="0" w:color="auto"/>
              <w:left w:val="nil"/>
              <w:bottom w:val="single" w:sz="4" w:space="0" w:color="auto"/>
              <w:right w:val="nil"/>
            </w:tcBorders>
            <w:shd w:val="clear" w:color="auto" w:fill="auto"/>
            <w:vAlign w:val="center"/>
            <w:hideMark/>
          </w:tcPr>
          <w:p w14:paraId="18253F31" w14:textId="77777777" w:rsidR="003849D9" w:rsidRPr="00A64CC0" w:rsidRDefault="003849D9" w:rsidP="00065019">
            <w:pPr>
              <w:jc w:val="right"/>
              <w:rPr>
                <w:rFonts w:eastAsia="Times New Roman"/>
                <w:b/>
                <w:bCs/>
                <w:sz w:val="18"/>
                <w:szCs w:val="18"/>
              </w:rPr>
            </w:pPr>
            <w:r w:rsidRPr="00A64CC0">
              <w:rPr>
                <w:rFonts w:eastAsia="Times New Roman"/>
                <w:b/>
                <w:bCs/>
                <w:sz w:val="18"/>
                <w:szCs w:val="18"/>
              </w:rPr>
              <w:t>20.671,31</w:t>
            </w:r>
          </w:p>
        </w:tc>
      </w:tr>
      <w:tr w:rsidR="003849D9" w:rsidRPr="00A64CC0" w14:paraId="05164AF5" w14:textId="77777777" w:rsidTr="00065019">
        <w:trPr>
          <w:trHeight w:val="227"/>
          <w:jc w:val="center"/>
        </w:trPr>
        <w:tc>
          <w:tcPr>
            <w:tcW w:w="2938" w:type="pct"/>
            <w:tcBorders>
              <w:top w:val="nil"/>
              <w:left w:val="nil"/>
              <w:bottom w:val="nil"/>
              <w:right w:val="nil"/>
            </w:tcBorders>
            <w:shd w:val="clear" w:color="auto" w:fill="auto"/>
            <w:vAlign w:val="center"/>
            <w:hideMark/>
          </w:tcPr>
          <w:p w14:paraId="609D8D25" w14:textId="77777777" w:rsidR="003849D9" w:rsidRPr="00A64CC0" w:rsidRDefault="003849D9" w:rsidP="003849D9">
            <w:pPr>
              <w:rPr>
                <w:rFonts w:eastAsia="Times New Roman"/>
                <w:sz w:val="18"/>
                <w:szCs w:val="18"/>
              </w:rPr>
            </w:pPr>
            <w:r w:rsidRPr="00A64CC0">
              <w:rPr>
                <w:rFonts w:eastAsia="Times New Roman"/>
                <w:sz w:val="18"/>
                <w:szCs w:val="18"/>
              </w:rPr>
              <w:t>- Otros activos financieros</w:t>
            </w:r>
          </w:p>
        </w:tc>
        <w:tc>
          <w:tcPr>
            <w:tcW w:w="371" w:type="pct"/>
            <w:tcBorders>
              <w:top w:val="nil"/>
              <w:left w:val="nil"/>
              <w:bottom w:val="nil"/>
              <w:right w:val="nil"/>
            </w:tcBorders>
            <w:shd w:val="clear" w:color="auto" w:fill="auto"/>
            <w:noWrap/>
            <w:vAlign w:val="center"/>
            <w:hideMark/>
          </w:tcPr>
          <w:p w14:paraId="173CAD0B" w14:textId="77777777" w:rsidR="003849D9" w:rsidRPr="00A64CC0" w:rsidRDefault="003849D9" w:rsidP="003849D9">
            <w:pPr>
              <w:jc w:val="center"/>
              <w:rPr>
                <w:rFonts w:eastAsia="Times New Roman"/>
                <w:sz w:val="18"/>
                <w:szCs w:val="18"/>
              </w:rPr>
            </w:pPr>
          </w:p>
        </w:tc>
        <w:tc>
          <w:tcPr>
            <w:tcW w:w="846" w:type="pct"/>
            <w:tcBorders>
              <w:top w:val="nil"/>
              <w:left w:val="nil"/>
              <w:bottom w:val="nil"/>
              <w:right w:val="nil"/>
            </w:tcBorders>
            <w:shd w:val="clear" w:color="auto" w:fill="auto"/>
            <w:vAlign w:val="center"/>
            <w:hideMark/>
          </w:tcPr>
          <w:p w14:paraId="0DC7485B" w14:textId="77777777" w:rsidR="003849D9" w:rsidRPr="00A64CC0" w:rsidRDefault="003849D9" w:rsidP="00065019">
            <w:pPr>
              <w:jc w:val="right"/>
              <w:rPr>
                <w:rFonts w:eastAsia="Times New Roman"/>
                <w:sz w:val="18"/>
                <w:szCs w:val="18"/>
              </w:rPr>
            </w:pPr>
            <w:r>
              <w:rPr>
                <w:rFonts w:eastAsia="Times New Roman"/>
                <w:sz w:val="18"/>
                <w:szCs w:val="18"/>
              </w:rPr>
              <w:t>-</w:t>
            </w:r>
          </w:p>
        </w:tc>
        <w:tc>
          <w:tcPr>
            <w:tcW w:w="845" w:type="pct"/>
            <w:tcBorders>
              <w:top w:val="nil"/>
              <w:left w:val="nil"/>
              <w:bottom w:val="nil"/>
              <w:right w:val="nil"/>
            </w:tcBorders>
            <w:shd w:val="clear" w:color="auto" w:fill="auto"/>
            <w:vAlign w:val="center"/>
            <w:hideMark/>
          </w:tcPr>
          <w:p w14:paraId="312F77DE" w14:textId="77777777" w:rsidR="003849D9" w:rsidRPr="00A64CC0" w:rsidRDefault="003849D9" w:rsidP="00065019">
            <w:pPr>
              <w:jc w:val="right"/>
              <w:rPr>
                <w:rFonts w:eastAsia="Times New Roman"/>
                <w:sz w:val="18"/>
                <w:szCs w:val="18"/>
              </w:rPr>
            </w:pPr>
            <w:r w:rsidRPr="00A64CC0">
              <w:rPr>
                <w:rFonts w:eastAsia="Times New Roman"/>
                <w:sz w:val="18"/>
                <w:szCs w:val="18"/>
              </w:rPr>
              <w:t>20.671,31</w:t>
            </w:r>
          </w:p>
        </w:tc>
      </w:tr>
      <w:tr w:rsidR="003849D9" w:rsidRPr="003A4111" w14:paraId="2F41A59F" w14:textId="77777777" w:rsidTr="00065019">
        <w:trPr>
          <w:trHeight w:val="113"/>
          <w:jc w:val="center"/>
        </w:trPr>
        <w:tc>
          <w:tcPr>
            <w:tcW w:w="2938" w:type="pct"/>
            <w:tcBorders>
              <w:top w:val="nil"/>
              <w:left w:val="nil"/>
              <w:bottom w:val="nil"/>
              <w:right w:val="nil"/>
            </w:tcBorders>
            <w:shd w:val="clear" w:color="auto" w:fill="auto"/>
            <w:noWrap/>
            <w:vAlign w:val="center"/>
            <w:hideMark/>
          </w:tcPr>
          <w:p w14:paraId="43463B2C" w14:textId="77777777" w:rsidR="003849D9" w:rsidRPr="003A4111" w:rsidRDefault="003849D9" w:rsidP="003849D9">
            <w:pPr>
              <w:rPr>
                <w:rFonts w:eastAsia="Times New Roman"/>
                <w:sz w:val="12"/>
                <w:szCs w:val="12"/>
              </w:rPr>
            </w:pPr>
          </w:p>
        </w:tc>
        <w:tc>
          <w:tcPr>
            <w:tcW w:w="371" w:type="pct"/>
            <w:tcBorders>
              <w:top w:val="nil"/>
              <w:left w:val="nil"/>
              <w:bottom w:val="nil"/>
              <w:right w:val="nil"/>
            </w:tcBorders>
            <w:shd w:val="clear" w:color="auto" w:fill="auto"/>
            <w:noWrap/>
            <w:vAlign w:val="center"/>
            <w:hideMark/>
          </w:tcPr>
          <w:p w14:paraId="7858DA3A" w14:textId="77777777" w:rsidR="003849D9" w:rsidRPr="003A4111" w:rsidRDefault="003849D9" w:rsidP="003849D9">
            <w:pPr>
              <w:jc w:val="center"/>
              <w:rPr>
                <w:rFonts w:eastAsia="Times New Roman"/>
                <w:sz w:val="12"/>
                <w:szCs w:val="12"/>
              </w:rPr>
            </w:pPr>
          </w:p>
        </w:tc>
        <w:tc>
          <w:tcPr>
            <w:tcW w:w="846" w:type="pct"/>
            <w:tcBorders>
              <w:top w:val="nil"/>
              <w:left w:val="nil"/>
              <w:bottom w:val="nil"/>
              <w:right w:val="nil"/>
            </w:tcBorders>
            <w:shd w:val="clear" w:color="auto" w:fill="auto"/>
            <w:noWrap/>
            <w:vAlign w:val="center"/>
            <w:hideMark/>
          </w:tcPr>
          <w:p w14:paraId="03B8DBB5" w14:textId="77777777" w:rsidR="003849D9" w:rsidRPr="003A4111" w:rsidRDefault="003849D9" w:rsidP="00065019">
            <w:pPr>
              <w:jc w:val="right"/>
              <w:rPr>
                <w:rFonts w:eastAsia="Times New Roman"/>
                <w:sz w:val="12"/>
                <w:szCs w:val="12"/>
              </w:rPr>
            </w:pPr>
          </w:p>
        </w:tc>
        <w:tc>
          <w:tcPr>
            <w:tcW w:w="845" w:type="pct"/>
            <w:tcBorders>
              <w:top w:val="nil"/>
              <w:left w:val="nil"/>
              <w:bottom w:val="nil"/>
              <w:right w:val="nil"/>
            </w:tcBorders>
            <w:shd w:val="clear" w:color="auto" w:fill="auto"/>
            <w:noWrap/>
            <w:vAlign w:val="center"/>
            <w:hideMark/>
          </w:tcPr>
          <w:p w14:paraId="65D17350" w14:textId="77777777" w:rsidR="003849D9" w:rsidRPr="003A4111" w:rsidRDefault="003849D9" w:rsidP="00065019">
            <w:pPr>
              <w:jc w:val="right"/>
              <w:rPr>
                <w:rFonts w:eastAsia="Times New Roman"/>
                <w:sz w:val="12"/>
                <w:szCs w:val="12"/>
              </w:rPr>
            </w:pPr>
          </w:p>
        </w:tc>
      </w:tr>
      <w:tr w:rsidR="003849D9" w:rsidRPr="00A64CC0" w14:paraId="3BE373B7" w14:textId="77777777" w:rsidTr="001A7C10">
        <w:trPr>
          <w:trHeight w:val="227"/>
          <w:jc w:val="center"/>
        </w:trPr>
        <w:tc>
          <w:tcPr>
            <w:tcW w:w="2938" w:type="pct"/>
            <w:tcBorders>
              <w:top w:val="single" w:sz="4" w:space="0" w:color="auto"/>
              <w:left w:val="nil"/>
              <w:bottom w:val="single" w:sz="4" w:space="0" w:color="auto"/>
              <w:right w:val="nil"/>
            </w:tcBorders>
            <w:shd w:val="clear" w:color="auto" w:fill="F2F2F2"/>
            <w:vAlign w:val="center"/>
            <w:hideMark/>
          </w:tcPr>
          <w:p w14:paraId="047B8B46" w14:textId="77777777" w:rsidR="003849D9" w:rsidRDefault="003849D9" w:rsidP="003849D9">
            <w:pPr>
              <w:rPr>
                <w:rFonts w:eastAsia="Times New Roman"/>
                <w:b/>
                <w:bCs/>
                <w:sz w:val="18"/>
                <w:szCs w:val="18"/>
              </w:rPr>
            </w:pPr>
            <w:r w:rsidRPr="00A64CC0">
              <w:rPr>
                <w:rFonts w:eastAsia="Times New Roman"/>
                <w:b/>
                <w:bCs/>
                <w:sz w:val="18"/>
                <w:szCs w:val="18"/>
              </w:rPr>
              <w:t>C) FLUJOS</w:t>
            </w:r>
            <w:r>
              <w:rPr>
                <w:rFonts w:eastAsia="Times New Roman"/>
                <w:b/>
                <w:bCs/>
                <w:sz w:val="18"/>
                <w:szCs w:val="18"/>
              </w:rPr>
              <w:t xml:space="preserve"> DE EFECTIVO DE LAS ACTIVIDADES</w:t>
            </w:r>
          </w:p>
          <w:p w14:paraId="129AACFC" w14:textId="77777777" w:rsidR="003849D9" w:rsidRPr="00A64CC0" w:rsidRDefault="003849D9" w:rsidP="003849D9">
            <w:pPr>
              <w:rPr>
                <w:rFonts w:eastAsia="Times New Roman"/>
                <w:b/>
                <w:bCs/>
                <w:sz w:val="18"/>
                <w:szCs w:val="18"/>
              </w:rPr>
            </w:pPr>
            <w:r w:rsidRPr="00A64CC0">
              <w:rPr>
                <w:rFonts w:eastAsia="Times New Roman"/>
                <w:b/>
                <w:bCs/>
                <w:sz w:val="18"/>
                <w:szCs w:val="18"/>
              </w:rPr>
              <w:t>DE FINANCIACIÓN</w:t>
            </w:r>
          </w:p>
        </w:tc>
        <w:tc>
          <w:tcPr>
            <w:tcW w:w="371" w:type="pct"/>
            <w:tcBorders>
              <w:top w:val="single" w:sz="4" w:space="0" w:color="auto"/>
              <w:left w:val="nil"/>
              <w:bottom w:val="single" w:sz="4" w:space="0" w:color="auto"/>
              <w:right w:val="nil"/>
            </w:tcBorders>
            <w:shd w:val="clear" w:color="auto" w:fill="F2F2F2"/>
            <w:vAlign w:val="center"/>
            <w:hideMark/>
          </w:tcPr>
          <w:p w14:paraId="52EB0DFF" w14:textId="77777777" w:rsidR="003849D9" w:rsidRPr="00A64CC0" w:rsidRDefault="003849D9" w:rsidP="003849D9">
            <w:pPr>
              <w:jc w:val="center"/>
              <w:rPr>
                <w:rFonts w:eastAsia="Times New Roman"/>
                <w:b/>
                <w:bCs/>
                <w:sz w:val="18"/>
                <w:szCs w:val="18"/>
              </w:rPr>
            </w:pPr>
          </w:p>
        </w:tc>
        <w:tc>
          <w:tcPr>
            <w:tcW w:w="846" w:type="pct"/>
            <w:tcBorders>
              <w:top w:val="single" w:sz="4" w:space="0" w:color="auto"/>
              <w:left w:val="nil"/>
              <w:bottom w:val="single" w:sz="4" w:space="0" w:color="auto"/>
              <w:right w:val="nil"/>
            </w:tcBorders>
            <w:shd w:val="clear" w:color="auto" w:fill="F2F2F2"/>
            <w:vAlign w:val="center"/>
            <w:hideMark/>
          </w:tcPr>
          <w:p w14:paraId="1E84D04C" w14:textId="77777777" w:rsidR="003849D9" w:rsidRDefault="003849D9"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Pr>
                <w:b/>
                <w:bCs/>
                <w:sz w:val="18"/>
                <w:szCs w:val="18"/>
              </w:rPr>
              <w:t>2.150.368,23</w:t>
            </w:r>
          </w:p>
        </w:tc>
        <w:tc>
          <w:tcPr>
            <w:tcW w:w="845" w:type="pct"/>
            <w:tcBorders>
              <w:top w:val="single" w:sz="4" w:space="0" w:color="auto"/>
              <w:left w:val="nil"/>
              <w:bottom w:val="single" w:sz="4" w:space="0" w:color="auto"/>
              <w:right w:val="nil"/>
            </w:tcBorders>
            <w:shd w:val="clear" w:color="auto" w:fill="F2F2F2"/>
            <w:vAlign w:val="center"/>
            <w:hideMark/>
          </w:tcPr>
          <w:p w14:paraId="6837B339" w14:textId="77777777" w:rsidR="003849D9" w:rsidRPr="006E00F7" w:rsidRDefault="003849D9" w:rsidP="00065019">
            <w:pPr>
              <w:jc w:val="right"/>
              <w:rPr>
                <w:rFonts w:eastAsia="Times New Roman"/>
                <w:b/>
                <w:bCs/>
                <w:sz w:val="18"/>
                <w:szCs w:val="18"/>
              </w:rPr>
            </w:pPr>
            <w:r w:rsidRPr="006E00F7">
              <w:rPr>
                <w:rFonts w:eastAsia="Times New Roman"/>
                <w:b/>
                <w:bCs/>
                <w:sz w:val="18"/>
                <w:szCs w:val="18"/>
              </w:rPr>
              <w:t>2.155.701,23</w:t>
            </w:r>
          </w:p>
        </w:tc>
      </w:tr>
      <w:tr w:rsidR="003849D9" w:rsidRPr="00A64CC0" w14:paraId="4A93D26A" w14:textId="77777777" w:rsidTr="00065019">
        <w:trPr>
          <w:trHeight w:val="227"/>
          <w:jc w:val="center"/>
        </w:trPr>
        <w:tc>
          <w:tcPr>
            <w:tcW w:w="2938" w:type="pct"/>
            <w:tcBorders>
              <w:top w:val="nil"/>
              <w:left w:val="nil"/>
              <w:bottom w:val="nil"/>
              <w:right w:val="nil"/>
            </w:tcBorders>
            <w:shd w:val="clear" w:color="auto" w:fill="auto"/>
            <w:vAlign w:val="center"/>
            <w:hideMark/>
          </w:tcPr>
          <w:p w14:paraId="1FDAFD70" w14:textId="77777777" w:rsidR="003849D9" w:rsidRPr="00A64CC0" w:rsidRDefault="003849D9" w:rsidP="003849D9">
            <w:pPr>
              <w:rPr>
                <w:rFonts w:eastAsia="Times New Roman"/>
                <w:b/>
                <w:bCs/>
                <w:sz w:val="18"/>
                <w:szCs w:val="18"/>
              </w:rPr>
            </w:pPr>
            <w:r w:rsidRPr="00A64CC0">
              <w:rPr>
                <w:rFonts w:eastAsia="Times New Roman"/>
                <w:b/>
                <w:bCs/>
                <w:sz w:val="18"/>
                <w:szCs w:val="18"/>
              </w:rPr>
              <w:t>Cobros y pagos por instrumentos de patrimonio:</w:t>
            </w:r>
          </w:p>
        </w:tc>
        <w:tc>
          <w:tcPr>
            <w:tcW w:w="371" w:type="pct"/>
            <w:tcBorders>
              <w:top w:val="nil"/>
              <w:left w:val="nil"/>
              <w:bottom w:val="nil"/>
              <w:right w:val="nil"/>
            </w:tcBorders>
            <w:shd w:val="clear" w:color="auto" w:fill="auto"/>
            <w:noWrap/>
            <w:vAlign w:val="center"/>
            <w:hideMark/>
          </w:tcPr>
          <w:p w14:paraId="2F396FE1" w14:textId="77777777" w:rsidR="003849D9" w:rsidRPr="00A64CC0" w:rsidRDefault="003849D9" w:rsidP="003849D9">
            <w:pPr>
              <w:jc w:val="center"/>
              <w:rPr>
                <w:rFonts w:eastAsia="Times New Roman"/>
                <w:b/>
                <w:bCs/>
                <w:sz w:val="18"/>
                <w:szCs w:val="18"/>
              </w:rPr>
            </w:pPr>
          </w:p>
        </w:tc>
        <w:tc>
          <w:tcPr>
            <w:tcW w:w="846" w:type="pct"/>
            <w:tcBorders>
              <w:top w:val="nil"/>
              <w:left w:val="nil"/>
              <w:bottom w:val="single" w:sz="4" w:space="0" w:color="auto"/>
              <w:right w:val="nil"/>
            </w:tcBorders>
            <w:shd w:val="clear" w:color="auto" w:fill="auto"/>
            <w:vAlign w:val="center"/>
            <w:hideMark/>
          </w:tcPr>
          <w:p w14:paraId="4985DB70" w14:textId="77777777" w:rsidR="003849D9" w:rsidRDefault="003849D9" w:rsidP="00065019">
            <w:pPr>
              <w:jc w:val="right"/>
              <w:rPr>
                <w:b/>
                <w:bCs/>
                <w:sz w:val="18"/>
                <w:szCs w:val="18"/>
              </w:rPr>
            </w:pPr>
            <w:r>
              <w:rPr>
                <w:b/>
                <w:bCs/>
                <w:sz w:val="18"/>
                <w:szCs w:val="18"/>
              </w:rPr>
              <w:t>2.165.867,00</w:t>
            </w:r>
          </w:p>
        </w:tc>
        <w:tc>
          <w:tcPr>
            <w:tcW w:w="845" w:type="pct"/>
            <w:tcBorders>
              <w:top w:val="nil"/>
              <w:left w:val="nil"/>
              <w:bottom w:val="single" w:sz="4" w:space="0" w:color="auto"/>
              <w:right w:val="nil"/>
            </w:tcBorders>
            <w:shd w:val="clear" w:color="auto" w:fill="auto"/>
            <w:vAlign w:val="center"/>
            <w:hideMark/>
          </w:tcPr>
          <w:p w14:paraId="2F402337" w14:textId="77777777" w:rsidR="003849D9" w:rsidRPr="006E00F7" w:rsidRDefault="003849D9" w:rsidP="00065019">
            <w:pPr>
              <w:jc w:val="right"/>
              <w:rPr>
                <w:rFonts w:eastAsia="Times New Roman"/>
                <w:b/>
                <w:bCs/>
                <w:sz w:val="18"/>
                <w:szCs w:val="18"/>
              </w:rPr>
            </w:pPr>
            <w:r w:rsidRPr="006E00F7">
              <w:rPr>
                <w:rFonts w:eastAsia="Times New Roman"/>
                <w:b/>
                <w:bCs/>
                <w:sz w:val="18"/>
                <w:szCs w:val="18"/>
              </w:rPr>
              <w:t>2.165.867,00</w:t>
            </w:r>
          </w:p>
        </w:tc>
      </w:tr>
      <w:tr w:rsidR="003849D9" w:rsidRPr="00A64CC0" w14:paraId="6BFD30ED" w14:textId="77777777" w:rsidTr="00065019">
        <w:trPr>
          <w:trHeight w:val="227"/>
          <w:jc w:val="center"/>
        </w:trPr>
        <w:tc>
          <w:tcPr>
            <w:tcW w:w="2938" w:type="pct"/>
            <w:tcBorders>
              <w:top w:val="nil"/>
              <w:left w:val="nil"/>
              <w:bottom w:val="nil"/>
              <w:right w:val="nil"/>
            </w:tcBorders>
            <w:shd w:val="clear" w:color="auto" w:fill="auto"/>
            <w:vAlign w:val="center"/>
            <w:hideMark/>
          </w:tcPr>
          <w:p w14:paraId="23FC19C1" w14:textId="77777777" w:rsidR="003849D9" w:rsidRPr="00A64CC0" w:rsidRDefault="003849D9" w:rsidP="003849D9">
            <w:pPr>
              <w:rPr>
                <w:rFonts w:eastAsia="Times New Roman"/>
                <w:sz w:val="18"/>
                <w:szCs w:val="18"/>
              </w:rPr>
            </w:pPr>
            <w:r w:rsidRPr="00A64CC0">
              <w:rPr>
                <w:rFonts w:eastAsia="Times New Roman"/>
                <w:sz w:val="18"/>
                <w:szCs w:val="18"/>
              </w:rPr>
              <w:t>- Subvenciones, donaciones y legados recibidos</w:t>
            </w:r>
          </w:p>
        </w:tc>
        <w:tc>
          <w:tcPr>
            <w:tcW w:w="371" w:type="pct"/>
            <w:tcBorders>
              <w:top w:val="nil"/>
              <w:left w:val="nil"/>
              <w:bottom w:val="nil"/>
              <w:right w:val="nil"/>
            </w:tcBorders>
            <w:shd w:val="clear" w:color="auto" w:fill="auto"/>
            <w:noWrap/>
            <w:vAlign w:val="center"/>
            <w:hideMark/>
          </w:tcPr>
          <w:p w14:paraId="1974D483" w14:textId="77777777" w:rsidR="003849D9" w:rsidRPr="00A64CC0" w:rsidRDefault="003849D9" w:rsidP="003849D9">
            <w:pPr>
              <w:jc w:val="center"/>
              <w:rPr>
                <w:rFonts w:eastAsia="Times New Roman"/>
                <w:sz w:val="18"/>
                <w:szCs w:val="18"/>
              </w:rPr>
            </w:pPr>
            <w:r w:rsidRPr="006E00F7">
              <w:rPr>
                <w:rFonts w:eastAsia="Times New Roman"/>
                <w:sz w:val="18"/>
                <w:szCs w:val="18"/>
              </w:rPr>
              <w:t>8.3.c</w:t>
            </w:r>
          </w:p>
        </w:tc>
        <w:tc>
          <w:tcPr>
            <w:tcW w:w="846" w:type="pct"/>
            <w:tcBorders>
              <w:top w:val="nil"/>
              <w:left w:val="nil"/>
              <w:bottom w:val="nil"/>
              <w:right w:val="nil"/>
            </w:tcBorders>
            <w:shd w:val="clear" w:color="auto" w:fill="auto"/>
            <w:vAlign w:val="center"/>
            <w:hideMark/>
          </w:tcPr>
          <w:p w14:paraId="32095F70" w14:textId="77777777" w:rsidR="003849D9" w:rsidRDefault="003849D9" w:rsidP="00065019">
            <w:pPr>
              <w:jc w:val="right"/>
              <w:rPr>
                <w:sz w:val="18"/>
                <w:szCs w:val="18"/>
              </w:rPr>
            </w:pPr>
            <w:r>
              <w:rPr>
                <w:sz w:val="18"/>
                <w:szCs w:val="18"/>
              </w:rPr>
              <w:t>2.165.867,00</w:t>
            </w:r>
          </w:p>
        </w:tc>
        <w:tc>
          <w:tcPr>
            <w:tcW w:w="845" w:type="pct"/>
            <w:tcBorders>
              <w:top w:val="nil"/>
              <w:left w:val="nil"/>
              <w:bottom w:val="nil"/>
              <w:right w:val="nil"/>
            </w:tcBorders>
            <w:shd w:val="clear" w:color="auto" w:fill="auto"/>
            <w:vAlign w:val="center"/>
            <w:hideMark/>
          </w:tcPr>
          <w:p w14:paraId="2C9F07DB" w14:textId="77777777" w:rsidR="003849D9" w:rsidRPr="006E00F7" w:rsidRDefault="003849D9" w:rsidP="00065019">
            <w:pPr>
              <w:jc w:val="right"/>
              <w:rPr>
                <w:rFonts w:eastAsia="Times New Roman"/>
                <w:sz w:val="18"/>
                <w:szCs w:val="18"/>
              </w:rPr>
            </w:pPr>
            <w:r w:rsidRPr="006E00F7">
              <w:rPr>
                <w:rFonts w:eastAsia="Times New Roman"/>
                <w:sz w:val="18"/>
                <w:szCs w:val="18"/>
              </w:rPr>
              <w:t>2.165.867,00</w:t>
            </w:r>
          </w:p>
        </w:tc>
      </w:tr>
      <w:tr w:rsidR="003849D9" w:rsidRPr="00A64CC0" w14:paraId="7677DF5B" w14:textId="77777777" w:rsidTr="00065019">
        <w:trPr>
          <w:trHeight w:val="227"/>
          <w:jc w:val="center"/>
        </w:trPr>
        <w:tc>
          <w:tcPr>
            <w:tcW w:w="2938" w:type="pct"/>
            <w:tcBorders>
              <w:top w:val="nil"/>
              <w:left w:val="nil"/>
              <w:bottom w:val="nil"/>
              <w:right w:val="nil"/>
            </w:tcBorders>
            <w:shd w:val="clear" w:color="auto" w:fill="auto"/>
            <w:vAlign w:val="center"/>
            <w:hideMark/>
          </w:tcPr>
          <w:p w14:paraId="6B4AE22A" w14:textId="77777777" w:rsidR="003849D9" w:rsidRPr="00A64CC0" w:rsidRDefault="003849D9" w:rsidP="003849D9">
            <w:pPr>
              <w:rPr>
                <w:rFonts w:eastAsia="Times New Roman"/>
                <w:b/>
                <w:bCs/>
                <w:sz w:val="18"/>
                <w:szCs w:val="18"/>
              </w:rPr>
            </w:pPr>
            <w:r w:rsidRPr="00A64CC0">
              <w:rPr>
                <w:rFonts w:eastAsia="Times New Roman"/>
                <w:b/>
                <w:bCs/>
                <w:sz w:val="18"/>
                <w:szCs w:val="18"/>
              </w:rPr>
              <w:t>Cobros y pagos por instrumentos de pasivo financiero:</w:t>
            </w:r>
          </w:p>
        </w:tc>
        <w:tc>
          <w:tcPr>
            <w:tcW w:w="371" w:type="pct"/>
            <w:tcBorders>
              <w:top w:val="nil"/>
              <w:left w:val="nil"/>
              <w:bottom w:val="nil"/>
              <w:right w:val="nil"/>
            </w:tcBorders>
            <w:shd w:val="clear" w:color="auto" w:fill="auto"/>
            <w:noWrap/>
            <w:vAlign w:val="center"/>
            <w:hideMark/>
          </w:tcPr>
          <w:p w14:paraId="32D35F04" w14:textId="77777777" w:rsidR="003849D9" w:rsidRPr="00A64CC0" w:rsidRDefault="003849D9" w:rsidP="003849D9">
            <w:pPr>
              <w:jc w:val="center"/>
              <w:rPr>
                <w:rFonts w:eastAsia="Times New Roman"/>
                <w:b/>
                <w:bCs/>
                <w:sz w:val="18"/>
                <w:szCs w:val="18"/>
              </w:rPr>
            </w:pPr>
          </w:p>
        </w:tc>
        <w:tc>
          <w:tcPr>
            <w:tcW w:w="846" w:type="pct"/>
            <w:tcBorders>
              <w:top w:val="single" w:sz="4" w:space="0" w:color="auto"/>
              <w:left w:val="nil"/>
              <w:bottom w:val="single" w:sz="4" w:space="0" w:color="auto"/>
              <w:right w:val="nil"/>
            </w:tcBorders>
            <w:shd w:val="clear" w:color="auto" w:fill="auto"/>
            <w:vAlign w:val="center"/>
            <w:hideMark/>
          </w:tcPr>
          <w:p w14:paraId="71F0FCBC" w14:textId="77777777" w:rsidR="003849D9" w:rsidRDefault="003849D9"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Pr>
                <w:b/>
                <w:bCs/>
                <w:sz w:val="18"/>
                <w:szCs w:val="18"/>
              </w:rPr>
              <w:t>(15.498,77)</w:t>
            </w:r>
          </w:p>
        </w:tc>
        <w:tc>
          <w:tcPr>
            <w:tcW w:w="845" w:type="pct"/>
            <w:tcBorders>
              <w:top w:val="single" w:sz="4" w:space="0" w:color="auto"/>
              <w:left w:val="nil"/>
              <w:bottom w:val="single" w:sz="4" w:space="0" w:color="auto"/>
              <w:right w:val="nil"/>
            </w:tcBorders>
            <w:shd w:val="clear" w:color="auto" w:fill="auto"/>
            <w:vAlign w:val="center"/>
            <w:hideMark/>
          </w:tcPr>
          <w:p w14:paraId="451CA1CC" w14:textId="77777777" w:rsidR="003849D9" w:rsidRDefault="003849D9" w:rsidP="00065019">
            <w:pPr>
              <w:jc w:val="right"/>
              <w:rPr>
                <w:b/>
                <w:bCs/>
                <w:sz w:val="18"/>
                <w:szCs w:val="18"/>
              </w:rPr>
            </w:pPr>
            <w:r>
              <w:rPr>
                <w:b/>
                <w:bCs/>
                <w:sz w:val="18"/>
                <w:szCs w:val="18"/>
              </w:rPr>
              <w:t>(10.165,77)</w:t>
            </w:r>
          </w:p>
        </w:tc>
      </w:tr>
      <w:tr w:rsidR="003849D9" w:rsidRPr="00A64CC0" w14:paraId="6358A83D" w14:textId="77777777" w:rsidTr="00065019">
        <w:trPr>
          <w:trHeight w:val="227"/>
          <w:jc w:val="center"/>
        </w:trPr>
        <w:tc>
          <w:tcPr>
            <w:tcW w:w="2938" w:type="pct"/>
            <w:tcBorders>
              <w:top w:val="nil"/>
              <w:left w:val="nil"/>
              <w:bottom w:val="nil"/>
              <w:right w:val="nil"/>
            </w:tcBorders>
            <w:shd w:val="clear" w:color="auto" w:fill="auto"/>
            <w:vAlign w:val="center"/>
            <w:hideMark/>
          </w:tcPr>
          <w:p w14:paraId="6FC09480" w14:textId="77777777" w:rsidR="003849D9" w:rsidRPr="00A64CC0" w:rsidRDefault="003849D9" w:rsidP="003849D9">
            <w:pPr>
              <w:rPr>
                <w:rFonts w:eastAsia="Times New Roman"/>
                <w:sz w:val="18"/>
                <w:szCs w:val="18"/>
              </w:rPr>
            </w:pPr>
            <w:r w:rsidRPr="00A64CC0">
              <w:rPr>
                <w:rFonts w:eastAsia="Times New Roman"/>
                <w:sz w:val="18"/>
                <w:szCs w:val="18"/>
              </w:rPr>
              <w:t>- Emisión:</w:t>
            </w:r>
          </w:p>
        </w:tc>
        <w:tc>
          <w:tcPr>
            <w:tcW w:w="371" w:type="pct"/>
            <w:tcBorders>
              <w:top w:val="nil"/>
              <w:left w:val="nil"/>
              <w:bottom w:val="nil"/>
              <w:right w:val="nil"/>
            </w:tcBorders>
            <w:shd w:val="clear" w:color="auto" w:fill="auto"/>
            <w:noWrap/>
            <w:vAlign w:val="center"/>
            <w:hideMark/>
          </w:tcPr>
          <w:p w14:paraId="4A0DE8D0" w14:textId="77777777" w:rsidR="003849D9" w:rsidRPr="00A64CC0" w:rsidRDefault="003849D9" w:rsidP="003849D9">
            <w:pPr>
              <w:jc w:val="center"/>
              <w:rPr>
                <w:rFonts w:eastAsia="Times New Roman"/>
                <w:sz w:val="18"/>
                <w:szCs w:val="18"/>
              </w:rPr>
            </w:pPr>
          </w:p>
        </w:tc>
        <w:tc>
          <w:tcPr>
            <w:tcW w:w="846" w:type="pct"/>
            <w:tcBorders>
              <w:top w:val="nil"/>
              <w:left w:val="nil"/>
              <w:bottom w:val="nil"/>
              <w:right w:val="nil"/>
            </w:tcBorders>
            <w:shd w:val="clear" w:color="auto" w:fill="auto"/>
            <w:vAlign w:val="center"/>
            <w:hideMark/>
          </w:tcPr>
          <w:p w14:paraId="12A94636" w14:textId="77777777" w:rsidR="003849D9" w:rsidRPr="00A64CC0" w:rsidRDefault="003849D9" w:rsidP="00065019">
            <w:pPr>
              <w:jc w:val="right"/>
              <w:rPr>
                <w:rFonts w:eastAsia="Times New Roman"/>
                <w:sz w:val="18"/>
                <w:szCs w:val="18"/>
              </w:rPr>
            </w:pPr>
          </w:p>
        </w:tc>
        <w:tc>
          <w:tcPr>
            <w:tcW w:w="845" w:type="pct"/>
            <w:tcBorders>
              <w:top w:val="nil"/>
              <w:left w:val="nil"/>
              <w:bottom w:val="nil"/>
              <w:right w:val="nil"/>
            </w:tcBorders>
            <w:shd w:val="clear" w:color="auto" w:fill="auto"/>
            <w:vAlign w:val="center"/>
            <w:hideMark/>
          </w:tcPr>
          <w:p w14:paraId="02F74682" w14:textId="77777777" w:rsidR="003849D9" w:rsidRPr="00A64CC0" w:rsidRDefault="003849D9" w:rsidP="00065019">
            <w:pPr>
              <w:jc w:val="right"/>
              <w:rPr>
                <w:rFonts w:eastAsia="Times New Roman"/>
                <w:sz w:val="18"/>
                <w:szCs w:val="18"/>
              </w:rPr>
            </w:pPr>
          </w:p>
        </w:tc>
      </w:tr>
      <w:tr w:rsidR="003849D9" w:rsidRPr="00A64CC0" w14:paraId="21D9A57D" w14:textId="77777777" w:rsidTr="00065019">
        <w:trPr>
          <w:trHeight w:val="227"/>
          <w:jc w:val="center"/>
        </w:trPr>
        <w:tc>
          <w:tcPr>
            <w:tcW w:w="2938" w:type="pct"/>
            <w:tcBorders>
              <w:top w:val="nil"/>
              <w:left w:val="nil"/>
              <w:bottom w:val="nil"/>
              <w:right w:val="nil"/>
            </w:tcBorders>
            <w:shd w:val="clear" w:color="auto" w:fill="auto"/>
            <w:vAlign w:val="center"/>
            <w:hideMark/>
          </w:tcPr>
          <w:p w14:paraId="5B3B2326" w14:textId="77777777" w:rsidR="003849D9" w:rsidRPr="00A64CC0" w:rsidRDefault="003849D9" w:rsidP="003849D9">
            <w:pPr>
              <w:rPr>
                <w:rFonts w:eastAsia="Times New Roman"/>
                <w:sz w:val="18"/>
                <w:szCs w:val="18"/>
              </w:rPr>
            </w:pPr>
            <w:r w:rsidRPr="00A64CC0">
              <w:rPr>
                <w:rFonts w:eastAsia="Times New Roman"/>
                <w:sz w:val="18"/>
                <w:szCs w:val="18"/>
              </w:rPr>
              <w:t xml:space="preserve">    - Deudas con entidades de crédito</w:t>
            </w:r>
          </w:p>
        </w:tc>
        <w:tc>
          <w:tcPr>
            <w:tcW w:w="371" w:type="pct"/>
            <w:tcBorders>
              <w:top w:val="nil"/>
              <w:left w:val="nil"/>
              <w:bottom w:val="nil"/>
              <w:right w:val="nil"/>
            </w:tcBorders>
            <w:shd w:val="clear" w:color="auto" w:fill="auto"/>
            <w:noWrap/>
            <w:vAlign w:val="center"/>
            <w:hideMark/>
          </w:tcPr>
          <w:p w14:paraId="06C0445F" w14:textId="77777777" w:rsidR="003849D9" w:rsidRPr="00A64CC0" w:rsidRDefault="003849D9" w:rsidP="003849D9">
            <w:pPr>
              <w:jc w:val="center"/>
              <w:rPr>
                <w:rFonts w:eastAsia="Times New Roman"/>
                <w:sz w:val="18"/>
                <w:szCs w:val="18"/>
              </w:rPr>
            </w:pPr>
          </w:p>
        </w:tc>
        <w:tc>
          <w:tcPr>
            <w:tcW w:w="846" w:type="pct"/>
            <w:tcBorders>
              <w:top w:val="nil"/>
              <w:left w:val="nil"/>
              <w:bottom w:val="nil"/>
              <w:right w:val="nil"/>
            </w:tcBorders>
            <w:shd w:val="clear" w:color="auto" w:fill="auto"/>
            <w:vAlign w:val="center"/>
            <w:hideMark/>
          </w:tcPr>
          <w:p w14:paraId="190BA2A4" w14:textId="77777777" w:rsidR="003849D9" w:rsidRPr="00A64CC0" w:rsidRDefault="003849D9" w:rsidP="00065019">
            <w:pPr>
              <w:jc w:val="right"/>
              <w:rPr>
                <w:rFonts w:eastAsia="Times New Roman"/>
                <w:sz w:val="18"/>
                <w:szCs w:val="18"/>
              </w:rPr>
            </w:pPr>
            <w:r>
              <w:rPr>
                <w:rFonts w:eastAsia="Times New Roman"/>
                <w:sz w:val="18"/>
                <w:szCs w:val="18"/>
              </w:rPr>
              <w:t>-</w:t>
            </w:r>
          </w:p>
        </w:tc>
        <w:tc>
          <w:tcPr>
            <w:tcW w:w="845" w:type="pct"/>
            <w:tcBorders>
              <w:top w:val="nil"/>
              <w:left w:val="nil"/>
              <w:bottom w:val="nil"/>
              <w:right w:val="nil"/>
            </w:tcBorders>
            <w:shd w:val="clear" w:color="auto" w:fill="auto"/>
            <w:vAlign w:val="center"/>
            <w:hideMark/>
          </w:tcPr>
          <w:p w14:paraId="6E6B34E8" w14:textId="77777777" w:rsidR="003849D9" w:rsidRPr="00A64CC0" w:rsidRDefault="003849D9" w:rsidP="00065019">
            <w:pPr>
              <w:jc w:val="right"/>
              <w:rPr>
                <w:rFonts w:eastAsia="Times New Roman"/>
                <w:sz w:val="18"/>
                <w:szCs w:val="18"/>
              </w:rPr>
            </w:pPr>
            <w:r w:rsidRPr="00A64CC0">
              <w:rPr>
                <w:rFonts w:eastAsia="Times New Roman"/>
                <w:sz w:val="18"/>
                <w:szCs w:val="18"/>
              </w:rPr>
              <w:t>1.290,45</w:t>
            </w:r>
          </w:p>
        </w:tc>
      </w:tr>
      <w:tr w:rsidR="003849D9" w:rsidRPr="00A64CC0" w14:paraId="42866E6A" w14:textId="77777777" w:rsidTr="00065019">
        <w:trPr>
          <w:trHeight w:val="227"/>
          <w:jc w:val="center"/>
        </w:trPr>
        <w:tc>
          <w:tcPr>
            <w:tcW w:w="2938" w:type="pct"/>
            <w:tcBorders>
              <w:top w:val="nil"/>
              <w:left w:val="nil"/>
              <w:bottom w:val="nil"/>
              <w:right w:val="nil"/>
            </w:tcBorders>
            <w:shd w:val="clear" w:color="auto" w:fill="auto"/>
            <w:vAlign w:val="center"/>
            <w:hideMark/>
          </w:tcPr>
          <w:p w14:paraId="35AE73F8" w14:textId="77777777" w:rsidR="003849D9" w:rsidRPr="00A64CC0" w:rsidRDefault="003849D9" w:rsidP="003849D9">
            <w:pPr>
              <w:rPr>
                <w:rFonts w:eastAsia="Times New Roman"/>
                <w:sz w:val="18"/>
                <w:szCs w:val="18"/>
              </w:rPr>
            </w:pPr>
            <w:r w:rsidRPr="00A64CC0">
              <w:rPr>
                <w:rFonts w:eastAsia="Times New Roman"/>
                <w:sz w:val="18"/>
                <w:szCs w:val="18"/>
              </w:rPr>
              <w:t>- Devolución y amortización de:</w:t>
            </w:r>
          </w:p>
        </w:tc>
        <w:tc>
          <w:tcPr>
            <w:tcW w:w="371" w:type="pct"/>
            <w:tcBorders>
              <w:top w:val="nil"/>
              <w:left w:val="nil"/>
              <w:bottom w:val="nil"/>
              <w:right w:val="nil"/>
            </w:tcBorders>
            <w:shd w:val="clear" w:color="auto" w:fill="auto"/>
            <w:noWrap/>
            <w:vAlign w:val="center"/>
            <w:hideMark/>
          </w:tcPr>
          <w:p w14:paraId="00A3B67B" w14:textId="77777777" w:rsidR="003849D9" w:rsidRPr="00A64CC0" w:rsidRDefault="003849D9" w:rsidP="003849D9">
            <w:pPr>
              <w:jc w:val="center"/>
              <w:rPr>
                <w:rFonts w:eastAsia="Times New Roman"/>
                <w:sz w:val="18"/>
                <w:szCs w:val="18"/>
              </w:rPr>
            </w:pPr>
          </w:p>
        </w:tc>
        <w:tc>
          <w:tcPr>
            <w:tcW w:w="846" w:type="pct"/>
            <w:tcBorders>
              <w:top w:val="nil"/>
              <w:left w:val="nil"/>
              <w:bottom w:val="nil"/>
              <w:right w:val="nil"/>
            </w:tcBorders>
            <w:shd w:val="clear" w:color="auto" w:fill="auto"/>
            <w:noWrap/>
            <w:vAlign w:val="center"/>
            <w:hideMark/>
          </w:tcPr>
          <w:p w14:paraId="239C47CE" w14:textId="77777777" w:rsidR="003849D9" w:rsidRPr="00A64CC0" w:rsidRDefault="003849D9" w:rsidP="00065019">
            <w:pPr>
              <w:jc w:val="right"/>
              <w:rPr>
                <w:rFonts w:eastAsia="Times New Roman"/>
                <w:sz w:val="18"/>
                <w:szCs w:val="18"/>
              </w:rPr>
            </w:pPr>
          </w:p>
        </w:tc>
        <w:tc>
          <w:tcPr>
            <w:tcW w:w="845" w:type="pct"/>
            <w:tcBorders>
              <w:top w:val="nil"/>
              <w:left w:val="nil"/>
              <w:bottom w:val="nil"/>
              <w:right w:val="nil"/>
            </w:tcBorders>
            <w:shd w:val="clear" w:color="auto" w:fill="auto"/>
            <w:noWrap/>
            <w:vAlign w:val="center"/>
            <w:hideMark/>
          </w:tcPr>
          <w:p w14:paraId="3D7B6960" w14:textId="77777777" w:rsidR="003849D9" w:rsidRPr="00A64CC0" w:rsidRDefault="003849D9" w:rsidP="00065019">
            <w:pPr>
              <w:jc w:val="right"/>
              <w:rPr>
                <w:rFonts w:eastAsia="Times New Roman"/>
                <w:sz w:val="18"/>
                <w:szCs w:val="18"/>
              </w:rPr>
            </w:pPr>
          </w:p>
        </w:tc>
      </w:tr>
      <w:tr w:rsidR="003849D9" w:rsidRPr="00A64CC0" w14:paraId="77EE87BF" w14:textId="77777777" w:rsidTr="00065019">
        <w:trPr>
          <w:trHeight w:val="227"/>
          <w:jc w:val="center"/>
        </w:trPr>
        <w:tc>
          <w:tcPr>
            <w:tcW w:w="2938" w:type="pct"/>
            <w:tcBorders>
              <w:top w:val="nil"/>
              <w:left w:val="nil"/>
              <w:bottom w:val="nil"/>
              <w:right w:val="nil"/>
            </w:tcBorders>
            <w:shd w:val="clear" w:color="auto" w:fill="auto"/>
            <w:vAlign w:val="center"/>
            <w:hideMark/>
          </w:tcPr>
          <w:p w14:paraId="3A46B545" w14:textId="77777777" w:rsidR="003849D9" w:rsidRPr="00A64CC0" w:rsidRDefault="003849D9" w:rsidP="003849D9">
            <w:pPr>
              <w:rPr>
                <w:rFonts w:eastAsia="Times New Roman"/>
                <w:sz w:val="18"/>
                <w:szCs w:val="18"/>
              </w:rPr>
            </w:pPr>
            <w:r w:rsidRPr="00A64CC0">
              <w:rPr>
                <w:rFonts w:eastAsia="Times New Roman"/>
                <w:sz w:val="18"/>
                <w:szCs w:val="18"/>
              </w:rPr>
              <w:t xml:space="preserve">    - Deudas con entidades de crédito</w:t>
            </w:r>
          </w:p>
        </w:tc>
        <w:tc>
          <w:tcPr>
            <w:tcW w:w="371" w:type="pct"/>
            <w:tcBorders>
              <w:top w:val="nil"/>
              <w:left w:val="nil"/>
              <w:bottom w:val="nil"/>
              <w:right w:val="nil"/>
            </w:tcBorders>
            <w:shd w:val="clear" w:color="auto" w:fill="auto"/>
            <w:noWrap/>
            <w:vAlign w:val="center"/>
            <w:hideMark/>
          </w:tcPr>
          <w:p w14:paraId="45A4ECF6" w14:textId="77777777" w:rsidR="003849D9" w:rsidRPr="00A64CC0" w:rsidRDefault="003849D9" w:rsidP="003849D9">
            <w:pPr>
              <w:jc w:val="center"/>
              <w:rPr>
                <w:rFonts w:eastAsia="Times New Roman"/>
                <w:sz w:val="18"/>
                <w:szCs w:val="18"/>
              </w:rPr>
            </w:pPr>
          </w:p>
        </w:tc>
        <w:tc>
          <w:tcPr>
            <w:tcW w:w="846" w:type="pct"/>
            <w:tcBorders>
              <w:top w:val="nil"/>
              <w:left w:val="nil"/>
              <w:bottom w:val="nil"/>
              <w:right w:val="nil"/>
            </w:tcBorders>
            <w:shd w:val="clear" w:color="auto" w:fill="auto"/>
            <w:vAlign w:val="center"/>
            <w:hideMark/>
          </w:tcPr>
          <w:p w14:paraId="63236B7D" w14:textId="77777777" w:rsidR="003849D9" w:rsidRDefault="003849D9"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Pr>
                <w:sz w:val="18"/>
                <w:szCs w:val="18"/>
              </w:rPr>
              <w:t>(6.706,31)</w:t>
            </w:r>
          </w:p>
        </w:tc>
        <w:tc>
          <w:tcPr>
            <w:tcW w:w="845" w:type="pct"/>
            <w:tcBorders>
              <w:top w:val="nil"/>
              <w:left w:val="nil"/>
              <w:bottom w:val="nil"/>
              <w:right w:val="nil"/>
            </w:tcBorders>
            <w:shd w:val="clear" w:color="auto" w:fill="auto"/>
            <w:vAlign w:val="center"/>
            <w:hideMark/>
          </w:tcPr>
          <w:p w14:paraId="60DF773F" w14:textId="77777777" w:rsidR="003849D9" w:rsidRPr="00A64CC0" w:rsidRDefault="003849D9" w:rsidP="00065019">
            <w:pPr>
              <w:jc w:val="right"/>
              <w:rPr>
                <w:rFonts w:eastAsia="Times New Roman"/>
                <w:sz w:val="18"/>
                <w:szCs w:val="18"/>
              </w:rPr>
            </w:pPr>
            <w:r>
              <w:rPr>
                <w:rFonts w:eastAsia="Times New Roman"/>
                <w:sz w:val="18"/>
                <w:szCs w:val="18"/>
              </w:rPr>
              <w:t>-</w:t>
            </w:r>
          </w:p>
        </w:tc>
      </w:tr>
      <w:tr w:rsidR="003849D9" w:rsidRPr="00A64CC0" w14:paraId="53E3B8E0" w14:textId="77777777" w:rsidTr="00065019">
        <w:trPr>
          <w:trHeight w:val="227"/>
          <w:jc w:val="center"/>
        </w:trPr>
        <w:tc>
          <w:tcPr>
            <w:tcW w:w="2938" w:type="pct"/>
            <w:tcBorders>
              <w:top w:val="nil"/>
              <w:left w:val="nil"/>
              <w:bottom w:val="nil"/>
              <w:right w:val="nil"/>
            </w:tcBorders>
            <w:shd w:val="clear" w:color="auto" w:fill="auto"/>
            <w:vAlign w:val="center"/>
            <w:hideMark/>
          </w:tcPr>
          <w:p w14:paraId="14DA9EC1" w14:textId="77777777" w:rsidR="003849D9" w:rsidRPr="00A64CC0" w:rsidRDefault="003849D9" w:rsidP="003849D9">
            <w:pPr>
              <w:rPr>
                <w:rFonts w:eastAsia="Times New Roman"/>
                <w:sz w:val="18"/>
                <w:szCs w:val="18"/>
              </w:rPr>
            </w:pPr>
            <w:r w:rsidRPr="00A64CC0">
              <w:rPr>
                <w:rFonts w:eastAsia="Times New Roman"/>
                <w:sz w:val="18"/>
                <w:szCs w:val="18"/>
              </w:rPr>
              <w:t xml:space="preserve">    - Otras deudas</w:t>
            </w:r>
          </w:p>
        </w:tc>
        <w:tc>
          <w:tcPr>
            <w:tcW w:w="371" w:type="pct"/>
            <w:tcBorders>
              <w:top w:val="nil"/>
              <w:left w:val="nil"/>
              <w:bottom w:val="nil"/>
              <w:right w:val="nil"/>
            </w:tcBorders>
            <w:shd w:val="clear" w:color="auto" w:fill="auto"/>
            <w:noWrap/>
            <w:vAlign w:val="center"/>
            <w:hideMark/>
          </w:tcPr>
          <w:p w14:paraId="2209090A" w14:textId="77777777" w:rsidR="003849D9" w:rsidRPr="00A64CC0" w:rsidRDefault="003849D9" w:rsidP="003849D9">
            <w:pPr>
              <w:jc w:val="center"/>
              <w:rPr>
                <w:rFonts w:eastAsia="Times New Roman"/>
                <w:sz w:val="18"/>
                <w:szCs w:val="18"/>
              </w:rPr>
            </w:pPr>
          </w:p>
        </w:tc>
        <w:tc>
          <w:tcPr>
            <w:tcW w:w="846" w:type="pct"/>
            <w:tcBorders>
              <w:top w:val="nil"/>
              <w:left w:val="nil"/>
              <w:bottom w:val="nil"/>
              <w:right w:val="nil"/>
            </w:tcBorders>
            <w:shd w:val="clear" w:color="auto" w:fill="auto"/>
            <w:vAlign w:val="center"/>
            <w:hideMark/>
          </w:tcPr>
          <w:p w14:paraId="4FAC7D94" w14:textId="77777777" w:rsidR="003849D9" w:rsidRDefault="003849D9" w:rsidP="00065019">
            <w:pPr>
              <w:jc w:val="right"/>
              <w:rPr>
                <w:sz w:val="18"/>
                <w:szCs w:val="18"/>
              </w:rPr>
            </w:pPr>
            <w:r>
              <w:rPr>
                <w:sz w:val="18"/>
                <w:szCs w:val="18"/>
              </w:rPr>
              <w:t>(8.792,46)</w:t>
            </w:r>
          </w:p>
        </w:tc>
        <w:tc>
          <w:tcPr>
            <w:tcW w:w="845" w:type="pct"/>
            <w:tcBorders>
              <w:top w:val="nil"/>
              <w:left w:val="nil"/>
              <w:bottom w:val="nil"/>
              <w:right w:val="nil"/>
            </w:tcBorders>
            <w:shd w:val="clear" w:color="auto" w:fill="auto"/>
            <w:vAlign w:val="center"/>
            <w:hideMark/>
          </w:tcPr>
          <w:p w14:paraId="275A7268" w14:textId="77777777" w:rsidR="003849D9" w:rsidRPr="00A64CC0" w:rsidRDefault="003849D9" w:rsidP="00065019">
            <w:pPr>
              <w:jc w:val="right"/>
              <w:rPr>
                <w:rFonts w:eastAsia="Times New Roman"/>
                <w:sz w:val="18"/>
                <w:szCs w:val="18"/>
              </w:rPr>
            </w:pPr>
            <w:r w:rsidRPr="00A64CC0">
              <w:rPr>
                <w:rFonts w:eastAsia="Times New Roman"/>
                <w:sz w:val="18"/>
                <w:szCs w:val="18"/>
              </w:rPr>
              <w:t>(11.456,22)</w:t>
            </w:r>
          </w:p>
        </w:tc>
      </w:tr>
      <w:tr w:rsidR="003849D9" w:rsidRPr="003A4111" w14:paraId="0D9EFB18" w14:textId="77777777" w:rsidTr="00065019">
        <w:trPr>
          <w:trHeight w:val="113"/>
          <w:jc w:val="center"/>
        </w:trPr>
        <w:tc>
          <w:tcPr>
            <w:tcW w:w="2938" w:type="pct"/>
            <w:tcBorders>
              <w:top w:val="nil"/>
              <w:left w:val="nil"/>
              <w:bottom w:val="nil"/>
              <w:right w:val="nil"/>
            </w:tcBorders>
            <w:shd w:val="clear" w:color="auto" w:fill="auto"/>
            <w:noWrap/>
            <w:vAlign w:val="center"/>
            <w:hideMark/>
          </w:tcPr>
          <w:p w14:paraId="623852F2" w14:textId="77777777" w:rsidR="003849D9" w:rsidRPr="003A4111" w:rsidRDefault="003849D9" w:rsidP="003849D9">
            <w:pPr>
              <w:rPr>
                <w:rFonts w:eastAsia="Times New Roman"/>
                <w:sz w:val="12"/>
                <w:szCs w:val="12"/>
              </w:rPr>
            </w:pPr>
          </w:p>
        </w:tc>
        <w:tc>
          <w:tcPr>
            <w:tcW w:w="371" w:type="pct"/>
            <w:tcBorders>
              <w:top w:val="nil"/>
              <w:left w:val="nil"/>
              <w:bottom w:val="nil"/>
              <w:right w:val="nil"/>
            </w:tcBorders>
            <w:shd w:val="clear" w:color="auto" w:fill="auto"/>
            <w:noWrap/>
            <w:vAlign w:val="center"/>
            <w:hideMark/>
          </w:tcPr>
          <w:p w14:paraId="25D30B7F" w14:textId="77777777" w:rsidR="003849D9" w:rsidRPr="003A4111" w:rsidRDefault="003849D9" w:rsidP="003849D9">
            <w:pPr>
              <w:jc w:val="center"/>
              <w:rPr>
                <w:rFonts w:eastAsia="Times New Roman"/>
                <w:sz w:val="12"/>
                <w:szCs w:val="12"/>
              </w:rPr>
            </w:pPr>
          </w:p>
        </w:tc>
        <w:tc>
          <w:tcPr>
            <w:tcW w:w="846" w:type="pct"/>
            <w:tcBorders>
              <w:top w:val="nil"/>
              <w:left w:val="nil"/>
              <w:bottom w:val="nil"/>
              <w:right w:val="nil"/>
            </w:tcBorders>
            <w:shd w:val="clear" w:color="auto" w:fill="auto"/>
            <w:noWrap/>
            <w:vAlign w:val="center"/>
            <w:hideMark/>
          </w:tcPr>
          <w:p w14:paraId="2C6CCB19" w14:textId="77777777" w:rsidR="003849D9" w:rsidRPr="003A4111" w:rsidRDefault="003849D9" w:rsidP="00065019">
            <w:pPr>
              <w:jc w:val="right"/>
              <w:rPr>
                <w:rFonts w:eastAsia="Times New Roman"/>
                <w:sz w:val="12"/>
                <w:szCs w:val="12"/>
              </w:rPr>
            </w:pPr>
          </w:p>
        </w:tc>
        <w:tc>
          <w:tcPr>
            <w:tcW w:w="845" w:type="pct"/>
            <w:tcBorders>
              <w:top w:val="nil"/>
              <w:left w:val="nil"/>
              <w:bottom w:val="nil"/>
              <w:right w:val="nil"/>
            </w:tcBorders>
            <w:shd w:val="clear" w:color="auto" w:fill="auto"/>
            <w:noWrap/>
            <w:vAlign w:val="center"/>
            <w:hideMark/>
          </w:tcPr>
          <w:p w14:paraId="64B84E41" w14:textId="77777777" w:rsidR="003849D9" w:rsidRPr="003A4111" w:rsidRDefault="003849D9" w:rsidP="00065019">
            <w:pPr>
              <w:jc w:val="right"/>
              <w:rPr>
                <w:rFonts w:eastAsia="Times New Roman"/>
                <w:sz w:val="12"/>
                <w:szCs w:val="12"/>
              </w:rPr>
            </w:pPr>
          </w:p>
        </w:tc>
      </w:tr>
      <w:tr w:rsidR="003849D9" w:rsidRPr="00A64CC0" w14:paraId="016A8A5F" w14:textId="77777777" w:rsidTr="001A7C10">
        <w:trPr>
          <w:trHeight w:val="227"/>
          <w:jc w:val="center"/>
        </w:trPr>
        <w:tc>
          <w:tcPr>
            <w:tcW w:w="2938" w:type="pct"/>
            <w:tcBorders>
              <w:top w:val="single" w:sz="4" w:space="0" w:color="auto"/>
              <w:left w:val="nil"/>
              <w:bottom w:val="single" w:sz="4" w:space="0" w:color="auto"/>
              <w:right w:val="nil"/>
            </w:tcBorders>
            <w:shd w:val="clear" w:color="auto" w:fill="F2F2F2"/>
            <w:vAlign w:val="center"/>
            <w:hideMark/>
          </w:tcPr>
          <w:p w14:paraId="27137547" w14:textId="77777777" w:rsidR="003849D9" w:rsidRPr="00A64CC0" w:rsidRDefault="003849D9" w:rsidP="003849D9">
            <w:pPr>
              <w:rPr>
                <w:rFonts w:eastAsia="Times New Roman"/>
                <w:b/>
                <w:bCs/>
                <w:sz w:val="18"/>
                <w:szCs w:val="18"/>
              </w:rPr>
            </w:pPr>
            <w:r w:rsidRPr="00A64CC0">
              <w:rPr>
                <w:rFonts w:eastAsia="Times New Roman"/>
                <w:b/>
                <w:bCs/>
                <w:sz w:val="18"/>
                <w:szCs w:val="18"/>
              </w:rPr>
              <w:t>AUMENTO/DISMINUCIÓN NETA DEL EFECTIVO O EQUIVALENTES</w:t>
            </w:r>
          </w:p>
        </w:tc>
        <w:tc>
          <w:tcPr>
            <w:tcW w:w="371" w:type="pct"/>
            <w:tcBorders>
              <w:top w:val="single" w:sz="4" w:space="0" w:color="auto"/>
              <w:left w:val="nil"/>
              <w:bottom w:val="single" w:sz="4" w:space="0" w:color="auto"/>
              <w:right w:val="nil"/>
            </w:tcBorders>
            <w:shd w:val="clear" w:color="auto" w:fill="F2F2F2"/>
            <w:vAlign w:val="center"/>
            <w:hideMark/>
          </w:tcPr>
          <w:p w14:paraId="3086E90E" w14:textId="77777777" w:rsidR="003849D9" w:rsidRPr="00A64CC0" w:rsidRDefault="003849D9" w:rsidP="003849D9">
            <w:pPr>
              <w:jc w:val="center"/>
              <w:rPr>
                <w:rFonts w:eastAsia="Times New Roman"/>
                <w:b/>
                <w:bCs/>
                <w:sz w:val="18"/>
                <w:szCs w:val="18"/>
              </w:rPr>
            </w:pPr>
          </w:p>
        </w:tc>
        <w:tc>
          <w:tcPr>
            <w:tcW w:w="846" w:type="pct"/>
            <w:tcBorders>
              <w:top w:val="single" w:sz="4" w:space="0" w:color="auto"/>
              <w:left w:val="nil"/>
              <w:bottom w:val="single" w:sz="4" w:space="0" w:color="auto"/>
              <w:right w:val="nil"/>
            </w:tcBorders>
            <w:shd w:val="clear" w:color="auto" w:fill="F2F2F2"/>
            <w:vAlign w:val="center"/>
            <w:hideMark/>
          </w:tcPr>
          <w:p w14:paraId="42A783C5" w14:textId="77777777" w:rsidR="003849D9" w:rsidRDefault="003849D9"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(219.139,52)</w:t>
            </w:r>
          </w:p>
        </w:tc>
        <w:tc>
          <w:tcPr>
            <w:tcW w:w="845" w:type="pct"/>
            <w:tcBorders>
              <w:top w:val="single" w:sz="4" w:space="0" w:color="auto"/>
              <w:left w:val="nil"/>
              <w:bottom w:val="single" w:sz="4" w:space="0" w:color="auto"/>
              <w:right w:val="nil"/>
            </w:tcBorders>
            <w:shd w:val="clear" w:color="auto" w:fill="F2F2F2"/>
            <w:vAlign w:val="center"/>
            <w:hideMark/>
          </w:tcPr>
          <w:p w14:paraId="2F76F38F" w14:textId="77777777" w:rsidR="003849D9" w:rsidRDefault="003849D9" w:rsidP="00065019">
            <w:pPr>
              <w:jc w:val="right"/>
              <w:rPr>
                <w:b/>
                <w:bCs/>
                <w:sz w:val="18"/>
                <w:szCs w:val="18"/>
              </w:rPr>
            </w:pPr>
            <w:r>
              <w:rPr>
                <w:b/>
                <w:bCs/>
                <w:sz w:val="18"/>
                <w:szCs w:val="18"/>
              </w:rPr>
              <w:t>777.021,53</w:t>
            </w:r>
          </w:p>
        </w:tc>
      </w:tr>
      <w:tr w:rsidR="003849D9" w:rsidRPr="00A64CC0" w14:paraId="6BF4C5B2" w14:textId="77777777" w:rsidTr="00065019">
        <w:trPr>
          <w:trHeight w:val="227"/>
          <w:jc w:val="center"/>
        </w:trPr>
        <w:tc>
          <w:tcPr>
            <w:tcW w:w="2938" w:type="pct"/>
            <w:tcBorders>
              <w:top w:val="nil"/>
              <w:left w:val="nil"/>
              <w:bottom w:val="nil"/>
              <w:right w:val="nil"/>
            </w:tcBorders>
            <w:shd w:val="clear" w:color="auto" w:fill="auto"/>
            <w:noWrap/>
            <w:vAlign w:val="center"/>
            <w:hideMark/>
          </w:tcPr>
          <w:p w14:paraId="6F4B14AF" w14:textId="77777777" w:rsidR="003849D9" w:rsidRPr="00A64CC0" w:rsidRDefault="003849D9" w:rsidP="003849D9">
            <w:pPr>
              <w:rPr>
                <w:rFonts w:eastAsia="Times New Roman"/>
                <w:sz w:val="18"/>
                <w:szCs w:val="18"/>
              </w:rPr>
            </w:pPr>
            <w:r w:rsidRPr="00A64CC0">
              <w:rPr>
                <w:rFonts w:eastAsia="Times New Roman"/>
                <w:sz w:val="18"/>
                <w:szCs w:val="18"/>
              </w:rPr>
              <w:t>Efectivo o equivalentes al comienzo del ejercicio</w:t>
            </w:r>
          </w:p>
        </w:tc>
        <w:tc>
          <w:tcPr>
            <w:tcW w:w="371" w:type="pct"/>
            <w:tcBorders>
              <w:top w:val="nil"/>
              <w:left w:val="nil"/>
              <w:bottom w:val="nil"/>
              <w:right w:val="nil"/>
            </w:tcBorders>
            <w:shd w:val="clear" w:color="auto" w:fill="auto"/>
            <w:noWrap/>
            <w:vAlign w:val="center"/>
            <w:hideMark/>
          </w:tcPr>
          <w:p w14:paraId="2E6563EE" w14:textId="77777777" w:rsidR="003849D9" w:rsidRPr="00A64CC0" w:rsidRDefault="003849D9" w:rsidP="003849D9">
            <w:pPr>
              <w:jc w:val="center"/>
              <w:rPr>
                <w:rFonts w:eastAsia="Times New Roman"/>
                <w:sz w:val="18"/>
                <w:szCs w:val="18"/>
              </w:rPr>
            </w:pPr>
          </w:p>
        </w:tc>
        <w:tc>
          <w:tcPr>
            <w:tcW w:w="846" w:type="pct"/>
            <w:tcBorders>
              <w:top w:val="nil"/>
              <w:left w:val="nil"/>
              <w:bottom w:val="nil"/>
              <w:right w:val="nil"/>
            </w:tcBorders>
            <w:shd w:val="clear" w:color="auto" w:fill="auto"/>
            <w:noWrap/>
            <w:vAlign w:val="center"/>
            <w:hideMark/>
          </w:tcPr>
          <w:p w14:paraId="02B76520" w14:textId="77777777" w:rsidR="003849D9" w:rsidRDefault="003849D9" w:rsidP="0006501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1.647.812,68</w:t>
            </w:r>
          </w:p>
        </w:tc>
        <w:tc>
          <w:tcPr>
            <w:tcW w:w="845" w:type="pct"/>
            <w:tcBorders>
              <w:top w:val="nil"/>
              <w:left w:val="nil"/>
              <w:bottom w:val="nil"/>
              <w:right w:val="nil"/>
            </w:tcBorders>
            <w:shd w:val="clear" w:color="auto" w:fill="auto"/>
            <w:noWrap/>
            <w:vAlign w:val="center"/>
            <w:hideMark/>
          </w:tcPr>
          <w:p w14:paraId="50AF30ED" w14:textId="77777777" w:rsidR="003849D9" w:rsidRPr="00A64CC0" w:rsidRDefault="003849D9" w:rsidP="00065019">
            <w:pPr>
              <w:jc w:val="right"/>
              <w:rPr>
                <w:rFonts w:eastAsia="Times New Roman"/>
                <w:sz w:val="18"/>
                <w:szCs w:val="18"/>
              </w:rPr>
            </w:pPr>
            <w:r w:rsidRPr="00A64CC0">
              <w:rPr>
                <w:rFonts w:eastAsia="Times New Roman"/>
                <w:sz w:val="18"/>
                <w:szCs w:val="18"/>
              </w:rPr>
              <w:t>870.791,15</w:t>
            </w:r>
          </w:p>
        </w:tc>
      </w:tr>
      <w:tr w:rsidR="003849D9" w:rsidRPr="00A64CC0" w14:paraId="5998B2F8" w14:textId="77777777" w:rsidTr="00065019">
        <w:trPr>
          <w:trHeight w:val="227"/>
          <w:jc w:val="center"/>
        </w:trPr>
        <w:tc>
          <w:tcPr>
            <w:tcW w:w="2938" w:type="pct"/>
            <w:tcBorders>
              <w:top w:val="nil"/>
              <w:left w:val="nil"/>
              <w:bottom w:val="single" w:sz="4" w:space="0" w:color="auto"/>
              <w:right w:val="nil"/>
            </w:tcBorders>
            <w:shd w:val="clear" w:color="auto" w:fill="auto"/>
            <w:noWrap/>
            <w:vAlign w:val="center"/>
            <w:hideMark/>
          </w:tcPr>
          <w:p w14:paraId="28512717" w14:textId="77777777" w:rsidR="003849D9" w:rsidRPr="00A64CC0" w:rsidRDefault="003849D9" w:rsidP="003849D9">
            <w:pPr>
              <w:rPr>
                <w:rFonts w:eastAsia="Times New Roman"/>
                <w:sz w:val="18"/>
                <w:szCs w:val="18"/>
              </w:rPr>
            </w:pPr>
            <w:r w:rsidRPr="00A64CC0">
              <w:rPr>
                <w:rFonts w:eastAsia="Times New Roman"/>
                <w:sz w:val="18"/>
                <w:szCs w:val="18"/>
              </w:rPr>
              <w:t>Efectivo o equivalentes al final del ejercicio</w:t>
            </w:r>
          </w:p>
        </w:tc>
        <w:tc>
          <w:tcPr>
            <w:tcW w:w="371" w:type="pct"/>
            <w:tcBorders>
              <w:top w:val="nil"/>
              <w:left w:val="nil"/>
              <w:bottom w:val="single" w:sz="4" w:space="0" w:color="auto"/>
              <w:right w:val="nil"/>
            </w:tcBorders>
            <w:shd w:val="clear" w:color="auto" w:fill="auto"/>
            <w:noWrap/>
            <w:vAlign w:val="center"/>
            <w:hideMark/>
          </w:tcPr>
          <w:p w14:paraId="4C5566B6" w14:textId="77777777" w:rsidR="003849D9" w:rsidRPr="00A64CC0" w:rsidRDefault="003849D9" w:rsidP="003849D9">
            <w:pPr>
              <w:jc w:val="center"/>
              <w:rPr>
                <w:rFonts w:eastAsia="Times New Roman"/>
                <w:sz w:val="18"/>
                <w:szCs w:val="18"/>
              </w:rPr>
            </w:pPr>
          </w:p>
        </w:tc>
        <w:tc>
          <w:tcPr>
            <w:tcW w:w="846" w:type="pct"/>
            <w:tcBorders>
              <w:top w:val="nil"/>
              <w:left w:val="nil"/>
              <w:bottom w:val="single" w:sz="4" w:space="0" w:color="auto"/>
              <w:right w:val="nil"/>
            </w:tcBorders>
            <w:shd w:val="clear" w:color="auto" w:fill="auto"/>
            <w:noWrap/>
            <w:vAlign w:val="center"/>
            <w:hideMark/>
          </w:tcPr>
          <w:p w14:paraId="0352274B" w14:textId="77777777" w:rsidR="003849D9" w:rsidRDefault="003849D9" w:rsidP="00065019">
            <w:pPr>
              <w:jc w:val="right"/>
              <w:rPr>
                <w:sz w:val="18"/>
                <w:szCs w:val="18"/>
              </w:rPr>
            </w:pPr>
            <w:r>
              <w:rPr>
                <w:sz w:val="18"/>
                <w:szCs w:val="18"/>
              </w:rPr>
              <w:t>1.428.673,16</w:t>
            </w:r>
          </w:p>
        </w:tc>
        <w:tc>
          <w:tcPr>
            <w:tcW w:w="845" w:type="pct"/>
            <w:tcBorders>
              <w:top w:val="nil"/>
              <w:left w:val="nil"/>
              <w:bottom w:val="single" w:sz="4" w:space="0" w:color="auto"/>
              <w:right w:val="nil"/>
            </w:tcBorders>
            <w:shd w:val="clear" w:color="auto" w:fill="auto"/>
            <w:noWrap/>
            <w:vAlign w:val="center"/>
            <w:hideMark/>
          </w:tcPr>
          <w:p w14:paraId="01BA0D31" w14:textId="77777777" w:rsidR="003849D9" w:rsidRPr="00A64CC0" w:rsidRDefault="003849D9" w:rsidP="00065019">
            <w:pPr>
              <w:jc w:val="right"/>
              <w:rPr>
                <w:rFonts w:eastAsia="Times New Roman"/>
                <w:sz w:val="18"/>
                <w:szCs w:val="18"/>
              </w:rPr>
            </w:pPr>
            <w:r w:rsidRPr="00A64CC0">
              <w:rPr>
                <w:rFonts w:eastAsia="Times New Roman"/>
                <w:sz w:val="18"/>
                <w:szCs w:val="18"/>
              </w:rPr>
              <w:t>1.647.812,68</w:t>
            </w:r>
          </w:p>
        </w:tc>
      </w:tr>
    </w:tbl>
    <w:p w14:paraId="5216BE56" w14:textId="77777777" w:rsidR="006220A2" w:rsidRDefault="006220A2"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both"/>
        <w:outlineLvl w:val="0"/>
        <w:rPr>
          <w:i/>
          <w:iCs/>
          <w:sz w:val="16"/>
          <w:szCs w:val="18"/>
        </w:rPr>
      </w:pPr>
    </w:p>
    <w:p w14:paraId="4D90D12B" w14:textId="77777777" w:rsidR="006220A2" w:rsidRDefault="006220A2" w:rsidP="003A4111">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before="60"/>
        <w:jc w:val="center"/>
        <w:outlineLvl w:val="0"/>
        <w:rPr>
          <w:i/>
          <w:iCs/>
          <w:sz w:val="16"/>
          <w:szCs w:val="18"/>
        </w:rPr>
      </w:pPr>
      <w:r w:rsidRPr="002932A1">
        <w:rPr>
          <w:i/>
          <w:iCs/>
          <w:sz w:val="16"/>
          <w:szCs w:val="18"/>
        </w:rPr>
        <w:t>Las Cuentas Anuales de la Sociedad, que forman u</w:t>
      </w:r>
      <w:r>
        <w:rPr>
          <w:i/>
          <w:iCs/>
          <w:sz w:val="16"/>
          <w:szCs w:val="18"/>
        </w:rPr>
        <w:t>na sola unidad, comprenden este Estado de Flujos de Efectivo, el Balance</w:t>
      </w:r>
      <w:r w:rsidRPr="002932A1">
        <w:rPr>
          <w:i/>
          <w:iCs/>
          <w:sz w:val="16"/>
          <w:szCs w:val="18"/>
        </w:rPr>
        <w:t>, las Cuentas de Pérdidas y Ganancias, el Estado de Cambios en el Patrimonio</w:t>
      </w:r>
      <w:r>
        <w:rPr>
          <w:i/>
          <w:iCs/>
          <w:sz w:val="16"/>
          <w:szCs w:val="18"/>
        </w:rPr>
        <w:t xml:space="preserve"> Neto</w:t>
      </w:r>
      <w:r w:rsidRPr="002932A1">
        <w:rPr>
          <w:i/>
          <w:iCs/>
          <w:sz w:val="16"/>
          <w:szCs w:val="18"/>
        </w:rPr>
        <w:t xml:space="preserve"> adjuntos y la Memoria Anual adjunta que consta </w:t>
      </w:r>
      <w:r>
        <w:rPr>
          <w:i/>
          <w:iCs/>
          <w:sz w:val="16"/>
          <w:szCs w:val="18"/>
        </w:rPr>
        <w:t>de 19</w:t>
      </w:r>
      <w:r w:rsidRPr="002932A1">
        <w:rPr>
          <w:i/>
          <w:iCs/>
          <w:sz w:val="16"/>
          <w:szCs w:val="18"/>
        </w:rPr>
        <w:t xml:space="preserve"> Notas</w:t>
      </w:r>
    </w:p>
    <w:p w14:paraId="47B535FD" w14:textId="77777777" w:rsidR="0071126B" w:rsidRPr="002932A1" w:rsidRDefault="0071126B" w:rsidP="0045206D">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before="60"/>
        <w:jc w:val="center"/>
        <w:outlineLvl w:val="0"/>
        <w:rPr>
          <w:b/>
          <w:snapToGrid w:val="0"/>
          <w:sz w:val="18"/>
        </w:rPr>
      </w:pPr>
    </w:p>
    <w:p w14:paraId="0DE4FCCF" w14:textId="77777777" w:rsidR="0071126B" w:rsidRDefault="0071126B" w:rsidP="006220A2">
      <w:pPr>
        <w:jc w:val="center"/>
        <w:rPr>
          <w:sz w:val="20"/>
        </w:rPr>
        <w:sectPr w:rsidR="0071126B" w:rsidSect="00A75530">
          <w:pgSz w:w="11900" w:h="16840" w:code="9"/>
          <w:pgMar w:top="1985" w:right="1134" w:bottom="1701" w:left="1701" w:header="1247" w:footer="1134" w:gutter="0"/>
          <w:pgNumType w:start="1"/>
          <w:cols w:space="708"/>
          <w:docGrid w:linePitch="360"/>
        </w:sectPr>
      </w:pPr>
    </w:p>
    <w:p w14:paraId="24C35922" w14:textId="77777777" w:rsidR="006220A2" w:rsidRPr="00D9530C" w:rsidRDefault="006220A2" w:rsidP="006220A2">
      <w:pPr>
        <w:jc w:val="center"/>
        <w:rPr>
          <w:b/>
          <w:sz w:val="28"/>
          <w:szCs w:val="28"/>
        </w:rPr>
      </w:pPr>
      <w:r w:rsidRPr="00D9530C">
        <w:rPr>
          <w:b/>
          <w:sz w:val="28"/>
          <w:szCs w:val="28"/>
        </w:rPr>
        <w:lastRenderedPageBreak/>
        <w:t>PROMOTUR</w:t>
      </w:r>
      <w:r w:rsidR="00FF5498">
        <w:rPr>
          <w:b/>
          <w:sz w:val="28"/>
          <w:szCs w:val="28"/>
        </w:rPr>
        <w:t xml:space="preserve"> </w:t>
      </w:r>
      <w:r w:rsidR="00FF5498" w:rsidRPr="00B10DE7">
        <w:rPr>
          <w:b/>
          <w:sz w:val="28"/>
          <w:szCs w:val="28"/>
        </w:rPr>
        <w:t>TURISMO CANARIAS</w:t>
      </w:r>
      <w:r w:rsidRPr="00B10DE7">
        <w:rPr>
          <w:b/>
          <w:sz w:val="28"/>
          <w:szCs w:val="28"/>
        </w:rPr>
        <w:t xml:space="preserve"> S.</w:t>
      </w:r>
      <w:r w:rsidRPr="00D9530C">
        <w:rPr>
          <w:b/>
          <w:sz w:val="28"/>
          <w:szCs w:val="28"/>
        </w:rPr>
        <w:t>A.</w:t>
      </w:r>
    </w:p>
    <w:p w14:paraId="753F2F36" w14:textId="77777777" w:rsidR="006220A2" w:rsidRPr="00D9530C" w:rsidRDefault="006220A2" w:rsidP="006220A2">
      <w:pPr>
        <w:jc w:val="center"/>
        <w:rPr>
          <w:b/>
          <w:sz w:val="28"/>
          <w:szCs w:val="28"/>
        </w:rPr>
      </w:pPr>
    </w:p>
    <w:p w14:paraId="14031DDC" w14:textId="77777777" w:rsidR="006220A2" w:rsidRPr="00D9530C" w:rsidRDefault="006220A2" w:rsidP="006220A2">
      <w:pPr>
        <w:jc w:val="center"/>
        <w:rPr>
          <w:b/>
          <w:sz w:val="28"/>
          <w:szCs w:val="28"/>
        </w:rPr>
      </w:pPr>
      <w:r>
        <w:rPr>
          <w:b/>
          <w:sz w:val="28"/>
          <w:szCs w:val="28"/>
        </w:rPr>
        <w:t>Memoria del Ejerc</w:t>
      </w:r>
      <w:r w:rsidR="00403F0F">
        <w:rPr>
          <w:b/>
          <w:sz w:val="28"/>
          <w:szCs w:val="28"/>
        </w:rPr>
        <w:t>icio 2018</w:t>
      </w:r>
    </w:p>
    <w:p w14:paraId="569D427C" w14:textId="77777777" w:rsidR="006220A2" w:rsidRDefault="006220A2" w:rsidP="006220A2">
      <w:pPr>
        <w:rPr>
          <w:sz w:val="20"/>
        </w:rPr>
      </w:pPr>
    </w:p>
    <w:p w14:paraId="6A0C6669" w14:textId="77777777" w:rsidR="006220A2" w:rsidRDefault="006220A2" w:rsidP="006220A2">
      <w:pPr>
        <w:rPr>
          <w:sz w:val="20"/>
        </w:rPr>
      </w:pPr>
    </w:p>
    <w:p w14:paraId="78C1C267" w14:textId="77777777" w:rsidR="006220A2" w:rsidRPr="00070E05" w:rsidRDefault="006220A2" w:rsidP="006220A2">
      <w:pPr>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lear" w:pos="644"/>
        </w:tabs>
        <w:ind w:left="284" w:hanging="284"/>
        <w:outlineLvl w:val="9"/>
        <w:rPr>
          <w:b/>
          <w:snapToGrid w:val="0"/>
          <w:sz w:val="22"/>
          <w:szCs w:val="22"/>
        </w:rPr>
      </w:pPr>
      <w:r w:rsidRPr="00070E05">
        <w:rPr>
          <w:b/>
          <w:snapToGrid w:val="0"/>
          <w:sz w:val="22"/>
          <w:szCs w:val="22"/>
        </w:rPr>
        <w:t>Información general</w:t>
      </w:r>
    </w:p>
    <w:p w14:paraId="3C4BD7B7" w14:textId="77777777" w:rsidR="006220A2" w:rsidRPr="00B1079A" w:rsidRDefault="006220A2" w:rsidP="006220A2">
      <w:pPr>
        <w:widowControl w:val="0"/>
        <w:spacing w:before="120"/>
        <w:jc w:val="both"/>
        <w:rPr>
          <w:snapToGrid w:val="0"/>
          <w:sz w:val="20"/>
          <w:szCs w:val="22"/>
        </w:rPr>
      </w:pPr>
      <w:r w:rsidRPr="00B1079A">
        <w:rPr>
          <w:snapToGrid w:val="0"/>
          <w:sz w:val="20"/>
          <w:szCs w:val="22"/>
        </w:rPr>
        <w:t xml:space="preserve">El Gobierno de Canarias, en sesión celebrada el día 21 de diciembre de 2004, acordó constituir </w:t>
      </w:r>
      <w:smartTag w:uri="urn:schemas-microsoft-com:office:smarttags" w:element="PersonName">
        <w:smartTagPr>
          <w:attr w:name="ProductID" w:val="la Empresa P￺blica"/>
        </w:smartTagPr>
        <w:r w:rsidRPr="00B1079A">
          <w:rPr>
            <w:snapToGrid w:val="0"/>
            <w:sz w:val="20"/>
            <w:szCs w:val="22"/>
          </w:rPr>
          <w:t>la Empresa Pública</w:t>
        </w:r>
      </w:smartTag>
      <w:r w:rsidRPr="00B1079A">
        <w:rPr>
          <w:snapToGrid w:val="0"/>
          <w:sz w:val="20"/>
          <w:szCs w:val="22"/>
        </w:rPr>
        <w:t xml:space="preserve">, </w:t>
      </w:r>
      <w:r w:rsidRPr="003A4111">
        <w:rPr>
          <w:b/>
          <w:snapToGrid w:val="0"/>
          <w:sz w:val="20"/>
          <w:szCs w:val="22"/>
        </w:rPr>
        <w:t>Promotur Turismo Canarias, S.A.</w:t>
      </w:r>
      <w:r w:rsidRPr="00B1079A">
        <w:rPr>
          <w:snapToGrid w:val="0"/>
          <w:sz w:val="20"/>
          <w:szCs w:val="22"/>
        </w:rPr>
        <w:t xml:space="preserve">, Sociedad Unipersonal, con un capital social inicial de 600.000,00 euros, suscrito íntegramente por </w:t>
      </w:r>
      <w:smartTag w:uri="urn:schemas-microsoft-com:office:smarttags" w:element="PersonName">
        <w:smartTagPr>
          <w:attr w:name="ProductID" w:val="la Comunidad Aut￳noma"/>
        </w:smartTagPr>
        <w:r w:rsidRPr="00B1079A">
          <w:rPr>
            <w:snapToGrid w:val="0"/>
            <w:sz w:val="20"/>
            <w:szCs w:val="22"/>
          </w:rPr>
          <w:t>la Comunidad Autónoma</w:t>
        </w:r>
      </w:smartTag>
      <w:r w:rsidRPr="00B1079A">
        <w:rPr>
          <w:snapToGrid w:val="0"/>
          <w:sz w:val="20"/>
          <w:szCs w:val="22"/>
        </w:rPr>
        <w:t xml:space="preserve"> de Canarias, y quedando la misma adscrita a </w:t>
      </w:r>
      <w:r>
        <w:rPr>
          <w:snapToGrid w:val="0"/>
          <w:sz w:val="20"/>
          <w:szCs w:val="22"/>
        </w:rPr>
        <w:t xml:space="preserve">la </w:t>
      </w:r>
      <w:r w:rsidRPr="004F1978">
        <w:rPr>
          <w:snapToGrid w:val="0"/>
          <w:sz w:val="20"/>
          <w:szCs w:val="22"/>
        </w:rPr>
        <w:t>Consejería de Turismo, Cultura y Deportes.</w:t>
      </w:r>
    </w:p>
    <w:p w14:paraId="449F4958" w14:textId="77777777" w:rsidR="006220A2" w:rsidRPr="00B1079A" w:rsidRDefault="006220A2" w:rsidP="006220A2">
      <w:pPr>
        <w:widowControl w:val="0"/>
        <w:spacing w:before="120"/>
        <w:jc w:val="both"/>
        <w:rPr>
          <w:snapToGrid w:val="0"/>
          <w:sz w:val="20"/>
          <w:szCs w:val="22"/>
        </w:rPr>
      </w:pPr>
      <w:r w:rsidRPr="00B1079A">
        <w:rPr>
          <w:snapToGrid w:val="0"/>
          <w:sz w:val="20"/>
          <w:szCs w:val="22"/>
        </w:rPr>
        <w:t xml:space="preserve">Promotur Turismo Canarias, S.A. (en adelante también Promotur o la Sociedad) se constituyó por tiempo indefinido ante el Notario D. Juan Alfonso Cabello Cascajo, el 11 de marzo de 2005, y figura inscrita en el </w:t>
      </w:r>
      <w:smartTag w:uri="urn:schemas-microsoft-com:office:smarttags" w:element="PersonName">
        <w:smartTagPr>
          <w:attr w:name="ProductID" w:val="Registro Mercantil"/>
        </w:smartTagPr>
        <w:r w:rsidRPr="00B1079A">
          <w:rPr>
            <w:snapToGrid w:val="0"/>
            <w:sz w:val="20"/>
            <w:szCs w:val="22"/>
          </w:rPr>
          <w:t>Registro Mercantil</w:t>
        </w:r>
      </w:smartTag>
      <w:r w:rsidRPr="00B1079A">
        <w:rPr>
          <w:snapToGrid w:val="0"/>
          <w:sz w:val="20"/>
          <w:szCs w:val="22"/>
        </w:rPr>
        <w:t xml:space="preserve"> de la Provincia de Las Palmas, con fecha 25 de julio de 2005. La Sociedad dio comienzo a sus operaciones el 11 de marzo de 2005. Su domicilio social está situado en </w:t>
      </w:r>
      <w:smartTag w:uri="urn:schemas-microsoft-com:office:smarttags" w:element="PersonName">
        <w:smartTagPr>
          <w:attr w:name="ProductID" w:val="la calle V￭ctor Hugo"/>
        </w:smartTagPr>
        <w:r w:rsidRPr="00B1079A">
          <w:rPr>
            <w:snapToGrid w:val="0"/>
            <w:sz w:val="20"/>
            <w:szCs w:val="22"/>
          </w:rPr>
          <w:t>la calle Víctor Hugo</w:t>
        </w:r>
      </w:smartTag>
      <w:r w:rsidRPr="00B1079A">
        <w:rPr>
          <w:snapToGrid w:val="0"/>
          <w:sz w:val="20"/>
          <w:szCs w:val="22"/>
        </w:rPr>
        <w:t>, n</w:t>
      </w:r>
      <w:r>
        <w:rPr>
          <w:snapToGrid w:val="0"/>
          <w:sz w:val="20"/>
          <w:szCs w:val="22"/>
        </w:rPr>
        <w:t>º</w:t>
      </w:r>
      <w:r w:rsidRPr="00B1079A">
        <w:rPr>
          <w:snapToGrid w:val="0"/>
          <w:sz w:val="20"/>
          <w:szCs w:val="22"/>
        </w:rPr>
        <w:t xml:space="preserve"> 60</w:t>
      </w:r>
      <w:r>
        <w:rPr>
          <w:snapToGrid w:val="0"/>
          <w:sz w:val="20"/>
          <w:szCs w:val="22"/>
        </w:rPr>
        <w:t>,</w:t>
      </w:r>
      <w:r w:rsidRPr="00B1079A">
        <w:rPr>
          <w:snapToGrid w:val="0"/>
          <w:sz w:val="20"/>
          <w:szCs w:val="22"/>
        </w:rPr>
        <w:t xml:space="preserve"> de Las Palmas de Gran Canaria. </w:t>
      </w:r>
    </w:p>
    <w:p w14:paraId="2DCD81D9" w14:textId="77777777" w:rsidR="006220A2" w:rsidRPr="00B1079A" w:rsidRDefault="006220A2" w:rsidP="006220A2">
      <w:pPr>
        <w:widowControl w:val="0"/>
        <w:spacing w:before="120"/>
        <w:jc w:val="both"/>
        <w:rPr>
          <w:snapToGrid w:val="0"/>
          <w:sz w:val="20"/>
          <w:szCs w:val="22"/>
        </w:rPr>
      </w:pPr>
      <w:r w:rsidRPr="00B1079A">
        <w:rPr>
          <w:snapToGrid w:val="0"/>
          <w:sz w:val="20"/>
          <w:szCs w:val="22"/>
        </w:rPr>
        <w:t>La Sociedad tiene por objeto social:</w:t>
      </w:r>
    </w:p>
    <w:p w14:paraId="3FFB233F" w14:textId="77777777" w:rsidR="006220A2" w:rsidRPr="00B1079A" w:rsidRDefault="006220A2" w:rsidP="006220A2">
      <w:pPr>
        <w:widowControl w:val="0"/>
        <w:spacing w:before="120"/>
        <w:jc w:val="both"/>
        <w:rPr>
          <w:snapToGrid w:val="0"/>
          <w:sz w:val="20"/>
          <w:szCs w:val="22"/>
        </w:rPr>
      </w:pPr>
      <w:r w:rsidRPr="00B1079A">
        <w:rPr>
          <w:snapToGrid w:val="0"/>
          <w:sz w:val="20"/>
          <w:szCs w:val="22"/>
        </w:rPr>
        <w:t>La realización de las actividades relacionadas con el estudio, promoción, fomento, difusión y comercialización de los distintos productos y servicios turísticos de Canarias y potenciación de la oferta turística del archipiélago.</w:t>
      </w:r>
    </w:p>
    <w:p w14:paraId="2083F152" w14:textId="77777777" w:rsidR="006220A2" w:rsidRPr="00B1079A" w:rsidRDefault="006220A2" w:rsidP="006220A2">
      <w:pPr>
        <w:widowControl w:val="0"/>
        <w:spacing w:before="120"/>
        <w:jc w:val="both"/>
        <w:rPr>
          <w:snapToGrid w:val="0"/>
          <w:sz w:val="20"/>
          <w:szCs w:val="22"/>
        </w:rPr>
      </w:pPr>
      <w:r w:rsidRPr="00B1079A">
        <w:rPr>
          <w:snapToGrid w:val="0"/>
          <w:sz w:val="20"/>
          <w:szCs w:val="22"/>
        </w:rPr>
        <w:t>Las actividades integrantes del objeto social podrán ser desarrolladas, total o parcialmente, de modo indirecto, mediante la titularidad de acciones o participaciones mercantiles con objeto idéntico o análogo.</w:t>
      </w:r>
    </w:p>
    <w:p w14:paraId="00CD8A92" w14:textId="77777777" w:rsidR="006220A2" w:rsidRDefault="006220A2" w:rsidP="006220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1"/>
        <w:jc w:val="both"/>
        <w:rPr>
          <w:snapToGrid w:val="0"/>
          <w:sz w:val="20"/>
          <w:szCs w:val="22"/>
        </w:rPr>
      </w:pPr>
    </w:p>
    <w:p w14:paraId="6849A3DB" w14:textId="77777777" w:rsidR="006220A2" w:rsidRPr="00B1079A" w:rsidRDefault="006220A2" w:rsidP="006220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1"/>
        <w:jc w:val="both"/>
        <w:rPr>
          <w:snapToGrid w:val="0"/>
          <w:sz w:val="20"/>
          <w:szCs w:val="22"/>
        </w:rPr>
      </w:pPr>
    </w:p>
    <w:p w14:paraId="6C1FF7D3" w14:textId="77777777" w:rsidR="006220A2" w:rsidRPr="00070E05" w:rsidRDefault="006220A2" w:rsidP="006220A2">
      <w:pPr>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lear" w:pos="644"/>
        </w:tabs>
        <w:ind w:left="284" w:hanging="284"/>
        <w:outlineLvl w:val="9"/>
        <w:rPr>
          <w:b/>
          <w:snapToGrid w:val="0"/>
          <w:sz w:val="22"/>
          <w:szCs w:val="22"/>
        </w:rPr>
      </w:pPr>
      <w:r w:rsidRPr="00070E05">
        <w:rPr>
          <w:b/>
          <w:snapToGrid w:val="0"/>
          <w:sz w:val="22"/>
          <w:szCs w:val="22"/>
        </w:rPr>
        <w:t>Bases de presentación</w:t>
      </w:r>
    </w:p>
    <w:p w14:paraId="21735B35" w14:textId="77777777" w:rsidR="006220A2" w:rsidRPr="00B1079A" w:rsidRDefault="006220A2" w:rsidP="006220A2">
      <w:pPr>
        <w:widowControl w:val="0"/>
        <w:tabs>
          <w:tab w:val="left" w:pos="284"/>
        </w:tabs>
        <w:spacing w:before="200"/>
        <w:rPr>
          <w:snapToGrid w:val="0"/>
          <w:sz w:val="20"/>
          <w:szCs w:val="22"/>
        </w:rPr>
      </w:pPr>
      <w:r w:rsidRPr="00B1079A">
        <w:rPr>
          <w:snapToGrid w:val="0"/>
          <w:sz w:val="20"/>
          <w:szCs w:val="22"/>
        </w:rPr>
        <w:t>a)</w:t>
      </w:r>
      <w:r w:rsidRPr="00B1079A">
        <w:rPr>
          <w:snapToGrid w:val="0"/>
          <w:sz w:val="20"/>
          <w:szCs w:val="22"/>
        </w:rPr>
        <w:tab/>
      </w:r>
      <w:r w:rsidRPr="00B1079A">
        <w:rPr>
          <w:snapToGrid w:val="0"/>
          <w:sz w:val="20"/>
          <w:szCs w:val="22"/>
          <w:u w:val="single"/>
        </w:rPr>
        <w:t>Imagen fiel</w:t>
      </w:r>
    </w:p>
    <w:p w14:paraId="617EB5FA" w14:textId="77777777" w:rsidR="006220A2" w:rsidRPr="00B1079A" w:rsidRDefault="006220A2" w:rsidP="006220A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snapToGrid w:val="0"/>
          <w:sz w:val="20"/>
          <w:szCs w:val="22"/>
        </w:rPr>
      </w:pPr>
      <w:r w:rsidRPr="00B1079A">
        <w:rPr>
          <w:snapToGrid w:val="0"/>
          <w:sz w:val="20"/>
          <w:szCs w:val="22"/>
        </w:rPr>
        <w:t>Las cuentas anuales se han preparado a partir de los registros contables de la Sociedad y se presentan de acuerdo con la legislación mercantil vigente y con las normas establecidas en el Plan General de Contabilidad aprobado mediante Real Decreto 1514/2007 y las modificaciones incorporadas a éste mediante RD 1159/2010, con objeto de mostrar la imagen fiel del patrimonio, de la situación financiera y de los resultados de la Sociedad, así como la veracidad de los flujos de efectivo incorporados en el estado de flujos de efectivo.</w:t>
      </w:r>
    </w:p>
    <w:p w14:paraId="55181ABA" w14:textId="77777777" w:rsidR="006220A2" w:rsidRPr="00C21ABC" w:rsidRDefault="006220A2" w:rsidP="006220A2">
      <w:pPr>
        <w:widowControl w:val="0"/>
        <w:tabs>
          <w:tab w:val="left" w:pos="284"/>
        </w:tabs>
        <w:spacing w:before="200"/>
        <w:rPr>
          <w:snapToGrid w:val="0"/>
          <w:sz w:val="20"/>
          <w:szCs w:val="22"/>
        </w:rPr>
      </w:pPr>
      <w:r w:rsidRPr="00C21ABC">
        <w:rPr>
          <w:snapToGrid w:val="0"/>
          <w:sz w:val="20"/>
          <w:szCs w:val="22"/>
        </w:rPr>
        <w:t>b)</w:t>
      </w:r>
      <w:r w:rsidRPr="00C21ABC">
        <w:rPr>
          <w:snapToGrid w:val="0"/>
          <w:sz w:val="20"/>
          <w:szCs w:val="22"/>
        </w:rPr>
        <w:tab/>
      </w:r>
      <w:r w:rsidRPr="00C21ABC">
        <w:rPr>
          <w:snapToGrid w:val="0"/>
          <w:sz w:val="20"/>
          <w:szCs w:val="22"/>
          <w:u w:val="single"/>
        </w:rPr>
        <w:t>Aspectos críticos de la valoración y estimación de la incertidumbre</w:t>
      </w:r>
    </w:p>
    <w:p w14:paraId="18C6226C" w14:textId="77777777" w:rsidR="006220A2" w:rsidRPr="00B1079A" w:rsidRDefault="006220A2" w:rsidP="006220A2">
      <w:pPr>
        <w:pStyle w:val="TextePrinc"/>
        <w:widowControl w:val="0"/>
        <w:tabs>
          <w:tab w:val="left" w:pos="-384"/>
          <w:tab w:val="left" w:pos="325"/>
          <w:tab w:val="left" w:pos="1035"/>
          <w:tab w:val="left" w:pos="1741"/>
          <w:tab w:val="left" w:pos="2451"/>
          <w:tab w:val="left" w:pos="3160"/>
          <w:tab w:val="left" w:pos="3864"/>
          <w:tab w:val="left" w:pos="4571"/>
          <w:tab w:val="left" w:pos="5280"/>
          <w:tab w:val="left" w:pos="5990"/>
          <w:tab w:val="left" w:pos="6699"/>
        </w:tabs>
        <w:overflowPunct/>
        <w:autoSpaceDE/>
        <w:autoSpaceDN/>
        <w:adjustRightInd/>
        <w:spacing w:before="120"/>
        <w:ind w:left="284"/>
        <w:jc w:val="both"/>
        <w:textAlignment w:val="auto"/>
        <w:rPr>
          <w:rFonts w:cs="Arial"/>
          <w:noProof w:val="0"/>
          <w:snapToGrid w:val="0"/>
          <w:sz w:val="20"/>
          <w:szCs w:val="22"/>
        </w:rPr>
      </w:pPr>
      <w:r w:rsidRPr="00B1079A">
        <w:rPr>
          <w:rFonts w:cs="Arial"/>
          <w:noProof w:val="0"/>
          <w:snapToGrid w:val="0"/>
          <w:sz w:val="20"/>
          <w:szCs w:val="22"/>
        </w:rPr>
        <w:t>La preparación de las cuentas anuales exige el uso por parte de la Sociedad de ciertas estimaciones y juicios en relación con el futuro que se evalúan continuamente y se basan en la experiencia histórica y otros factores, incluidas las expectativas de sucesos futuros que se creen razonables bajo las circunstancias.</w:t>
      </w:r>
    </w:p>
    <w:p w14:paraId="04233C57" w14:textId="77777777" w:rsidR="006220A2" w:rsidRPr="00C21ABC" w:rsidRDefault="006220A2" w:rsidP="006220A2">
      <w:pPr>
        <w:widowControl w:val="0"/>
        <w:tabs>
          <w:tab w:val="left" w:pos="284"/>
        </w:tabs>
        <w:spacing w:before="200"/>
        <w:rPr>
          <w:snapToGrid w:val="0"/>
          <w:sz w:val="20"/>
          <w:szCs w:val="22"/>
        </w:rPr>
      </w:pPr>
      <w:r w:rsidRPr="00C21ABC">
        <w:rPr>
          <w:snapToGrid w:val="0"/>
          <w:sz w:val="20"/>
          <w:szCs w:val="22"/>
        </w:rPr>
        <w:t>c)</w:t>
      </w:r>
      <w:r w:rsidRPr="00C21ABC">
        <w:rPr>
          <w:snapToGrid w:val="0"/>
          <w:sz w:val="20"/>
          <w:szCs w:val="22"/>
        </w:rPr>
        <w:tab/>
      </w:r>
      <w:r w:rsidRPr="00C21ABC">
        <w:rPr>
          <w:snapToGrid w:val="0"/>
          <w:sz w:val="20"/>
          <w:szCs w:val="22"/>
          <w:u w:val="single"/>
        </w:rPr>
        <w:t>Vidas útiles de los elementos de inmovilizado material</w:t>
      </w:r>
    </w:p>
    <w:p w14:paraId="56CE846F" w14:textId="77777777" w:rsidR="006220A2" w:rsidRPr="008047A7" w:rsidRDefault="006220A2" w:rsidP="006220A2">
      <w:pPr>
        <w:pStyle w:val="TextePrinc"/>
        <w:widowControl w:val="0"/>
        <w:tabs>
          <w:tab w:val="left" w:pos="-384"/>
          <w:tab w:val="left" w:pos="325"/>
          <w:tab w:val="left" w:pos="1035"/>
          <w:tab w:val="left" w:pos="1741"/>
          <w:tab w:val="left" w:pos="2451"/>
          <w:tab w:val="left" w:pos="3160"/>
          <w:tab w:val="left" w:pos="3864"/>
          <w:tab w:val="left" w:pos="4571"/>
          <w:tab w:val="left" w:pos="5280"/>
          <w:tab w:val="left" w:pos="5990"/>
          <w:tab w:val="left" w:pos="6699"/>
        </w:tabs>
        <w:overflowPunct/>
        <w:autoSpaceDE/>
        <w:autoSpaceDN/>
        <w:adjustRightInd/>
        <w:spacing w:before="120"/>
        <w:ind w:left="284"/>
        <w:jc w:val="both"/>
        <w:textAlignment w:val="auto"/>
        <w:rPr>
          <w:rFonts w:cs="Arial"/>
          <w:noProof w:val="0"/>
          <w:snapToGrid w:val="0"/>
          <w:sz w:val="20"/>
          <w:u w:val="single"/>
        </w:rPr>
      </w:pPr>
      <w:r w:rsidRPr="008047A7">
        <w:rPr>
          <w:rFonts w:cs="Arial"/>
          <w:noProof w:val="0"/>
          <w:snapToGrid w:val="0"/>
          <w:sz w:val="20"/>
        </w:rPr>
        <w:t>La dirección de la Sociedad determina las vidas útiles estimadas de los elementos de inmovilizado material, con excepción de los terrenos que no se amortizan, calculando la amortización sistemáticamente por el método lineal en función de dicha vida útil estimada, atendiendo a la depreciación efectivamente sufrida por su funcionamiento, uso y disfrute.</w:t>
      </w:r>
    </w:p>
    <w:p w14:paraId="4BBB8452" w14:textId="77777777" w:rsidR="006220A2" w:rsidRPr="00C21ABC" w:rsidRDefault="006220A2" w:rsidP="006220A2">
      <w:pPr>
        <w:widowControl w:val="0"/>
        <w:tabs>
          <w:tab w:val="left" w:pos="284"/>
        </w:tabs>
        <w:spacing w:before="200"/>
        <w:rPr>
          <w:snapToGrid w:val="0"/>
          <w:sz w:val="20"/>
          <w:szCs w:val="22"/>
        </w:rPr>
      </w:pPr>
      <w:r w:rsidRPr="00C21ABC">
        <w:rPr>
          <w:snapToGrid w:val="0"/>
          <w:sz w:val="20"/>
          <w:szCs w:val="22"/>
        </w:rPr>
        <w:t>d)</w:t>
      </w:r>
      <w:r w:rsidRPr="00C21ABC">
        <w:rPr>
          <w:snapToGrid w:val="0"/>
          <w:sz w:val="20"/>
          <w:szCs w:val="22"/>
        </w:rPr>
        <w:tab/>
      </w:r>
      <w:r w:rsidRPr="00C21ABC">
        <w:rPr>
          <w:snapToGrid w:val="0"/>
          <w:sz w:val="20"/>
          <w:szCs w:val="22"/>
          <w:u w:val="single"/>
        </w:rPr>
        <w:t>Agrupación de partidas</w:t>
      </w:r>
    </w:p>
    <w:p w14:paraId="73D00A23" w14:textId="77777777" w:rsidR="006220A2" w:rsidRPr="00BA60DB" w:rsidRDefault="006220A2" w:rsidP="006220A2">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ind w:left="284"/>
        <w:jc w:val="both"/>
        <w:textAlignment w:val="auto"/>
        <w:rPr>
          <w:rFonts w:cs="Arial"/>
          <w:noProof w:val="0"/>
          <w:snapToGrid w:val="0"/>
          <w:sz w:val="20"/>
        </w:rPr>
      </w:pPr>
      <w:r w:rsidRPr="00BA60DB">
        <w:rPr>
          <w:rFonts w:cs="Arial"/>
          <w:noProof w:val="0"/>
          <w:snapToGrid w:val="0"/>
          <w:sz w:val="20"/>
        </w:rPr>
        <w:t>A efectos de facilitar la comprensión del balance, de la cuenta de pérdidas y ganancias, del estado de cambios en el patrimonio neto y del estado de flujos de efectivo, estos estados se presentan de forma agrupada, recogiéndose los análisis requeridos en las notas correspondientes de la memoria.</w:t>
      </w:r>
    </w:p>
    <w:p w14:paraId="0F21E471" w14:textId="77777777" w:rsidR="006220A2" w:rsidRDefault="006220A2" w:rsidP="006220A2">
      <w:pPr>
        <w:tabs>
          <w:tab w:val="left" w:pos="0"/>
        </w:tabs>
        <w:autoSpaceDE w:val="0"/>
        <w:autoSpaceDN w:val="0"/>
        <w:adjustRightInd w:val="0"/>
        <w:jc w:val="both"/>
        <w:rPr>
          <w:sz w:val="20"/>
        </w:rPr>
      </w:pPr>
      <w:r w:rsidRPr="00BA60DB">
        <w:rPr>
          <w:sz w:val="20"/>
        </w:rPr>
        <w:t xml:space="preserve">  </w:t>
      </w:r>
    </w:p>
    <w:p w14:paraId="2245831E" w14:textId="77777777" w:rsidR="006220A2" w:rsidRPr="00070E05" w:rsidRDefault="006220A2" w:rsidP="0071126B">
      <w:pPr>
        <w:keepNext/>
        <w:keepLines/>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lear" w:pos="644"/>
        </w:tabs>
        <w:ind w:left="284" w:hanging="284"/>
        <w:outlineLvl w:val="9"/>
        <w:rPr>
          <w:b/>
          <w:snapToGrid w:val="0"/>
          <w:sz w:val="22"/>
          <w:szCs w:val="22"/>
        </w:rPr>
      </w:pPr>
      <w:r w:rsidRPr="00070E05">
        <w:rPr>
          <w:b/>
          <w:snapToGrid w:val="0"/>
          <w:sz w:val="22"/>
          <w:szCs w:val="22"/>
        </w:rPr>
        <w:t>Resultado del ejercicio</w:t>
      </w:r>
    </w:p>
    <w:p w14:paraId="5FC3D4FD" w14:textId="77777777" w:rsidR="006220A2" w:rsidRPr="00FC3E75" w:rsidRDefault="006220A2" w:rsidP="0071126B">
      <w:pPr>
        <w:keepNext/>
        <w:keepLines/>
        <w:widowControl w:val="0"/>
        <w:spacing w:before="200"/>
        <w:rPr>
          <w:spacing w:val="-2"/>
          <w:sz w:val="20"/>
          <w:szCs w:val="22"/>
        </w:rPr>
      </w:pPr>
      <w:r w:rsidRPr="00FC3E75">
        <w:rPr>
          <w:spacing w:val="-2"/>
          <w:sz w:val="20"/>
          <w:szCs w:val="22"/>
          <w:u w:val="single"/>
        </w:rPr>
        <w:t>Propuesta de distribución del resultado</w:t>
      </w:r>
    </w:p>
    <w:p w14:paraId="76CEC580" w14:textId="77777777" w:rsidR="006220A2" w:rsidRDefault="006220A2" w:rsidP="006220A2">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jc w:val="both"/>
        <w:textAlignment w:val="auto"/>
        <w:rPr>
          <w:rFonts w:cs="Arial"/>
          <w:sz w:val="20"/>
          <w:szCs w:val="22"/>
        </w:rPr>
      </w:pPr>
      <w:r w:rsidRPr="00FC3E75">
        <w:rPr>
          <w:rFonts w:cs="Arial"/>
          <w:sz w:val="20"/>
          <w:szCs w:val="22"/>
        </w:rPr>
        <w:t xml:space="preserve">La propuesta de </w:t>
      </w:r>
      <w:r w:rsidRPr="00070E05">
        <w:rPr>
          <w:rFonts w:cs="Arial"/>
          <w:noProof w:val="0"/>
          <w:snapToGrid w:val="0"/>
          <w:sz w:val="20"/>
        </w:rPr>
        <w:t>distribución</w:t>
      </w:r>
      <w:r w:rsidRPr="00FC3E75">
        <w:rPr>
          <w:rFonts w:cs="Arial"/>
          <w:sz w:val="20"/>
          <w:szCs w:val="22"/>
        </w:rPr>
        <w:t xml:space="preserve"> </w:t>
      </w:r>
      <w:r w:rsidR="00716059">
        <w:rPr>
          <w:rFonts w:cs="Arial"/>
          <w:sz w:val="20"/>
          <w:szCs w:val="22"/>
        </w:rPr>
        <w:t>de resultados del ejercicio 2018</w:t>
      </w:r>
      <w:r w:rsidRPr="00FC3E75">
        <w:rPr>
          <w:rFonts w:cs="Arial"/>
          <w:sz w:val="20"/>
          <w:szCs w:val="22"/>
        </w:rPr>
        <w:t>, en base a las cuentas anuales del ejercicio formuladas</w:t>
      </w:r>
      <w:r>
        <w:rPr>
          <w:rFonts w:cs="Arial"/>
          <w:sz w:val="20"/>
          <w:szCs w:val="22"/>
        </w:rPr>
        <w:t xml:space="preserve"> por los administradores</w:t>
      </w:r>
      <w:r w:rsidRPr="00FC3E75">
        <w:rPr>
          <w:rFonts w:cs="Arial"/>
          <w:sz w:val="20"/>
          <w:szCs w:val="22"/>
        </w:rPr>
        <w:t>, es la siguiente:</w:t>
      </w:r>
    </w:p>
    <w:p w14:paraId="757BA64C" w14:textId="77777777" w:rsidR="006220A2" w:rsidRPr="00FC3E75" w:rsidRDefault="006220A2" w:rsidP="006220A2">
      <w:pPr>
        <w:widowControl w:val="0"/>
        <w:tabs>
          <w:tab w:val="left" w:pos="567"/>
          <w:tab w:val="left" w:pos="1134"/>
          <w:tab w:val="left" w:pos="1587"/>
        </w:tabs>
        <w:rPr>
          <w:sz w:val="20"/>
          <w:szCs w:val="22"/>
        </w:rPr>
      </w:pPr>
    </w:p>
    <w:tbl>
      <w:tblPr>
        <w:tblW w:w="6804" w:type="dxa"/>
        <w:jc w:val="center"/>
        <w:tblCellMar>
          <w:left w:w="70" w:type="dxa"/>
          <w:right w:w="70" w:type="dxa"/>
        </w:tblCellMar>
        <w:tblLook w:val="04A0" w:firstRow="1" w:lastRow="0" w:firstColumn="1" w:lastColumn="0" w:noHBand="0" w:noVBand="1"/>
      </w:tblPr>
      <w:tblGrid>
        <w:gridCol w:w="3678"/>
        <w:gridCol w:w="1710"/>
        <w:gridCol w:w="1416"/>
      </w:tblGrid>
      <w:tr w:rsidR="006220A2" w:rsidRPr="009B5533" w14:paraId="62AD453F" w14:textId="77777777" w:rsidTr="00852114">
        <w:trPr>
          <w:trHeight w:val="227"/>
          <w:jc w:val="center"/>
        </w:trPr>
        <w:tc>
          <w:tcPr>
            <w:tcW w:w="3678" w:type="dxa"/>
            <w:tcBorders>
              <w:top w:val="single" w:sz="4" w:space="0" w:color="auto"/>
              <w:left w:val="nil"/>
              <w:bottom w:val="nil"/>
              <w:right w:val="nil"/>
            </w:tcBorders>
            <w:shd w:val="clear" w:color="auto" w:fill="auto"/>
            <w:vAlign w:val="bottom"/>
            <w:hideMark/>
          </w:tcPr>
          <w:p w14:paraId="23A7B9E8" w14:textId="77777777" w:rsidR="006220A2" w:rsidRPr="009B5533" w:rsidRDefault="006220A2" w:rsidP="00852114">
            <w:pPr>
              <w:jc w:val="center"/>
              <w:rPr>
                <w:rFonts w:eastAsia="Times New Roman"/>
                <w:sz w:val="18"/>
                <w:szCs w:val="18"/>
              </w:rPr>
            </w:pPr>
          </w:p>
        </w:tc>
        <w:tc>
          <w:tcPr>
            <w:tcW w:w="3126" w:type="dxa"/>
            <w:gridSpan w:val="2"/>
            <w:tcBorders>
              <w:top w:val="single" w:sz="4" w:space="0" w:color="auto"/>
              <w:left w:val="nil"/>
              <w:bottom w:val="nil"/>
              <w:right w:val="nil"/>
            </w:tcBorders>
            <w:shd w:val="clear" w:color="auto" w:fill="auto"/>
            <w:vAlign w:val="bottom"/>
            <w:hideMark/>
          </w:tcPr>
          <w:p w14:paraId="7493BC57" w14:textId="77777777" w:rsidR="006220A2" w:rsidRPr="009B5533" w:rsidRDefault="006220A2" w:rsidP="00852114">
            <w:pPr>
              <w:jc w:val="center"/>
              <w:rPr>
                <w:rFonts w:eastAsia="Times New Roman"/>
                <w:b/>
                <w:bCs/>
                <w:sz w:val="18"/>
                <w:szCs w:val="18"/>
              </w:rPr>
            </w:pPr>
            <w:r w:rsidRPr="009B5533">
              <w:rPr>
                <w:rFonts w:eastAsia="Times New Roman"/>
                <w:b/>
                <w:bCs/>
                <w:sz w:val="18"/>
                <w:szCs w:val="18"/>
              </w:rPr>
              <w:t>Euros</w:t>
            </w:r>
          </w:p>
        </w:tc>
      </w:tr>
      <w:tr w:rsidR="006220A2" w:rsidRPr="009B5533" w14:paraId="447C598D" w14:textId="77777777" w:rsidTr="00852114">
        <w:trPr>
          <w:trHeight w:val="227"/>
          <w:jc w:val="center"/>
        </w:trPr>
        <w:tc>
          <w:tcPr>
            <w:tcW w:w="3678" w:type="dxa"/>
            <w:tcBorders>
              <w:top w:val="nil"/>
              <w:left w:val="nil"/>
              <w:bottom w:val="nil"/>
              <w:right w:val="nil"/>
            </w:tcBorders>
            <w:shd w:val="clear" w:color="auto" w:fill="auto"/>
            <w:vAlign w:val="bottom"/>
            <w:hideMark/>
          </w:tcPr>
          <w:p w14:paraId="2C46749A" w14:textId="77777777" w:rsidR="006220A2" w:rsidRPr="009B5533" w:rsidRDefault="006220A2" w:rsidP="00852114">
            <w:pPr>
              <w:jc w:val="center"/>
              <w:rPr>
                <w:rFonts w:eastAsia="Times New Roman"/>
                <w:b/>
                <w:bCs/>
                <w:sz w:val="18"/>
                <w:szCs w:val="18"/>
              </w:rPr>
            </w:pPr>
          </w:p>
        </w:tc>
        <w:tc>
          <w:tcPr>
            <w:tcW w:w="1710" w:type="dxa"/>
            <w:tcBorders>
              <w:top w:val="single" w:sz="4" w:space="0" w:color="auto"/>
              <w:left w:val="nil"/>
              <w:bottom w:val="nil"/>
              <w:right w:val="nil"/>
            </w:tcBorders>
            <w:shd w:val="clear" w:color="auto" w:fill="auto"/>
            <w:vAlign w:val="bottom"/>
            <w:hideMark/>
          </w:tcPr>
          <w:p w14:paraId="25F4154F" w14:textId="77777777" w:rsidR="006220A2" w:rsidRPr="009B5533" w:rsidRDefault="00403F0F" w:rsidP="00852114">
            <w:pPr>
              <w:jc w:val="center"/>
              <w:rPr>
                <w:rFonts w:eastAsia="Times New Roman"/>
                <w:b/>
                <w:bCs/>
                <w:sz w:val="18"/>
                <w:szCs w:val="18"/>
              </w:rPr>
            </w:pPr>
            <w:r>
              <w:rPr>
                <w:rFonts w:eastAsia="Times New Roman"/>
                <w:b/>
                <w:bCs/>
                <w:sz w:val="18"/>
                <w:szCs w:val="18"/>
              </w:rPr>
              <w:t>2018</w:t>
            </w:r>
          </w:p>
        </w:tc>
        <w:tc>
          <w:tcPr>
            <w:tcW w:w="1416" w:type="dxa"/>
            <w:tcBorders>
              <w:top w:val="single" w:sz="4" w:space="0" w:color="auto"/>
              <w:left w:val="nil"/>
              <w:bottom w:val="nil"/>
              <w:right w:val="nil"/>
            </w:tcBorders>
            <w:shd w:val="clear" w:color="auto" w:fill="auto"/>
            <w:vAlign w:val="bottom"/>
            <w:hideMark/>
          </w:tcPr>
          <w:p w14:paraId="1FE2379E" w14:textId="77777777" w:rsidR="006220A2" w:rsidRPr="009B5533" w:rsidRDefault="00403F0F" w:rsidP="00852114">
            <w:pPr>
              <w:jc w:val="center"/>
              <w:rPr>
                <w:rFonts w:eastAsia="Times New Roman"/>
                <w:b/>
                <w:bCs/>
                <w:sz w:val="18"/>
                <w:szCs w:val="18"/>
              </w:rPr>
            </w:pPr>
            <w:r>
              <w:rPr>
                <w:rFonts w:eastAsia="Times New Roman"/>
                <w:b/>
                <w:bCs/>
                <w:sz w:val="18"/>
                <w:szCs w:val="18"/>
              </w:rPr>
              <w:t>2017</w:t>
            </w:r>
          </w:p>
        </w:tc>
      </w:tr>
      <w:tr w:rsidR="006220A2" w:rsidRPr="009B5533" w14:paraId="315E1BF4" w14:textId="77777777" w:rsidTr="003A4111">
        <w:trPr>
          <w:trHeight w:val="255"/>
          <w:jc w:val="center"/>
        </w:trPr>
        <w:tc>
          <w:tcPr>
            <w:tcW w:w="3678" w:type="dxa"/>
            <w:tcBorders>
              <w:top w:val="single" w:sz="4" w:space="0" w:color="auto"/>
              <w:left w:val="nil"/>
              <w:bottom w:val="nil"/>
              <w:right w:val="nil"/>
            </w:tcBorders>
            <w:shd w:val="clear" w:color="auto" w:fill="auto"/>
            <w:vAlign w:val="center"/>
            <w:hideMark/>
          </w:tcPr>
          <w:p w14:paraId="7184560E" w14:textId="77777777" w:rsidR="006220A2" w:rsidRPr="009B5533" w:rsidRDefault="006220A2" w:rsidP="003A4111">
            <w:pPr>
              <w:rPr>
                <w:rFonts w:eastAsia="Times New Roman"/>
                <w:b/>
                <w:bCs/>
                <w:sz w:val="18"/>
                <w:szCs w:val="18"/>
                <w:u w:val="single"/>
              </w:rPr>
            </w:pPr>
            <w:r w:rsidRPr="009B5533">
              <w:rPr>
                <w:rFonts w:eastAsia="Times New Roman"/>
                <w:b/>
                <w:bCs/>
                <w:sz w:val="18"/>
                <w:szCs w:val="18"/>
                <w:u w:val="single"/>
              </w:rPr>
              <w:t>Base de reparto</w:t>
            </w:r>
          </w:p>
        </w:tc>
        <w:tc>
          <w:tcPr>
            <w:tcW w:w="1710" w:type="dxa"/>
            <w:tcBorders>
              <w:top w:val="single" w:sz="4" w:space="0" w:color="auto"/>
              <w:left w:val="nil"/>
              <w:bottom w:val="nil"/>
              <w:right w:val="nil"/>
            </w:tcBorders>
            <w:shd w:val="clear" w:color="auto" w:fill="auto"/>
            <w:vAlign w:val="center"/>
            <w:hideMark/>
          </w:tcPr>
          <w:p w14:paraId="7CE63D23" w14:textId="77777777" w:rsidR="006220A2" w:rsidRPr="009B5533" w:rsidRDefault="006220A2" w:rsidP="00852114">
            <w:pPr>
              <w:jc w:val="right"/>
              <w:rPr>
                <w:rFonts w:eastAsia="Times New Roman"/>
                <w:sz w:val="18"/>
                <w:szCs w:val="18"/>
              </w:rPr>
            </w:pPr>
            <w:r w:rsidRPr="009B5533">
              <w:rPr>
                <w:rFonts w:eastAsia="Times New Roman"/>
                <w:sz w:val="18"/>
                <w:szCs w:val="18"/>
              </w:rPr>
              <w:t> </w:t>
            </w:r>
          </w:p>
        </w:tc>
        <w:tc>
          <w:tcPr>
            <w:tcW w:w="1416" w:type="dxa"/>
            <w:tcBorders>
              <w:top w:val="single" w:sz="4" w:space="0" w:color="auto"/>
              <w:left w:val="nil"/>
              <w:bottom w:val="nil"/>
              <w:right w:val="nil"/>
            </w:tcBorders>
            <w:shd w:val="clear" w:color="auto" w:fill="auto"/>
            <w:vAlign w:val="center"/>
            <w:hideMark/>
          </w:tcPr>
          <w:p w14:paraId="27C450D7" w14:textId="77777777" w:rsidR="006220A2" w:rsidRPr="009B5533" w:rsidRDefault="006220A2" w:rsidP="00852114">
            <w:pPr>
              <w:jc w:val="right"/>
              <w:rPr>
                <w:rFonts w:eastAsia="Times New Roman"/>
                <w:sz w:val="18"/>
                <w:szCs w:val="18"/>
              </w:rPr>
            </w:pPr>
            <w:r w:rsidRPr="009B5533">
              <w:rPr>
                <w:rFonts w:eastAsia="Times New Roman"/>
                <w:sz w:val="18"/>
                <w:szCs w:val="18"/>
              </w:rPr>
              <w:t> </w:t>
            </w:r>
          </w:p>
        </w:tc>
      </w:tr>
      <w:tr w:rsidR="006220A2" w:rsidRPr="009B5533" w14:paraId="22D32CC1" w14:textId="77777777" w:rsidTr="003A4111">
        <w:trPr>
          <w:trHeight w:val="255"/>
          <w:jc w:val="center"/>
        </w:trPr>
        <w:tc>
          <w:tcPr>
            <w:tcW w:w="3678" w:type="dxa"/>
            <w:tcBorders>
              <w:top w:val="nil"/>
              <w:left w:val="nil"/>
              <w:bottom w:val="nil"/>
              <w:right w:val="nil"/>
            </w:tcBorders>
            <w:shd w:val="clear" w:color="auto" w:fill="auto"/>
            <w:vAlign w:val="center"/>
            <w:hideMark/>
          </w:tcPr>
          <w:p w14:paraId="02631CF0" w14:textId="77777777" w:rsidR="006220A2" w:rsidRPr="009B5533" w:rsidRDefault="006220A2" w:rsidP="003A4111">
            <w:pPr>
              <w:rPr>
                <w:rFonts w:eastAsia="Times New Roman"/>
                <w:sz w:val="18"/>
                <w:szCs w:val="18"/>
              </w:rPr>
            </w:pPr>
            <w:r w:rsidRPr="009B5533">
              <w:rPr>
                <w:rFonts w:eastAsia="Times New Roman"/>
                <w:sz w:val="18"/>
                <w:szCs w:val="18"/>
              </w:rPr>
              <w:t>Pérdida</w:t>
            </w:r>
          </w:p>
        </w:tc>
        <w:tc>
          <w:tcPr>
            <w:tcW w:w="1710" w:type="dxa"/>
            <w:tcBorders>
              <w:top w:val="nil"/>
              <w:left w:val="nil"/>
              <w:bottom w:val="nil"/>
              <w:right w:val="nil"/>
            </w:tcBorders>
            <w:shd w:val="clear" w:color="auto" w:fill="auto"/>
            <w:vAlign w:val="center"/>
          </w:tcPr>
          <w:p w14:paraId="2F59C6A1" w14:textId="77777777" w:rsidR="006220A2" w:rsidRDefault="006220A2" w:rsidP="00852114">
            <w:pPr>
              <w:jc w:val="right"/>
              <w:rPr>
                <w:sz w:val="18"/>
                <w:szCs w:val="18"/>
              </w:rPr>
            </w:pPr>
            <w:r>
              <w:rPr>
                <w:sz w:val="18"/>
                <w:szCs w:val="18"/>
              </w:rPr>
              <w:t>2.165.867,00</w:t>
            </w:r>
          </w:p>
        </w:tc>
        <w:tc>
          <w:tcPr>
            <w:tcW w:w="1416" w:type="dxa"/>
            <w:tcBorders>
              <w:top w:val="nil"/>
              <w:left w:val="nil"/>
              <w:bottom w:val="nil"/>
              <w:right w:val="nil"/>
            </w:tcBorders>
            <w:shd w:val="clear" w:color="auto" w:fill="auto"/>
            <w:vAlign w:val="center"/>
            <w:hideMark/>
          </w:tcPr>
          <w:p w14:paraId="2225E51C" w14:textId="77777777" w:rsidR="006220A2" w:rsidRPr="009B5533" w:rsidRDefault="006220A2" w:rsidP="00852114">
            <w:pPr>
              <w:jc w:val="right"/>
              <w:rPr>
                <w:rFonts w:eastAsia="Times New Roman"/>
                <w:sz w:val="18"/>
                <w:szCs w:val="18"/>
              </w:rPr>
            </w:pPr>
            <w:r w:rsidRPr="009B5533">
              <w:rPr>
                <w:rFonts w:eastAsia="Times New Roman"/>
                <w:sz w:val="18"/>
                <w:szCs w:val="18"/>
              </w:rPr>
              <w:t>2.165.867,00</w:t>
            </w:r>
          </w:p>
        </w:tc>
      </w:tr>
      <w:tr w:rsidR="006220A2" w:rsidRPr="009B5533" w14:paraId="57DEC413" w14:textId="77777777" w:rsidTr="003A4111">
        <w:trPr>
          <w:trHeight w:val="255"/>
          <w:jc w:val="center"/>
        </w:trPr>
        <w:tc>
          <w:tcPr>
            <w:tcW w:w="3678" w:type="dxa"/>
            <w:tcBorders>
              <w:top w:val="single" w:sz="4" w:space="0" w:color="auto"/>
              <w:left w:val="nil"/>
              <w:bottom w:val="single" w:sz="4" w:space="0" w:color="auto"/>
              <w:right w:val="nil"/>
            </w:tcBorders>
            <w:shd w:val="clear" w:color="auto" w:fill="auto"/>
            <w:vAlign w:val="center"/>
            <w:hideMark/>
          </w:tcPr>
          <w:p w14:paraId="1A68A9D4" w14:textId="77777777" w:rsidR="006220A2" w:rsidRPr="009B5533" w:rsidRDefault="006220A2" w:rsidP="003A4111">
            <w:pPr>
              <w:rPr>
                <w:rFonts w:eastAsia="Times New Roman"/>
                <w:sz w:val="18"/>
                <w:szCs w:val="18"/>
              </w:rPr>
            </w:pPr>
            <w:r w:rsidRPr="009B5533">
              <w:rPr>
                <w:rFonts w:eastAsia="Times New Roman"/>
                <w:sz w:val="18"/>
                <w:szCs w:val="18"/>
              </w:rPr>
              <w:t> </w:t>
            </w:r>
          </w:p>
        </w:tc>
        <w:tc>
          <w:tcPr>
            <w:tcW w:w="1710" w:type="dxa"/>
            <w:tcBorders>
              <w:top w:val="single" w:sz="4" w:space="0" w:color="auto"/>
              <w:left w:val="nil"/>
              <w:bottom w:val="single" w:sz="4" w:space="0" w:color="auto"/>
              <w:right w:val="nil"/>
            </w:tcBorders>
            <w:shd w:val="clear" w:color="auto" w:fill="auto"/>
            <w:vAlign w:val="center"/>
          </w:tcPr>
          <w:p w14:paraId="3C47E8F5" w14:textId="77777777" w:rsidR="006220A2" w:rsidRDefault="006220A2" w:rsidP="00852114">
            <w:pPr>
              <w:jc w:val="right"/>
              <w:rPr>
                <w:b/>
                <w:bCs/>
                <w:sz w:val="18"/>
                <w:szCs w:val="18"/>
              </w:rPr>
            </w:pPr>
            <w:r>
              <w:rPr>
                <w:b/>
                <w:bCs/>
                <w:sz w:val="18"/>
                <w:szCs w:val="18"/>
              </w:rPr>
              <w:t>2.165.867,00</w:t>
            </w:r>
          </w:p>
        </w:tc>
        <w:tc>
          <w:tcPr>
            <w:tcW w:w="1416" w:type="dxa"/>
            <w:tcBorders>
              <w:top w:val="single" w:sz="4" w:space="0" w:color="auto"/>
              <w:left w:val="nil"/>
              <w:bottom w:val="single" w:sz="4" w:space="0" w:color="auto"/>
              <w:right w:val="nil"/>
            </w:tcBorders>
            <w:shd w:val="clear" w:color="auto" w:fill="auto"/>
            <w:vAlign w:val="center"/>
            <w:hideMark/>
          </w:tcPr>
          <w:p w14:paraId="2DC0C8A9" w14:textId="77777777" w:rsidR="006220A2" w:rsidRPr="009B5533" w:rsidRDefault="006220A2" w:rsidP="00852114">
            <w:pPr>
              <w:jc w:val="right"/>
              <w:rPr>
                <w:rFonts w:eastAsia="Times New Roman"/>
                <w:b/>
                <w:bCs/>
                <w:sz w:val="18"/>
                <w:szCs w:val="18"/>
              </w:rPr>
            </w:pPr>
            <w:r w:rsidRPr="009B5533">
              <w:rPr>
                <w:rFonts w:eastAsia="Times New Roman"/>
                <w:b/>
                <w:bCs/>
                <w:sz w:val="18"/>
                <w:szCs w:val="18"/>
              </w:rPr>
              <w:t>2.165.867,00</w:t>
            </w:r>
          </w:p>
        </w:tc>
      </w:tr>
      <w:tr w:rsidR="006220A2" w:rsidRPr="009B5533" w14:paraId="7CAAE141" w14:textId="77777777" w:rsidTr="003A4111">
        <w:trPr>
          <w:trHeight w:val="255"/>
          <w:jc w:val="center"/>
        </w:trPr>
        <w:tc>
          <w:tcPr>
            <w:tcW w:w="3678" w:type="dxa"/>
            <w:tcBorders>
              <w:top w:val="nil"/>
              <w:left w:val="nil"/>
              <w:bottom w:val="nil"/>
              <w:right w:val="nil"/>
            </w:tcBorders>
            <w:shd w:val="clear" w:color="auto" w:fill="auto"/>
            <w:vAlign w:val="center"/>
            <w:hideMark/>
          </w:tcPr>
          <w:p w14:paraId="1814EE16" w14:textId="77777777" w:rsidR="006220A2" w:rsidRPr="009B5533" w:rsidRDefault="006220A2" w:rsidP="003A4111">
            <w:pPr>
              <w:rPr>
                <w:rFonts w:eastAsia="Times New Roman"/>
                <w:b/>
                <w:bCs/>
                <w:sz w:val="18"/>
                <w:szCs w:val="18"/>
                <w:u w:val="single"/>
              </w:rPr>
            </w:pPr>
            <w:r w:rsidRPr="009B5533">
              <w:rPr>
                <w:rFonts w:eastAsia="Times New Roman"/>
                <w:b/>
                <w:bCs/>
                <w:sz w:val="18"/>
                <w:szCs w:val="18"/>
                <w:u w:val="single"/>
              </w:rPr>
              <w:t>Aplicación</w:t>
            </w:r>
          </w:p>
        </w:tc>
        <w:tc>
          <w:tcPr>
            <w:tcW w:w="1710" w:type="dxa"/>
            <w:tcBorders>
              <w:top w:val="nil"/>
              <w:left w:val="nil"/>
              <w:bottom w:val="nil"/>
              <w:right w:val="nil"/>
            </w:tcBorders>
            <w:shd w:val="clear" w:color="auto" w:fill="auto"/>
            <w:vAlign w:val="center"/>
          </w:tcPr>
          <w:p w14:paraId="75FE8C05" w14:textId="77777777" w:rsidR="006220A2" w:rsidRDefault="006220A2" w:rsidP="00852114">
            <w:pPr>
              <w:jc w:val="right"/>
              <w:rPr>
                <w:b/>
                <w:bCs/>
                <w:sz w:val="18"/>
                <w:szCs w:val="18"/>
              </w:rPr>
            </w:pPr>
          </w:p>
        </w:tc>
        <w:tc>
          <w:tcPr>
            <w:tcW w:w="1416" w:type="dxa"/>
            <w:tcBorders>
              <w:top w:val="nil"/>
              <w:left w:val="nil"/>
              <w:bottom w:val="nil"/>
              <w:right w:val="nil"/>
            </w:tcBorders>
            <w:shd w:val="clear" w:color="auto" w:fill="auto"/>
            <w:vAlign w:val="center"/>
            <w:hideMark/>
          </w:tcPr>
          <w:p w14:paraId="414E8757" w14:textId="77777777" w:rsidR="006220A2" w:rsidRPr="009B5533" w:rsidRDefault="006220A2" w:rsidP="00852114">
            <w:pPr>
              <w:jc w:val="right"/>
              <w:rPr>
                <w:rFonts w:eastAsia="Times New Roman"/>
                <w:sz w:val="18"/>
                <w:szCs w:val="18"/>
              </w:rPr>
            </w:pPr>
          </w:p>
        </w:tc>
      </w:tr>
      <w:tr w:rsidR="006220A2" w:rsidRPr="009B5533" w14:paraId="33099A9B" w14:textId="77777777" w:rsidTr="003A4111">
        <w:trPr>
          <w:trHeight w:val="255"/>
          <w:jc w:val="center"/>
        </w:trPr>
        <w:tc>
          <w:tcPr>
            <w:tcW w:w="3678" w:type="dxa"/>
            <w:tcBorders>
              <w:top w:val="nil"/>
              <w:left w:val="nil"/>
              <w:bottom w:val="nil"/>
              <w:right w:val="nil"/>
            </w:tcBorders>
            <w:shd w:val="clear" w:color="auto" w:fill="auto"/>
            <w:vAlign w:val="center"/>
            <w:hideMark/>
          </w:tcPr>
          <w:p w14:paraId="429073D9" w14:textId="77777777" w:rsidR="006220A2" w:rsidRPr="009B5533" w:rsidRDefault="006220A2" w:rsidP="003A4111">
            <w:pPr>
              <w:rPr>
                <w:rFonts w:eastAsia="Times New Roman"/>
                <w:sz w:val="18"/>
                <w:szCs w:val="18"/>
              </w:rPr>
            </w:pPr>
            <w:r w:rsidRPr="009B5533">
              <w:rPr>
                <w:rFonts w:eastAsia="Times New Roman"/>
                <w:sz w:val="18"/>
                <w:szCs w:val="18"/>
              </w:rPr>
              <w:t>Resultados negativos de ejercicios anteriores</w:t>
            </w:r>
          </w:p>
        </w:tc>
        <w:tc>
          <w:tcPr>
            <w:tcW w:w="1710" w:type="dxa"/>
            <w:tcBorders>
              <w:top w:val="nil"/>
              <w:left w:val="nil"/>
              <w:bottom w:val="nil"/>
              <w:right w:val="nil"/>
            </w:tcBorders>
            <w:shd w:val="clear" w:color="auto" w:fill="auto"/>
            <w:vAlign w:val="center"/>
          </w:tcPr>
          <w:p w14:paraId="3AB921C7" w14:textId="77777777" w:rsidR="006220A2" w:rsidRDefault="006220A2" w:rsidP="00852114">
            <w:pPr>
              <w:jc w:val="right"/>
              <w:rPr>
                <w:sz w:val="18"/>
                <w:szCs w:val="18"/>
              </w:rPr>
            </w:pPr>
            <w:r>
              <w:rPr>
                <w:sz w:val="18"/>
                <w:szCs w:val="18"/>
              </w:rPr>
              <w:t>2.165.867,00</w:t>
            </w:r>
          </w:p>
        </w:tc>
        <w:tc>
          <w:tcPr>
            <w:tcW w:w="1416" w:type="dxa"/>
            <w:tcBorders>
              <w:top w:val="nil"/>
              <w:left w:val="nil"/>
              <w:bottom w:val="nil"/>
              <w:right w:val="nil"/>
            </w:tcBorders>
            <w:shd w:val="clear" w:color="auto" w:fill="auto"/>
            <w:vAlign w:val="center"/>
            <w:hideMark/>
          </w:tcPr>
          <w:p w14:paraId="6B518FE1" w14:textId="77777777" w:rsidR="006220A2" w:rsidRPr="009B5533" w:rsidRDefault="006220A2" w:rsidP="00852114">
            <w:pPr>
              <w:jc w:val="right"/>
              <w:rPr>
                <w:rFonts w:eastAsia="Times New Roman"/>
                <w:sz w:val="18"/>
                <w:szCs w:val="18"/>
              </w:rPr>
            </w:pPr>
            <w:r w:rsidRPr="009B5533">
              <w:rPr>
                <w:rFonts w:eastAsia="Times New Roman"/>
                <w:sz w:val="18"/>
                <w:szCs w:val="18"/>
              </w:rPr>
              <w:t>2.165.867,00</w:t>
            </w:r>
          </w:p>
        </w:tc>
      </w:tr>
      <w:tr w:rsidR="006220A2" w:rsidRPr="009B5533" w14:paraId="7BF4BE36" w14:textId="77777777" w:rsidTr="003A4111">
        <w:trPr>
          <w:trHeight w:val="255"/>
          <w:jc w:val="center"/>
        </w:trPr>
        <w:tc>
          <w:tcPr>
            <w:tcW w:w="3678" w:type="dxa"/>
            <w:tcBorders>
              <w:top w:val="single" w:sz="4" w:space="0" w:color="auto"/>
              <w:left w:val="nil"/>
              <w:bottom w:val="single" w:sz="4" w:space="0" w:color="auto"/>
              <w:right w:val="nil"/>
            </w:tcBorders>
            <w:shd w:val="clear" w:color="auto" w:fill="auto"/>
            <w:vAlign w:val="center"/>
            <w:hideMark/>
          </w:tcPr>
          <w:p w14:paraId="127D0D7E" w14:textId="77777777" w:rsidR="006220A2" w:rsidRPr="009B5533" w:rsidRDefault="006220A2" w:rsidP="003A4111">
            <w:pPr>
              <w:rPr>
                <w:rFonts w:eastAsia="Times New Roman"/>
                <w:sz w:val="18"/>
                <w:szCs w:val="18"/>
              </w:rPr>
            </w:pPr>
            <w:r w:rsidRPr="009B5533">
              <w:rPr>
                <w:rFonts w:eastAsia="Times New Roman"/>
                <w:sz w:val="18"/>
                <w:szCs w:val="18"/>
              </w:rPr>
              <w:t> </w:t>
            </w:r>
          </w:p>
        </w:tc>
        <w:tc>
          <w:tcPr>
            <w:tcW w:w="1710" w:type="dxa"/>
            <w:tcBorders>
              <w:top w:val="single" w:sz="4" w:space="0" w:color="auto"/>
              <w:left w:val="nil"/>
              <w:bottom w:val="single" w:sz="4" w:space="0" w:color="auto"/>
              <w:right w:val="nil"/>
            </w:tcBorders>
            <w:shd w:val="clear" w:color="auto" w:fill="auto"/>
            <w:vAlign w:val="center"/>
          </w:tcPr>
          <w:p w14:paraId="627B64CD" w14:textId="77777777" w:rsidR="006220A2" w:rsidRDefault="006220A2" w:rsidP="00852114">
            <w:pPr>
              <w:jc w:val="right"/>
              <w:rPr>
                <w:b/>
                <w:bCs/>
                <w:sz w:val="18"/>
                <w:szCs w:val="18"/>
              </w:rPr>
            </w:pPr>
            <w:r>
              <w:rPr>
                <w:b/>
                <w:bCs/>
                <w:sz w:val="18"/>
                <w:szCs w:val="18"/>
              </w:rPr>
              <w:t>2.165.867,00</w:t>
            </w:r>
          </w:p>
        </w:tc>
        <w:tc>
          <w:tcPr>
            <w:tcW w:w="1416" w:type="dxa"/>
            <w:tcBorders>
              <w:top w:val="single" w:sz="4" w:space="0" w:color="auto"/>
              <w:left w:val="nil"/>
              <w:bottom w:val="single" w:sz="4" w:space="0" w:color="auto"/>
              <w:right w:val="nil"/>
            </w:tcBorders>
            <w:shd w:val="clear" w:color="auto" w:fill="auto"/>
            <w:vAlign w:val="center"/>
            <w:hideMark/>
          </w:tcPr>
          <w:p w14:paraId="32D6F7FF" w14:textId="77777777" w:rsidR="006220A2" w:rsidRPr="009B5533" w:rsidRDefault="006220A2" w:rsidP="00852114">
            <w:pPr>
              <w:jc w:val="right"/>
              <w:rPr>
                <w:rFonts w:eastAsia="Times New Roman"/>
                <w:b/>
                <w:bCs/>
                <w:sz w:val="18"/>
                <w:szCs w:val="18"/>
              </w:rPr>
            </w:pPr>
            <w:r w:rsidRPr="009B5533">
              <w:rPr>
                <w:rFonts w:eastAsia="Times New Roman"/>
                <w:b/>
                <w:bCs/>
                <w:sz w:val="18"/>
                <w:szCs w:val="18"/>
              </w:rPr>
              <w:t>2.165.867,00</w:t>
            </w:r>
          </w:p>
        </w:tc>
      </w:tr>
    </w:tbl>
    <w:p w14:paraId="77320FE1" w14:textId="77777777" w:rsidR="006220A2" w:rsidRPr="00F15BB3" w:rsidRDefault="006220A2" w:rsidP="006220A2">
      <w:pPr>
        <w:ind w:left="426"/>
        <w:jc w:val="both"/>
        <w:rPr>
          <w:snapToGrid w:val="0"/>
          <w:sz w:val="20"/>
          <w:szCs w:val="22"/>
        </w:rPr>
      </w:pPr>
    </w:p>
    <w:p w14:paraId="56982B17" w14:textId="77777777" w:rsidR="006220A2" w:rsidRPr="00070E05" w:rsidRDefault="006220A2" w:rsidP="006220A2">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jc w:val="both"/>
        <w:textAlignment w:val="auto"/>
        <w:rPr>
          <w:rFonts w:cs="Arial"/>
          <w:noProof w:val="0"/>
          <w:snapToGrid w:val="0"/>
          <w:sz w:val="20"/>
        </w:rPr>
      </w:pPr>
      <w:r w:rsidRPr="00CC7A4A">
        <w:rPr>
          <w:rFonts w:cs="Arial"/>
          <w:noProof w:val="0"/>
          <w:snapToGrid w:val="0"/>
          <w:sz w:val="20"/>
        </w:rPr>
        <w:t xml:space="preserve">Con </w:t>
      </w:r>
      <w:r w:rsidRPr="00B10DE7">
        <w:rPr>
          <w:rFonts w:cs="Arial"/>
          <w:noProof w:val="0"/>
          <w:snapToGrid w:val="0"/>
          <w:sz w:val="20"/>
        </w:rPr>
        <w:t>posterioridad a la formulación de las cu</w:t>
      </w:r>
      <w:r w:rsidR="00CC7A4A" w:rsidRPr="00B10DE7">
        <w:rPr>
          <w:rFonts w:cs="Arial"/>
          <w:noProof w:val="0"/>
          <w:snapToGrid w:val="0"/>
          <w:sz w:val="20"/>
        </w:rPr>
        <w:t>entas anuales del ejercicio 2017</w:t>
      </w:r>
      <w:r w:rsidRPr="00B10DE7">
        <w:rPr>
          <w:rFonts w:cs="Arial"/>
          <w:noProof w:val="0"/>
          <w:snapToGrid w:val="0"/>
          <w:sz w:val="20"/>
        </w:rPr>
        <w:t xml:space="preserve">, la Junta en reunión de fecha </w:t>
      </w:r>
      <w:r w:rsidR="00FF5498" w:rsidRPr="00B10DE7">
        <w:rPr>
          <w:rFonts w:cs="Arial"/>
          <w:noProof w:val="0"/>
          <w:snapToGrid w:val="0"/>
          <w:sz w:val="20"/>
        </w:rPr>
        <w:t>7</w:t>
      </w:r>
      <w:r w:rsidR="00CC7A4A" w:rsidRPr="00B10DE7">
        <w:rPr>
          <w:rFonts w:cs="Arial"/>
          <w:noProof w:val="0"/>
          <w:snapToGrid w:val="0"/>
          <w:sz w:val="20"/>
        </w:rPr>
        <w:t xml:space="preserve"> de mayo de 2018</w:t>
      </w:r>
      <w:r w:rsidRPr="00B10DE7">
        <w:rPr>
          <w:rFonts w:cs="Arial"/>
          <w:noProof w:val="0"/>
          <w:snapToGrid w:val="0"/>
          <w:sz w:val="20"/>
        </w:rPr>
        <w:t>, acordó la compensación del Resul</w:t>
      </w:r>
      <w:r w:rsidR="00CC7A4A" w:rsidRPr="00B10DE7">
        <w:rPr>
          <w:rFonts w:cs="Arial"/>
          <w:noProof w:val="0"/>
          <w:snapToGrid w:val="0"/>
          <w:sz w:val="20"/>
        </w:rPr>
        <w:t>tado negativo del ejercicio 2017</w:t>
      </w:r>
      <w:r w:rsidRPr="00B10DE7">
        <w:rPr>
          <w:rFonts w:cs="Arial"/>
          <w:noProof w:val="0"/>
          <w:snapToGrid w:val="0"/>
          <w:sz w:val="20"/>
        </w:rPr>
        <w:t xml:space="preserve"> contra aportaciones de</w:t>
      </w:r>
      <w:r w:rsidRPr="00CC7A4A">
        <w:rPr>
          <w:rFonts w:cs="Arial"/>
          <w:noProof w:val="0"/>
          <w:snapToGrid w:val="0"/>
          <w:sz w:val="20"/>
        </w:rPr>
        <w:t xml:space="preserve"> socios por importe de 2.165.867,00 euros.</w:t>
      </w:r>
    </w:p>
    <w:p w14:paraId="26B9F10A" w14:textId="77777777" w:rsidR="006220A2" w:rsidRDefault="006220A2" w:rsidP="006220A2">
      <w:pPr>
        <w:tabs>
          <w:tab w:val="left" w:pos="0"/>
        </w:tabs>
        <w:autoSpaceDE w:val="0"/>
        <w:autoSpaceDN w:val="0"/>
        <w:adjustRightInd w:val="0"/>
        <w:jc w:val="both"/>
        <w:rPr>
          <w:b/>
          <w:bCs/>
          <w:sz w:val="20"/>
        </w:rPr>
      </w:pPr>
    </w:p>
    <w:p w14:paraId="4660E4C0" w14:textId="77777777" w:rsidR="006220A2" w:rsidRPr="00BA60DB" w:rsidRDefault="006220A2" w:rsidP="006220A2">
      <w:pPr>
        <w:tabs>
          <w:tab w:val="left" w:pos="0"/>
        </w:tabs>
        <w:autoSpaceDE w:val="0"/>
        <w:autoSpaceDN w:val="0"/>
        <w:adjustRightInd w:val="0"/>
        <w:jc w:val="both"/>
        <w:rPr>
          <w:b/>
          <w:bCs/>
          <w:sz w:val="20"/>
        </w:rPr>
      </w:pPr>
    </w:p>
    <w:p w14:paraId="0E34649B" w14:textId="77777777" w:rsidR="006220A2" w:rsidRPr="00070E05" w:rsidRDefault="006220A2" w:rsidP="006220A2">
      <w:pPr>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lear" w:pos="644"/>
        </w:tabs>
        <w:ind w:left="284" w:hanging="284"/>
        <w:outlineLvl w:val="9"/>
        <w:rPr>
          <w:b/>
          <w:snapToGrid w:val="0"/>
          <w:sz w:val="22"/>
          <w:szCs w:val="22"/>
        </w:rPr>
      </w:pPr>
      <w:r w:rsidRPr="00070E05">
        <w:rPr>
          <w:b/>
          <w:snapToGrid w:val="0"/>
          <w:sz w:val="22"/>
          <w:szCs w:val="22"/>
        </w:rPr>
        <w:t>Criterios contables</w:t>
      </w:r>
    </w:p>
    <w:p w14:paraId="0B045365" w14:textId="77777777" w:rsidR="006220A2" w:rsidRPr="00BA60DB" w:rsidRDefault="006220A2" w:rsidP="006220A2">
      <w:pPr>
        <w:widowControl w:val="0"/>
        <w:tabs>
          <w:tab w:val="left" w:pos="567"/>
        </w:tabs>
        <w:spacing w:before="200"/>
        <w:rPr>
          <w:sz w:val="20"/>
        </w:rPr>
      </w:pPr>
      <w:r>
        <w:rPr>
          <w:b/>
          <w:sz w:val="20"/>
        </w:rPr>
        <w:t>4</w:t>
      </w:r>
      <w:r w:rsidRPr="00BA60DB">
        <w:rPr>
          <w:b/>
          <w:sz w:val="20"/>
        </w:rPr>
        <w:t xml:space="preserve">.1 </w:t>
      </w:r>
      <w:r>
        <w:rPr>
          <w:b/>
          <w:sz w:val="20"/>
        </w:rPr>
        <w:tab/>
      </w:r>
      <w:r w:rsidRPr="00BA60DB">
        <w:rPr>
          <w:b/>
          <w:sz w:val="20"/>
        </w:rPr>
        <w:t>Inmovilizado intangible</w:t>
      </w:r>
    </w:p>
    <w:p w14:paraId="40000F4D" w14:textId="77777777" w:rsidR="006220A2" w:rsidRPr="00BA60DB" w:rsidRDefault="006220A2" w:rsidP="006220A2">
      <w:pPr>
        <w:widowControl w:val="0"/>
        <w:tabs>
          <w:tab w:val="left" w:pos="284"/>
          <w:tab w:val="left" w:pos="2880"/>
          <w:tab w:val="left" w:pos="3600"/>
          <w:tab w:val="left" w:pos="4320"/>
          <w:tab w:val="left" w:pos="5040"/>
          <w:tab w:val="left" w:pos="5760"/>
          <w:tab w:val="left" w:pos="6480"/>
          <w:tab w:val="left" w:pos="7200"/>
          <w:tab w:val="left" w:pos="7920"/>
          <w:tab w:val="left" w:pos="8640"/>
        </w:tabs>
        <w:spacing w:before="200"/>
        <w:rPr>
          <w:sz w:val="20"/>
          <w:u w:val="single"/>
        </w:rPr>
      </w:pPr>
      <w:r w:rsidRPr="00BA60DB">
        <w:rPr>
          <w:sz w:val="20"/>
        </w:rPr>
        <w:t>a)</w:t>
      </w:r>
      <w:r w:rsidRPr="00BA60DB">
        <w:rPr>
          <w:sz w:val="20"/>
        </w:rPr>
        <w:tab/>
      </w:r>
      <w:r w:rsidRPr="00BA60DB">
        <w:rPr>
          <w:sz w:val="20"/>
          <w:u w:val="single"/>
        </w:rPr>
        <w:t>Licencias y marcas</w:t>
      </w:r>
    </w:p>
    <w:p w14:paraId="5D57CCFF" w14:textId="77777777" w:rsidR="006220A2" w:rsidRPr="00BA60DB" w:rsidRDefault="006220A2" w:rsidP="006220A2">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ind w:left="284"/>
        <w:jc w:val="both"/>
        <w:textAlignment w:val="auto"/>
        <w:rPr>
          <w:rFonts w:cs="Arial"/>
          <w:noProof w:val="0"/>
          <w:snapToGrid w:val="0"/>
          <w:sz w:val="20"/>
        </w:rPr>
      </w:pPr>
      <w:r w:rsidRPr="00BA60DB">
        <w:rPr>
          <w:rFonts w:cs="Arial"/>
          <w:noProof w:val="0"/>
          <w:snapToGrid w:val="0"/>
          <w:sz w:val="20"/>
        </w:rPr>
        <w:t>Las licencias y marcas tienen una vida útil definida y se llevan a coste menos amortización acumulada y correcciones por deterioro del valor reconocidas. La amortización se calcula por el método lineal para asignar el coste de las marcas y licencias durante su vida útil estimada (10 años).</w:t>
      </w:r>
    </w:p>
    <w:p w14:paraId="0C602C2E" w14:textId="77777777" w:rsidR="006220A2" w:rsidRPr="00BA60DB" w:rsidRDefault="006220A2" w:rsidP="006220A2">
      <w:pPr>
        <w:widowControl w:val="0"/>
        <w:tabs>
          <w:tab w:val="left" w:pos="284"/>
          <w:tab w:val="left" w:pos="2880"/>
          <w:tab w:val="left" w:pos="3600"/>
          <w:tab w:val="left" w:pos="4320"/>
          <w:tab w:val="left" w:pos="5040"/>
          <w:tab w:val="left" w:pos="5760"/>
          <w:tab w:val="left" w:pos="6480"/>
          <w:tab w:val="left" w:pos="7200"/>
          <w:tab w:val="left" w:pos="7920"/>
          <w:tab w:val="left" w:pos="8640"/>
        </w:tabs>
        <w:spacing w:before="200"/>
        <w:rPr>
          <w:sz w:val="20"/>
          <w:u w:val="single"/>
        </w:rPr>
      </w:pPr>
      <w:r w:rsidRPr="00BA60DB">
        <w:rPr>
          <w:sz w:val="20"/>
        </w:rPr>
        <w:t>b)</w:t>
      </w:r>
      <w:r w:rsidRPr="00BA60DB">
        <w:rPr>
          <w:sz w:val="20"/>
        </w:rPr>
        <w:tab/>
      </w:r>
      <w:r w:rsidRPr="00BA60DB">
        <w:rPr>
          <w:sz w:val="20"/>
          <w:u w:val="single"/>
        </w:rPr>
        <w:t>Aplicaciones informáticas</w:t>
      </w:r>
    </w:p>
    <w:p w14:paraId="608B9682" w14:textId="77777777" w:rsidR="006220A2" w:rsidRPr="00BA60DB" w:rsidRDefault="006220A2" w:rsidP="006220A2">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ind w:left="284"/>
        <w:jc w:val="both"/>
        <w:textAlignment w:val="auto"/>
        <w:rPr>
          <w:rFonts w:cs="Arial"/>
          <w:noProof w:val="0"/>
          <w:snapToGrid w:val="0"/>
          <w:sz w:val="20"/>
        </w:rPr>
      </w:pPr>
      <w:r w:rsidRPr="00BA60DB">
        <w:rPr>
          <w:rFonts w:cs="Arial"/>
          <w:noProof w:val="0"/>
          <w:snapToGrid w:val="0"/>
          <w:sz w:val="20"/>
        </w:rPr>
        <w:t>Las licencias para programas informáticos adquiridas a terceros se capitalizan sobre la base de los costes en que se ha incurrido para adquirirlas y prepararlas para usar el programa específico. Estos costes se amortizan durante sus vidas útiles estimadas (3 años).</w:t>
      </w:r>
    </w:p>
    <w:p w14:paraId="6619E319" w14:textId="77777777" w:rsidR="006220A2" w:rsidRPr="00BA60DB" w:rsidRDefault="006220A2" w:rsidP="006220A2">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ind w:left="284"/>
        <w:jc w:val="both"/>
        <w:textAlignment w:val="auto"/>
        <w:rPr>
          <w:rFonts w:cs="Arial"/>
          <w:noProof w:val="0"/>
          <w:snapToGrid w:val="0"/>
          <w:sz w:val="20"/>
        </w:rPr>
      </w:pPr>
      <w:r w:rsidRPr="00BA60DB">
        <w:rPr>
          <w:rFonts w:cs="Arial"/>
          <w:noProof w:val="0"/>
          <w:snapToGrid w:val="0"/>
          <w:sz w:val="20"/>
        </w:rPr>
        <w:t>Los gastos relacionados con el mantenimiento de programas informáticos se reconocen como gasto cuando se incurre en ellos.</w:t>
      </w:r>
    </w:p>
    <w:p w14:paraId="0A2A292D" w14:textId="77777777" w:rsidR="006220A2" w:rsidRPr="00BA60DB" w:rsidRDefault="006220A2" w:rsidP="006220A2">
      <w:pPr>
        <w:widowControl w:val="0"/>
        <w:tabs>
          <w:tab w:val="left" w:pos="567"/>
        </w:tabs>
        <w:spacing w:before="200"/>
        <w:rPr>
          <w:snapToGrid w:val="0"/>
          <w:sz w:val="20"/>
        </w:rPr>
      </w:pPr>
      <w:r>
        <w:rPr>
          <w:b/>
          <w:sz w:val="20"/>
        </w:rPr>
        <w:t>4</w:t>
      </w:r>
      <w:r w:rsidRPr="00BA60DB">
        <w:rPr>
          <w:b/>
          <w:sz w:val="20"/>
        </w:rPr>
        <w:t xml:space="preserve">.2 </w:t>
      </w:r>
      <w:r>
        <w:rPr>
          <w:b/>
          <w:sz w:val="20"/>
        </w:rPr>
        <w:tab/>
      </w:r>
      <w:r w:rsidRPr="00BA60DB">
        <w:rPr>
          <w:b/>
          <w:sz w:val="20"/>
        </w:rPr>
        <w:t>Inmovilizado material</w:t>
      </w:r>
    </w:p>
    <w:p w14:paraId="0E7A56D4" w14:textId="77777777" w:rsidR="006220A2" w:rsidRPr="00BA60DB" w:rsidRDefault="006220A2" w:rsidP="006220A2">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jc w:val="both"/>
        <w:textAlignment w:val="auto"/>
        <w:rPr>
          <w:rFonts w:cs="Arial"/>
          <w:noProof w:val="0"/>
          <w:snapToGrid w:val="0"/>
          <w:sz w:val="20"/>
        </w:rPr>
      </w:pPr>
      <w:r w:rsidRPr="00BA60DB">
        <w:rPr>
          <w:rFonts w:cs="Arial"/>
          <w:noProof w:val="0"/>
          <w:snapToGrid w:val="0"/>
          <w:sz w:val="20"/>
        </w:rPr>
        <w:t xml:space="preserve">Los elementos del inmovilizado material se reconocen por su precio de adquisición o coste de producción menos la amortización acumulada y el importe acumulado de las pérdidas reconocidas. </w:t>
      </w:r>
    </w:p>
    <w:p w14:paraId="0661AE54" w14:textId="77777777" w:rsidR="006220A2" w:rsidRDefault="006220A2" w:rsidP="006220A2">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jc w:val="both"/>
        <w:textAlignment w:val="auto"/>
        <w:rPr>
          <w:rFonts w:cs="Arial"/>
          <w:noProof w:val="0"/>
          <w:snapToGrid w:val="0"/>
          <w:sz w:val="20"/>
        </w:rPr>
      </w:pPr>
      <w:r w:rsidRPr="00BA60DB">
        <w:rPr>
          <w:rFonts w:cs="Arial"/>
          <w:noProof w:val="0"/>
          <w:snapToGrid w:val="0"/>
          <w:sz w:val="20"/>
        </w:rPr>
        <w:t>Los costes de ampliación, modernización o mejora de los bienes del inmovilizado material se incorporan al activo como mayor valor del bien exclusivamente cuando suponen un aumento de su capacidad, productividad o alargamiento de su vida útil, y siempre que sea posible conocer o estimar el valor contable de los elementos que resultan dados de baja del inventario por haber sido sustituidos.</w:t>
      </w:r>
    </w:p>
    <w:p w14:paraId="6C697F8A" w14:textId="77777777" w:rsidR="006220A2" w:rsidRPr="00BA60DB" w:rsidRDefault="006220A2" w:rsidP="006220A2">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jc w:val="both"/>
        <w:textAlignment w:val="auto"/>
        <w:rPr>
          <w:rFonts w:cs="Arial"/>
          <w:noProof w:val="0"/>
          <w:snapToGrid w:val="0"/>
          <w:sz w:val="20"/>
        </w:rPr>
      </w:pPr>
      <w:r w:rsidRPr="00BA60DB">
        <w:rPr>
          <w:rFonts w:cs="Arial"/>
          <w:noProof w:val="0"/>
          <w:snapToGrid w:val="0"/>
          <w:sz w:val="20"/>
        </w:rPr>
        <w:t>Los costes de reparaciones importantes se activan y se amortizan durante la vida útil estimada de los mismos, mientras que los gastos de mantenimiento recurrentes se cargan en la cuenta de pérdidas y ganancias durante el ejercicio en que se incurre en ellos.</w:t>
      </w:r>
    </w:p>
    <w:p w14:paraId="264EC5B9" w14:textId="77777777" w:rsidR="006220A2" w:rsidRPr="00BA60DB" w:rsidRDefault="006220A2" w:rsidP="006220A2">
      <w:pPr>
        <w:pStyle w:val="TextePrinc"/>
        <w:keepNext/>
        <w:keepLines/>
        <w:widowControl w:val="0"/>
        <w:tabs>
          <w:tab w:val="left" w:pos="-384"/>
          <w:tab w:val="left" w:pos="325"/>
          <w:tab w:val="left" w:pos="1035"/>
          <w:tab w:val="left" w:pos="1741"/>
          <w:tab w:val="left" w:pos="2451"/>
          <w:tab w:val="left" w:pos="3160"/>
          <w:tab w:val="left" w:pos="3864"/>
          <w:tab w:val="left" w:pos="4571"/>
          <w:tab w:val="left" w:pos="5280"/>
          <w:tab w:val="left" w:pos="5990"/>
          <w:tab w:val="left" w:pos="6699"/>
        </w:tabs>
        <w:overflowPunct/>
        <w:autoSpaceDE/>
        <w:autoSpaceDN/>
        <w:adjustRightInd/>
        <w:spacing w:before="120" w:after="120"/>
        <w:jc w:val="both"/>
        <w:textAlignment w:val="auto"/>
        <w:rPr>
          <w:rFonts w:cs="Arial"/>
          <w:noProof w:val="0"/>
          <w:snapToGrid w:val="0"/>
          <w:sz w:val="20"/>
        </w:rPr>
      </w:pPr>
      <w:r w:rsidRPr="00BA60DB">
        <w:rPr>
          <w:rFonts w:cs="Arial"/>
          <w:noProof w:val="0"/>
          <w:snapToGrid w:val="0"/>
          <w:sz w:val="20"/>
        </w:rPr>
        <w:t>La amortización del inmovilizado material, con excepción de los terrenos que no se amortizan, se calcula sistemáticamente por el método lineal en función de su vida útil estimada, atendiendo a la depreciación efectivamente sufrida por su funcionamiento, uso y disfrute. Las vidas útiles estimadas son:</w:t>
      </w:r>
    </w:p>
    <w:tbl>
      <w:tblPr>
        <w:tblW w:w="5813" w:type="dxa"/>
        <w:jc w:val="center"/>
        <w:tblLook w:val="04A0" w:firstRow="1" w:lastRow="0" w:firstColumn="1" w:lastColumn="0" w:noHBand="0" w:noVBand="1"/>
      </w:tblPr>
      <w:tblGrid>
        <w:gridCol w:w="3970"/>
        <w:gridCol w:w="1843"/>
      </w:tblGrid>
      <w:tr w:rsidR="006220A2" w:rsidRPr="00070E05" w14:paraId="7F4469B6" w14:textId="77777777" w:rsidTr="00852114">
        <w:trPr>
          <w:trHeight w:val="340"/>
          <w:jc w:val="center"/>
        </w:trPr>
        <w:tc>
          <w:tcPr>
            <w:tcW w:w="3970" w:type="dxa"/>
            <w:tcBorders>
              <w:top w:val="single" w:sz="4" w:space="0" w:color="auto"/>
              <w:bottom w:val="single" w:sz="4" w:space="0" w:color="auto"/>
            </w:tcBorders>
            <w:shd w:val="clear" w:color="auto" w:fill="auto"/>
            <w:vAlign w:val="bottom"/>
          </w:tcPr>
          <w:p w14:paraId="370415F6" w14:textId="77777777" w:rsidR="006220A2" w:rsidRPr="00070E05" w:rsidRDefault="006220A2" w:rsidP="0085211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b/>
                <w:noProof w:val="0"/>
                <w:snapToGrid w:val="0"/>
                <w:szCs w:val="18"/>
              </w:rPr>
            </w:pPr>
            <w:r w:rsidRPr="00070E05">
              <w:rPr>
                <w:rFonts w:cs="Arial"/>
                <w:b/>
                <w:noProof w:val="0"/>
                <w:snapToGrid w:val="0"/>
                <w:szCs w:val="18"/>
              </w:rPr>
              <w:t>Descripción</w:t>
            </w:r>
          </w:p>
        </w:tc>
        <w:tc>
          <w:tcPr>
            <w:tcW w:w="1843" w:type="dxa"/>
            <w:tcBorders>
              <w:top w:val="single" w:sz="4" w:space="0" w:color="auto"/>
              <w:bottom w:val="single" w:sz="4" w:space="0" w:color="auto"/>
            </w:tcBorders>
            <w:shd w:val="clear" w:color="auto" w:fill="auto"/>
            <w:vAlign w:val="bottom"/>
          </w:tcPr>
          <w:p w14:paraId="32CB4A58" w14:textId="77777777" w:rsidR="006220A2" w:rsidRPr="00070E05" w:rsidRDefault="006220A2" w:rsidP="0085211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b/>
                <w:noProof w:val="0"/>
                <w:snapToGrid w:val="0"/>
                <w:szCs w:val="18"/>
              </w:rPr>
            </w:pPr>
            <w:r w:rsidRPr="00070E05">
              <w:rPr>
                <w:rFonts w:cs="Arial"/>
                <w:b/>
                <w:noProof w:val="0"/>
                <w:snapToGrid w:val="0"/>
                <w:szCs w:val="18"/>
              </w:rPr>
              <w:t>Años de vida útil</w:t>
            </w:r>
          </w:p>
          <w:p w14:paraId="3BEFF2DA" w14:textId="77777777" w:rsidR="006220A2" w:rsidRPr="00070E05" w:rsidRDefault="006220A2" w:rsidP="0085211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b/>
                <w:noProof w:val="0"/>
                <w:snapToGrid w:val="0"/>
                <w:szCs w:val="18"/>
              </w:rPr>
            </w:pPr>
            <w:r w:rsidRPr="00070E05">
              <w:rPr>
                <w:rFonts w:cs="Arial"/>
                <w:b/>
                <w:noProof w:val="0"/>
                <w:snapToGrid w:val="0"/>
                <w:szCs w:val="18"/>
              </w:rPr>
              <w:t>estimada</w:t>
            </w:r>
          </w:p>
        </w:tc>
      </w:tr>
      <w:tr w:rsidR="006220A2" w:rsidRPr="00070E05" w14:paraId="4F861053" w14:textId="77777777" w:rsidTr="003A4111">
        <w:trPr>
          <w:trHeight w:val="283"/>
          <w:jc w:val="center"/>
        </w:trPr>
        <w:tc>
          <w:tcPr>
            <w:tcW w:w="3970" w:type="dxa"/>
            <w:tcBorders>
              <w:top w:val="single" w:sz="4" w:space="0" w:color="auto"/>
            </w:tcBorders>
            <w:shd w:val="clear" w:color="auto" w:fill="auto"/>
            <w:vAlign w:val="center"/>
          </w:tcPr>
          <w:p w14:paraId="7E98671F" w14:textId="77777777" w:rsidR="006220A2" w:rsidRPr="00070E05" w:rsidRDefault="006220A2" w:rsidP="003A4111">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rPr>
                <w:rFonts w:cs="Arial"/>
                <w:noProof w:val="0"/>
                <w:snapToGrid w:val="0"/>
                <w:szCs w:val="18"/>
              </w:rPr>
            </w:pPr>
            <w:r w:rsidRPr="00070E05">
              <w:rPr>
                <w:rFonts w:cs="Arial"/>
                <w:noProof w:val="0"/>
                <w:snapToGrid w:val="0"/>
                <w:szCs w:val="18"/>
              </w:rPr>
              <w:t>Construcciones</w:t>
            </w:r>
          </w:p>
        </w:tc>
        <w:tc>
          <w:tcPr>
            <w:tcW w:w="1843" w:type="dxa"/>
            <w:tcBorders>
              <w:top w:val="single" w:sz="4" w:space="0" w:color="auto"/>
            </w:tcBorders>
            <w:shd w:val="clear" w:color="auto" w:fill="auto"/>
            <w:vAlign w:val="center"/>
          </w:tcPr>
          <w:p w14:paraId="37B901C7" w14:textId="77777777" w:rsidR="006220A2" w:rsidRPr="00070E05" w:rsidRDefault="006220A2" w:rsidP="0085211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noProof w:val="0"/>
                <w:snapToGrid w:val="0"/>
                <w:szCs w:val="18"/>
              </w:rPr>
            </w:pPr>
            <w:r w:rsidRPr="00070E05">
              <w:rPr>
                <w:rFonts w:cs="Arial"/>
                <w:noProof w:val="0"/>
                <w:snapToGrid w:val="0"/>
                <w:szCs w:val="18"/>
              </w:rPr>
              <w:t>3-30</w:t>
            </w:r>
          </w:p>
        </w:tc>
      </w:tr>
      <w:tr w:rsidR="006220A2" w:rsidRPr="00070E05" w14:paraId="76920CBA" w14:textId="77777777" w:rsidTr="003A4111">
        <w:trPr>
          <w:trHeight w:val="283"/>
          <w:jc w:val="center"/>
        </w:trPr>
        <w:tc>
          <w:tcPr>
            <w:tcW w:w="3970" w:type="dxa"/>
            <w:shd w:val="clear" w:color="auto" w:fill="auto"/>
            <w:vAlign w:val="center"/>
          </w:tcPr>
          <w:p w14:paraId="652D229B" w14:textId="77777777" w:rsidR="006220A2" w:rsidRPr="00070E05" w:rsidRDefault="006220A2" w:rsidP="003A4111">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rPr>
                <w:rFonts w:cs="Arial"/>
                <w:noProof w:val="0"/>
                <w:snapToGrid w:val="0"/>
                <w:szCs w:val="18"/>
              </w:rPr>
            </w:pPr>
            <w:r w:rsidRPr="00070E05">
              <w:rPr>
                <w:rFonts w:cs="Arial"/>
                <w:noProof w:val="0"/>
                <w:snapToGrid w:val="0"/>
                <w:szCs w:val="18"/>
              </w:rPr>
              <w:t>Instalaciones técnicas</w:t>
            </w:r>
          </w:p>
        </w:tc>
        <w:tc>
          <w:tcPr>
            <w:tcW w:w="1843" w:type="dxa"/>
            <w:shd w:val="clear" w:color="auto" w:fill="auto"/>
            <w:vAlign w:val="center"/>
          </w:tcPr>
          <w:p w14:paraId="0F958813" w14:textId="77777777" w:rsidR="006220A2" w:rsidRPr="00070E05" w:rsidRDefault="006220A2" w:rsidP="0085211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noProof w:val="0"/>
                <w:snapToGrid w:val="0"/>
                <w:szCs w:val="18"/>
              </w:rPr>
            </w:pPr>
            <w:r w:rsidRPr="00070E05">
              <w:rPr>
                <w:rFonts w:cs="Arial"/>
                <w:noProof w:val="0"/>
                <w:snapToGrid w:val="0"/>
                <w:szCs w:val="18"/>
              </w:rPr>
              <w:t>3-8</w:t>
            </w:r>
          </w:p>
        </w:tc>
      </w:tr>
      <w:tr w:rsidR="006220A2" w:rsidRPr="00070E05" w14:paraId="55CA7B43" w14:textId="77777777" w:rsidTr="003A4111">
        <w:trPr>
          <w:trHeight w:val="283"/>
          <w:jc w:val="center"/>
        </w:trPr>
        <w:tc>
          <w:tcPr>
            <w:tcW w:w="3970" w:type="dxa"/>
            <w:shd w:val="clear" w:color="auto" w:fill="auto"/>
            <w:vAlign w:val="center"/>
          </w:tcPr>
          <w:p w14:paraId="5BFF34E1" w14:textId="77777777" w:rsidR="006220A2" w:rsidRPr="00070E05" w:rsidRDefault="006220A2" w:rsidP="003A4111">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rPr>
                <w:rFonts w:cs="Arial"/>
                <w:noProof w:val="0"/>
                <w:snapToGrid w:val="0"/>
                <w:szCs w:val="18"/>
              </w:rPr>
            </w:pPr>
            <w:r w:rsidRPr="00070E05">
              <w:rPr>
                <w:rFonts w:cs="Arial"/>
                <w:noProof w:val="0"/>
                <w:snapToGrid w:val="0"/>
                <w:szCs w:val="18"/>
              </w:rPr>
              <w:t>Mobiliario</w:t>
            </w:r>
          </w:p>
        </w:tc>
        <w:tc>
          <w:tcPr>
            <w:tcW w:w="1843" w:type="dxa"/>
            <w:shd w:val="clear" w:color="auto" w:fill="auto"/>
            <w:vAlign w:val="center"/>
          </w:tcPr>
          <w:p w14:paraId="689C7893" w14:textId="77777777" w:rsidR="006220A2" w:rsidRPr="00070E05" w:rsidRDefault="006220A2" w:rsidP="0085211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noProof w:val="0"/>
                <w:snapToGrid w:val="0"/>
                <w:szCs w:val="18"/>
              </w:rPr>
            </w:pPr>
            <w:r w:rsidRPr="00070E05">
              <w:rPr>
                <w:rFonts w:cs="Arial"/>
                <w:noProof w:val="0"/>
                <w:snapToGrid w:val="0"/>
                <w:szCs w:val="18"/>
              </w:rPr>
              <w:t>3-10</w:t>
            </w:r>
          </w:p>
        </w:tc>
      </w:tr>
      <w:tr w:rsidR="006220A2" w:rsidRPr="00070E05" w14:paraId="61007F49" w14:textId="77777777" w:rsidTr="003A4111">
        <w:trPr>
          <w:trHeight w:val="283"/>
          <w:jc w:val="center"/>
        </w:trPr>
        <w:tc>
          <w:tcPr>
            <w:tcW w:w="3970" w:type="dxa"/>
            <w:shd w:val="clear" w:color="auto" w:fill="auto"/>
            <w:vAlign w:val="center"/>
          </w:tcPr>
          <w:p w14:paraId="53E7ADB4" w14:textId="77777777" w:rsidR="006220A2" w:rsidRPr="00070E05" w:rsidRDefault="006220A2" w:rsidP="003A4111">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rPr>
                <w:rFonts w:cs="Arial"/>
                <w:noProof w:val="0"/>
                <w:snapToGrid w:val="0"/>
                <w:szCs w:val="18"/>
              </w:rPr>
            </w:pPr>
            <w:r w:rsidRPr="00070E05">
              <w:rPr>
                <w:rFonts w:cs="Arial"/>
                <w:noProof w:val="0"/>
                <w:snapToGrid w:val="0"/>
                <w:szCs w:val="18"/>
              </w:rPr>
              <w:t>Equipos para procesos de información</w:t>
            </w:r>
          </w:p>
        </w:tc>
        <w:tc>
          <w:tcPr>
            <w:tcW w:w="1843" w:type="dxa"/>
            <w:shd w:val="clear" w:color="auto" w:fill="auto"/>
            <w:vAlign w:val="center"/>
          </w:tcPr>
          <w:p w14:paraId="79FFAF99" w14:textId="77777777" w:rsidR="006220A2" w:rsidRPr="00070E05" w:rsidRDefault="006220A2" w:rsidP="0085211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noProof w:val="0"/>
                <w:snapToGrid w:val="0"/>
                <w:szCs w:val="18"/>
              </w:rPr>
            </w:pPr>
            <w:r w:rsidRPr="00070E05">
              <w:rPr>
                <w:rFonts w:cs="Arial"/>
                <w:noProof w:val="0"/>
                <w:snapToGrid w:val="0"/>
                <w:szCs w:val="18"/>
              </w:rPr>
              <w:t>2-4</w:t>
            </w:r>
          </w:p>
        </w:tc>
      </w:tr>
      <w:tr w:rsidR="006220A2" w:rsidRPr="00070E05" w14:paraId="5DC7ED82" w14:textId="77777777" w:rsidTr="003A4111">
        <w:trPr>
          <w:trHeight w:val="283"/>
          <w:jc w:val="center"/>
        </w:trPr>
        <w:tc>
          <w:tcPr>
            <w:tcW w:w="3970" w:type="dxa"/>
            <w:tcBorders>
              <w:bottom w:val="single" w:sz="4" w:space="0" w:color="auto"/>
            </w:tcBorders>
            <w:shd w:val="clear" w:color="auto" w:fill="auto"/>
            <w:vAlign w:val="center"/>
          </w:tcPr>
          <w:p w14:paraId="6B1FF35A" w14:textId="77777777" w:rsidR="006220A2" w:rsidRPr="00070E05" w:rsidRDefault="006220A2" w:rsidP="003A4111">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rPr>
                <w:rFonts w:cs="Arial"/>
                <w:noProof w:val="0"/>
                <w:snapToGrid w:val="0"/>
                <w:szCs w:val="18"/>
              </w:rPr>
            </w:pPr>
            <w:r w:rsidRPr="00070E05">
              <w:rPr>
                <w:rFonts w:cs="Arial"/>
                <w:noProof w:val="0"/>
                <w:snapToGrid w:val="0"/>
                <w:szCs w:val="18"/>
              </w:rPr>
              <w:t>Otro inmovilizado material</w:t>
            </w:r>
          </w:p>
        </w:tc>
        <w:tc>
          <w:tcPr>
            <w:tcW w:w="1843" w:type="dxa"/>
            <w:tcBorders>
              <w:bottom w:val="single" w:sz="4" w:space="0" w:color="auto"/>
            </w:tcBorders>
            <w:shd w:val="clear" w:color="auto" w:fill="auto"/>
            <w:vAlign w:val="center"/>
          </w:tcPr>
          <w:p w14:paraId="43C7A9BF" w14:textId="77777777" w:rsidR="006220A2" w:rsidRPr="00070E05" w:rsidRDefault="006220A2" w:rsidP="0085211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noProof w:val="0"/>
                <w:snapToGrid w:val="0"/>
                <w:szCs w:val="18"/>
              </w:rPr>
            </w:pPr>
            <w:r w:rsidRPr="00070E05">
              <w:rPr>
                <w:rFonts w:cs="Arial"/>
                <w:noProof w:val="0"/>
                <w:snapToGrid w:val="0"/>
                <w:szCs w:val="18"/>
              </w:rPr>
              <w:t>3-8</w:t>
            </w:r>
          </w:p>
        </w:tc>
      </w:tr>
    </w:tbl>
    <w:p w14:paraId="59EF8E5C" w14:textId="77777777" w:rsidR="006220A2" w:rsidRPr="00BA60DB" w:rsidRDefault="006220A2" w:rsidP="006220A2">
      <w:pPr>
        <w:pStyle w:val="TextePrinc"/>
        <w:widowControl w:val="0"/>
        <w:tabs>
          <w:tab w:val="left" w:pos="-384"/>
          <w:tab w:val="left" w:pos="325"/>
          <w:tab w:val="left" w:pos="1035"/>
          <w:tab w:val="left" w:pos="1741"/>
          <w:tab w:val="left" w:pos="2451"/>
          <w:tab w:val="left" w:pos="3160"/>
          <w:tab w:val="left" w:pos="3864"/>
          <w:tab w:val="left" w:pos="4571"/>
          <w:tab w:val="left" w:pos="5280"/>
          <w:tab w:val="left" w:pos="5990"/>
          <w:tab w:val="left" w:pos="6699"/>
        </w:tabs>
        <w:overflowPunct/>
        <w:autoSpaceDE/>
        <w:autoSpaceDN/>
        <w:adjustRightInd/>
        <w:spacing w:before="200"/>
        <w:jc w:val="both"/>
        <w:textAlignment w:val="auto"/>
        <w:rPr>
          <w:rFonts w:cs="Arial"/>
          <w:noProof w:val="0"/>
          <w:snapToGrid w:val="0"/>
          <w:sz w:val="20"/>
        </w:rPr>
      </w:pPr>
      <w:r w:rsidRPr="00BA60DB">
        <w:rPr>
          <w:rFonts w:cs="Arial"/>
          <w:noProof w:val="0"/>
          <w:snapToGrid w:val="0"/>
          <w:sz w:val="20"/>
        </w:rPr>
        <w:t xml:space="preserve">Las adquisiciones realizadas del inmovilizado proveniente de la sociedad SATURNO que fueron adquiridos por Promotur en el ejercicio 2006, se </w:t>
      </w:r>
      <w:r w:rsidR="00D509C6">
        <w:rPr>
          <w:rFonts w:cs="Arial"/>
          <w:noProof w:val="0"/>
          <w:snapToGrid w:val="0"/>
          <w:sz w:val="20"/>
        </w:rPr>
        <w:t>han</w:t>
      </w:r>
      <w:r w:rsidRPr="00BA60DB">
        <w:rPr>
          <w:rFonts w:cs="Arial"/>
          <w:noProof w:val="0"/>
          <w:snapToGrid w:val="0"/>
          <w:sz w:val="20"/>
        </w:rPr>
        <w:t xml:space="preserve"> amortizando al doble de su porcentaje de amortización. </w:t>
      </w:r>
    </w:p>
    <w:p w14:paraId="56353C1B" w14:textId="77777777" w:rsidR="006220A2" w:rsidRPr="00BA60DB" w:rsidRDefault="006220A2" w:rsidP="006220A2">
      <w:pPr>
        <w:pStyle w:val="TextePrinc"/>
        <w:widowControl w:val="0"/>
        <w:tabs>
          <w:tab w:val="clear" w:pos="1413"/>
          <w:tab w:val="clear" w:pos="2122"/>
          <w:tab w:val="clear" w:pos="2832"/>
          <w:tab w:val="clear" w:pos="3538"/>
          <w:tab w:val="clear" w:pos="4248"/>
          <w:tab w:val="clear" w:pos="4957"/>
          <w:tab w:val="clear" w:pos="5661"/>
          <w:tab w:val="clear" w:pos="6368"/>
          <w:tab w:val="clear" w:pos="7077"/>
          <w:tab w:val="clear" w:pos="7787"/>
          <w:tab w:val="clear" w:pos="8496"/>
        </w:tabs>
        <w:overflowPunct/>
        <w:autoSpaceDE/>
        <w:autoSpaceDN/>
        <w:adjustRightInd/>
        <w:spacing w:before="120"/>
        <w:jc w:val="both"/>
        <w:textAlignment w:val="auto"/>
        <w:rPr>
          <w:rFonts w:cs="Arial"/>
          <w:noProof w:val="0"/>
          <w:snapToGrid w:val="0"/>
          <w:sz w:val="20"/>
        </w:rPr>
      </w:pPr>
      <w:r w:rsidRPr="00BA60DB">
        <w:rPr>
          <w:rFonts w:cs="Arial"/>
          <w:noProof w:val="0"/>
          <w:snapToGrid w:val="0"/>
          <w:sz w:val="20"/>
        </w:rPr>
        <w:t>El valor residual y la vida útil de los activos se revisa, ajustándose si fuese necesario, en la fecha de cada balance.</w:t>
      </w:r>
    </w:p>
    <w:p w14:paraId="534FCC19" w14:textId="77777777" w:rsidR="006220A2" w:rsidRPr="00BA60DB" w:rsidRDefault="006220A2" w:rsidP="006220A2">
      <w:pPr>
        <w:pStyle w:val="TextePrinc"/>
        <w:widowControl w:val="0"/>
        <w:tabs>
          <w:tab w:val="left" w:pos="-384"/>
          <w:tab w:val="left" w:pos="325"/>
          <w:tab w:val="left" w:pos="1035"/>
          <w:tab w:val="left" w:pos="1741"/>
          <w:tab w:val="left" w:pos="2451"/>
          <w:tab w:val="left" w:pos="3160"/>
          <w:tab w:val="left" w:pos="3864"/>
          <w:tab w:val="left" w:pos="4571"/>
          <w:tab w:val="left" w:pos="5280"/>
          <w:tab w:val="left" w:pos="5990"/>
          <w:tab w:val="left" w:pos="6699"/>
        </w:tabs>
        <w:overflowPunct/>
        <w:autoSpaceDE/>
        <w:autoSpaceDN/>
        <w:adjustRightInd/>
        <w:spacing w:before="120"/>
        <w:jc w:val="both"/>
        <w:textAlignment w:val="auto"/>
        <w:rPr>
          <w:rFonts w:cs="Arial"/>
          <w:noProof w:val="0"/>
          <w:snapToGrid w:val="0"/>
          <w:sz w:val="20"/>
        </w:rPr>
      </w:pPr>
      <w:r w:rsidRPr="00BA60DB">
        <w:rPr>
          <w:rFonts w:cs="Arial"/>
          <w:noProof w:val="0"/>
          <w:snapToGrid w:val="0"/>
          <w:sz w:val="20"/>
        </w:rPr>
        <w:t>Cuando el valor contable de un activo es superior a su importe recuperable estimado, su valor se reduce de forma inmediata hasta su importe recuperable.</w:t>
      </w:r>
    </w:p>
    <w:p w14:paraId="3755B153" w14:textId="77777777" w:rsidR="006220A2" w:rsidRPr="00BA60DB" w:rsidRDefault="006220A2" w:rsidP="006220A2">
      <w:pPr>
        <w:widowControl w:val="0"/>
        <w:spacing w:before="120"/>
        <w:jc w:val="both"/>
        <w:rPr>
          <w:snapToGrid w:val="0"/>
          <w:sz w:val="20"/>
        </w:rPr>
      </w:pPr>
      <w:r w:rsidRPr="00BA60DB">
        <w:rPr>
          <w:snapToGrid w:val="0"/>
          <w:sz w:val="20"/>
        </w:rPr>
        <w:t>Las pérdidas y ganancias por la venta de inmovilizado material se calculan comparando los ingresos obtenidos por la venta con el valor contable y se registran en la cuenta de pérdidas y ganancias.</w:t>
      </w:r>
    </w:p>
    <w:p w14:paraId="6D80999D" w14:textId="77777777" w:rsidR="006220A2" w:rsidRPr="00BA60DB" w:rsidRDefault="006220A2" w:rsidP="006220A2">
      <w:pPr>
        <w:widowControl w:val="0"/>
        <w:tabs>
          <w:tab w:val="left" w:pos="567"/>
        </w:tabs>
        <w:spacing w:before="200"/>
        <w:rPr>
          <w:b/>
          <w:sz w:val="20"/>
        </w:rPr>
      </w:pPr>
      <w:r>
        <w:rPr>
          <w:b/>
          <w:sz w:val="20"/>
        </w:rPr>
        <w:t>4</w:t>
      </w:r>
      <w:r w:rsidRPr="00BA60DB">
        <w:rPr>
          <w:b/>
          <w:sz w:val="20"/>
        </w:rPr>
        <w:t xml:space="preserve">.3 </w:t>
      </w:r>
      <w:r>
        <w:rPr>
          <w:b/>
          <w:sz w:val="20"/>
        </w:rPr>
        <w:tab/>
      </w:r>
      <w:r w:rsidRPr="00BA60DB">
        <w:rPr>
          <w:b/>
          <w:sz w:val="20"/>
        </w:rPr>
        <w:t>Activos financieros</w:t>
      </w:r>
    </w:p>
    <w:p w14:paraId="7991FB6A" w14:textId="77777777" w:rsidR="006220A2" w:rsidRDefault="006220A2" w:rsidP="006220A2">
      <w:pPr>
        <w:widowControl w:val="0"/>
        <w:tabs>
          <w:tab w:val="left" w:pos="426"/>
        </w:tabs>
        <w:spacing w:before="120"/>
        <w:jc w:val="both"/>
        <w:rPr>
          <w:sz w:val="20"/>
          <w:u w:val="single"/>
        </w:rPr>
      </w:pPr>
      <w:r>
        <w:rPr>
          <w:sz w:val="20"/>
          <w:u w:val="single"/>
        </w:rPr>
        <w:t>Préstamos y partidas a cobrar</w:t>
      </w:r>
    </w:p>
    <w:p w14:paraId="70671A8D" w14:textId="77777777" w:rsidR="006220A2" w:rsidRPr="00BA60DB" w:rsidRDefault="006220A2" w:rsidP="006220A2">
      <w:pPr>
        <w:widowControl w:val="0"/>
        <w:tabs>
          <w:tab w:val="left" w:pos="426"/>
        </w:tabs>
        <w:spacing w:before="120"/>
        <w:jc w:val="both"/>
        <w:rPr>
          <w:sz w:val="20"/>
        </w:rPr>
      </w:pPr>
      <w:r w:rsidRPr="00BA60DB">
        <w:rPr>
          <w:sz w:val="20"/>
        </w:rPr>
        <w:t>Los préstamos y partidas a cobrar son activos financieros no derivados con cobros fijos o determinables que no cotizan en un mercado activo. Se incluyen en activos corrientes, excepto para vencimientos superiores a 12 meses a partir de la fecha del balance que se clasifican como activos no corrientes. Los préstamos y partidas a cobrar se incluyen en “Créditos a empresas” y “Deudores comerciales y otras cuentas a cobrar” en el balance.</w:t>
      </w:r>
    </w:p>
    <w:p w14:paraId="3E72759B" w14:textId="77777777" w:rsidR="006220A2" w:rsidRPr="00BA60DB" w:rsidRDefault="006220A2" w:rsidP="006220A2">
      <w:pPr>
        <w:widowControl w:val="0"/>
        <w:spacing w:before="120"/>
        <w:jc w:val="both"/>
        <w:rPr>
          <w:snapToGrid w:val="0"/>
          <w:sz w:val="20"/>
        </w:rPr>
      </w:pPr>
      <w:r w:rsidRPr="00BA60DB">
        <w:rPr>
          <w:sz w:val="20"/>
        </w:rPr>
        <w:t xml:space="preserve">Estos activos financieros se valoran inicialmente por su valor razonable, incluidos los costes de transacción que les sean directamente imputables, y posteriormente a coste amortizado reconociendo los intereses devengados en función de su tipo de interés efectivo, entendido como el tipo de actualización que iguala el valor en libros del instrumento con la totalidad de sus flujos de efectivo estimados hasta su vencimiento. No </w:t>
      </w:r>
      <w:r w:rsidR="00B42311" w:rsidRPr="00BA60DB">
        <w:rPr>
          <w:sz w:val="20"/>
        </w:rPr>
        <w:t>obstante,</w:t>
      </w:r>
      <w:r w:rsidRPr="00BA60DB">
        <w:rPr>
          <w:sz w:val="20"/>
        </w:rPr>
        <w:t xml:space="preserve"> lo anterior, los créditos por operaciones comerciales con vencimiento no superior a un año se valoran, tanto en el momento de reconocimiento inicial como posteriormente, por su valor nominal siempre que el efecto de no actualizar los flujos no sea significativo.</w:t>
      </w:r>
    </w:p>
    <w:p w14:paraId="481681D1" w14:textId="77777777" w:rsidR="006220A2" w:rsidRPr="00BA60DB" w:rsidRDefault="006220A2" w:rsidP="006220A2">
      <w:pPr>
        <w:widowControl w:val="0"/>
        <w:spacing w:before="120"/>
        <w:jc w:val="both"/>
        <w:rPr>
          <w:sz w:val="20"/>
        </w:rPr>
      </w:pPr>
      <w:r w:rsidRPr="00BA60DB">
        <w:rPr>
          <w:sz w:val="20"/>
        </w:rPr>
        <w:t>Al menos al cierre del ejercicio, se efectúan las correcciones valorativas necesarias por deterioro de valor si existe evidencia objetiva de que no se cobrarán todos los importes que se adeudan.</w:t>
      </w:r>
    </w:p>
    <w:p w14:paraId="227F05D8" w14:textId="77777777" w:rsidR="006220A2" w:rsidRPr="00BA60DB" w:rsidRDefault="006220A2" w:rsidP="006220A2">
      <w:pPr>
        <w:widowControl w:val="0"/>
        <w:spacing w:before="120"/>
        <w:jc w:val="both"/>
        <w:rPr>
          <w:sz w:val="20"/>
        </w:rPr>
      </w:pPr>
      <w:r w:rsidRPr="00BA60DB">
        <w:rPr>
          <w:sz w:val="20"/>
        </w:rPr>
        <w:t>El importe de la pérdida por deterioro del valor es la diferencia entre el valor en libros del activo y el valor actual de los flujos de efectivo futuros estimados, descontados al tipo de interés efectivo en el momento de reconocimiento inicial. Las correcciones de valor, así como en su caso su reversión, se reconocen en la cuenta de pérdidas y ganancias.</w:t>
      </w:r>
    </w:p>
    <w:p w14:paraId="7E0FFDEA" w14:textId="77777777" w:rsidR="006220A2" w:rsidRPr="00BA60DB" w:rsidRDefault="006220A2" w:rsidP="006220A2">
      <w:pPr>
        <w:widowControl w:val="0"/>
        <w:tabs>
          <w:tab w:val="left" w:pos="567"/>
        </w:tabs>
        <w:spacing w:before="200"/>
        <w:rPr>
          <w:b/>
          <w:sz w:val="20"/>
        </w:rPr>
      </w:pPr>
      <w:r>
        <w:rPr>
          <w:b/>
          <w:sz w:val="20"/>
        </w:rPr>
        <w:t>4</w:t>
      </w:r>
      <w:r w:rsidRPr="00BA60DB">
        <w:rPr>
          <w:b/>
          <w:sz w:val="20"/>
        </w:rPr>
        <w:t xml:space="preserve">.4 </w:t>
      </w:r>
      <w:r>
        <w:rPr>
          <w:b/>
          <w:sz w:val="20"/>
        </w:rPr>
        <w:tab/>
      </w:r>
      <w:r w:rsidRPr="00BA60DB">
        <w:rPr>
          <w:b/>
          <w:sz w:val="20"/>
        </w:rPr>
        <w:t>Patrimonio neto</w:t>
      </w:r>
    </w:p>
    <w:p w14:paraId="468D0107" w14:textId="77777777" w:rsidR="006220A2" w:rsidRPr="00BA60DB" w:rsidRDefault="006220A2" w:rsidP="006220A2">
      <w:pPr>
        <w:widowControl w:val="0"/>
        <w:spacing w:before="120"/>
        <w:jc w:val="both"/>
        <w:rPr>
          <w:sz w:val="20"/>
        </w:rPr>
      </w:pPr>
      <w:r w:rsidRPr="00BA60DB">
        <w:rPr>
          <w:sz w:val="20"/>
        </w:rPr>
        <w:t>El capital social está representado por 102 acciones clase “A” nominativas de 3.000 euros nominales cada una, y 98 acciones clase “B” nominativas de 3.000 euros cada una. Todas las acciones gozan de iguales derechos políticos y económicos.</w:t>
      </w:r>
    </w:p>
    <w:p w14:paraId="2A6D4FAC" w14:textId="77777777" w:rsidR="006220A2" w:rsidRPr="00BA60DB" w:rsidRDefault="006220A2" w:rsidP="006220A2">
      <w:pPr>
        <w:keepNext/>
        <w:keepLines/>
        <w:widowControl w:val="0"/>
        <w:tabs>
          <w:tab w:val="left" w:pos="567"/>
        </w:tabs>
        <w:spacing w:before="200"/>
        <w:rPr>
          <w:sz w:val="20"/>
        </w:rPr>
      </w:pPr>
      <w:r>
        <w:rPr>
          <w:b/>
          <w:sz w:val="20"/>
        </w:rPr>
        <w:t>4</w:t>
      </w:r>
      <w:r w:rsidRPr="00BA60DB">
        <w:rPr>
          <w:b/>
          <w:sz w:val="20"/>
        </w:rPr>
        <w:t xml:space="preserve">.5 </w:t>
      </w:r>
      <w:r>
        <w:rPr>
          <w:b/>
          <w:sz w:val="20"/>
        </w:rPr>
        <w:tab/>
      </w:r>
      <w:r w:rsidRPr="00BA60DB">
        <w:rPr>
          <w:b/>
          <w:sz w:val="20"/>
        </w:rPr>
        <w:t>Pasivos financieros</w:t>
      </w:r>
    </w:p>
    <w:p w14:paraId="3E964310" w14:textId="77777777" w:rsidR="006220A2" w:rsidRPr="00BA60DB" w:rsidRDefault="006220A2" w:rsidP="006220A2">
      <w:pPr>
        <w:keepNext/>
        <w:keepLines/>
        <w:widowControl w:val="0"/>
        <w:spacing w:before="200"/>
        <w:rPr>
          <w:sz w:val="20"/>
          <w:u w:val="single"/>
        </w:rPr>
      </w:pPr>
      <w:r w:rsidRPr="00BA60DB">
        <w:rPr>
          <w:sz w:val="20"/>
          <w:u w:val="single"/>
        </w:rPr>
        <w:t>Débitos y partidas a pagar</w:t>
      </w:r>
    </w:p>
    <w:p w14:paraId="2597A4E4" w14:textId="77777777" w:rsidR="006220A2" w:rsidRPr="00BA60DB" w:rsidRDefault="006220A2" w:rsidP="006220A2">
      <w:pPr>
        <w:keepNext/>
        <w:keepLines/>
        <w:widowControl w:val="0"/>
        <w:spacing w:before="120"/>
        <w:jc w:val="both"/>
        <w:rPr>
          <w:sz w:val="20"/>
        </w:rPr>
      </w:pPr>
      <w:r w:rsidRPr="00BA60DB">
        <w:rPr>
          <w:sz w:val="20"/>
        </w:rPr>
        <w:t>Esta categoría incluye débitos por operaciones comerciales y débitos por operaciones no comerciales. Estos recursos ajenos se clasifican como pasivos corrientes, a menos que la Sociedad tenga un derecho incondicional a diferir su liquidación durante al menos 12 meses después de la fecha del balance.</w:t>
      </w:r>
    </w:p>
    <w:p w14:paraId="459D7DC5" w14:textId="77777777" w:rsidR="006220A2" w:rsidRPr="00BA60DB" w:rsidRDefault="006220A2" w:rsidP="006220A2">
      <w:pPr>
        <w:widowControl w:val="0"/>
        <w:spacing w:before="120"/>
        <w:jc w:val="both"/>
        <w:rPr>
          <w:sz w:val="20"/>
        </w:rPr>
      </w:pPr>
      <w:r w:rsidRPr="00BA60DB">
        <w:rPr>
          <w:sz w:val="20"/>
        </w:rPr>
        <w:t>Estas deudas se reconocen inicialmente a su valor razonable ajustado por los costes de transacción directamente imputables, registrándose posteriormente por su coste amortizado según el método del tipo de interés efectivo. Dicho interés efectivo es el tipo de actualización que iguala el valor en libros del instrumento con la corriente esperada de pagos futuros previstos hasta el vencimiento del pasivo.</w:t>
      </w:r>
    </w:p>
    <w:p w14:paraId="45EEB839" w14:textId="77777777" w:rsidR="006220A2" w:rsidRPr="00BA60DB" w:rsidRDefault="006220A2" w:rsidP="006220A2">
      <w:pPr>
        <w:widowControl w:val="0"/>
        <w:spacing w:before="120"/>
        <w:jc w:val="both"/>
        <w:rPr>
          <w:sz w:val="20"/>
        </w:rPr>
      </w:pPr>
      <w:r w:rsidRPr="00BA60DB">
        <w:rPr>
          <w:sz w:val="20"/>
        </w:rPr>
        <w:t>No obstante lo anterior, los débitos por operaciones comerciales con vencimiento no superior a un año y que no tienen un tipo de interés contractual se valoran, tanto en el momento inicial como posteriormente, por su valor nominal cuando el efecto de no actualizar los flujos de efectivo no es significativo.</w:t>
      </w:r>
    </w:p>
    <w:p w14:paraId="721E2B62" w14:textId="77777777" w:rsidR="006220A2" w:rsidRPr="00BA60DB" w:rsidRDefault="006220A2" w:rsidP="006220A2">
      <w:pPr>
        <w:widowControl w:val="0"/>
        <w:tabs>
          <w:tab w:val="left" w:pos="567"/>
        </w:tabs>
        <w:spacing w:before="200"/>
        <w:rPr>
          <w:sz w:val="20"/>
        </w:rPr>
      </w:pPr>
      <w:r>
        <w:rPr>
          <w:b/>
          <w:sz w:val="20"/>
        </w:rPr>
        <w:t>4</w:t>
      </w:r>
      <w:r w:rsidRPr="00BA60DB">
        <w:rPr>
          <w:b/>
          <w:sz w:val="20"/>
        </w:rPr>
        <w:t xml:space="preserve">.6 </w:t>
      </w:r>
      <w:r>
        <w:rPr>
          <w:b/>
          <w:sz w:val="20"/>
        </w:rPr>
        <w:tab/>
      </w:r>
      <w:r w:rsidRPr="00BA60DB">
        <w:rPr>
          <w:b/>
          <w:sz w:val="20"/>
        </w:rPr>
        <w:t>Subvenciones recibidas</w:t>
      </w:r>
    </w:p>
    <w:p w14:paraId="0A735627" w14:textId="77777777" w:rsidR="006220A2" w:rsidRPr="00BA60DB" w:rsidRDefault="006220A2" w:rsidP="006220A2">
      <w:pPr>
        <w:widowControl w:val="0"/>
        <w:spacing w:before="120"/>
        <w:jc w:val="both"/>
        <w:rPr>
          <w:sz w:val="20"/>
        </w:rPr>
      </w:pPr>
      <w:r w:rsidRPr="00BA60DB">
        <w:rPr>
          <w:sz w:val="20"/>
        </w:rPr>
        <w:t xml:space="preserve">Las subvenciones que tengan carácter de reintegrables se registran como pasivos hasta cumplir las condiciones para considerarse no reintegrables, mientras que las subvenciones no reintegrables se registran como ingresos directamente imputados al patrimonio neto y se reconocen como ingresos sobre una base sistemática y racional de forma correlacionada con los gastos derivados de la subvención. </w:t>
      </w:r>
    </w:p>
    <w:p w14:paraId="05BCB9EA" w14:textId="77777777" w:rsidR="006220A2" w:rsidRPr="00BA60DB" w:rsidRDefault="006220A2" w:rsidP="006220A2">
      <w:pPr>
        <w:widowControl w:val="0"/>
        <w:spacing w:before="120"/>
        <w:jc w:val="both"/>
        <w:rPr>
          <w:sz w:val="20"/>
        </w:rPr>
      </w:pPr>
      <w:r w:rsidRPr="00BA60DB">
        <w:rPr>
          <w:sz w:val="20"/>
        </w:rPr>
        <w:t>A estos efectos, una subvención se considera no reintegrable cuando existe un acuerdo individualizado de concesión de la subvención, se han cumplido todas las condiciones establecidas para su concesión y no existen dudas razonables de que se cobrará.</w:t>
      </w:r>
    </w:p>
    <w:p w14:paraId="3434EBC6" w14:textId="77777777" w:rsidR="006220A2" w:rsidRPr="00BA60DB" w:rsidRDefault="006220A2" w:rsidP="006220A2">
      <w:pPr>
        <w:widowControl w:val="0"/>
        <w:spacing w:before="120"/>
        <w:jc w:val="both"/>
        <w:rPr>
          <w:sz w:val="20"/>
        </w:rPr>
      </w:pPr>
      <w:r w:rsidRPr="00BA60DB">
        <w:rPr>
          <w:sz w:val="20"/>
        </w:rPr>
        <w:t>Las subvenciones de carácter monetario se valoran por el valor razonable del importe concedido y las subvenciones no monetarias por el valor razonable del bien recibido, referidos ambos valores al momento de su reconocimiento.</w:t>
      </w:r>
    </w:p>
    <w:p w14:paraId="6D45D362" w14:textId="77777777" w:rsidR="006220A2" w:rsidRPr="00BA60DB" w:rsidRDefault="006220A2" w:rsidP="006220A2">
      <w:pPr>
        <w:widowControl w:val="0"/>
        <w:spacing w:before="120"/>
        <w:jc w:val="both"/>
        <w:rPr>
          <w:sz w:val="20"/>
        </w:rPr>
      </w:pPr>
      <w:r w:rsidRPr="00BA60DB">
        <w:rPr>
          <w:sz w:val="20"/>
        </w:rPr>
        <w:t xml:space="preserve">Las subvenciones no reintegrables relacionadas con la adquisición de inmovilizado intangible, material e inversiones inmobiliarias se imputan como ingresos del ejercicio en proporción a la amortización de los correspondientes activos o, en su caso, cuando se produzca su enajenación, corrección valorativa por deterioro o baja en balance. Por su parte, las subvenciones no reintegrables relacionadas con gastos específicos se reconocen en la cuenta de pérdidas y ganancias en el mismo ejercicio en que se devengan los correspondientes gastos y las concedidas para compensar déficit de explotación en el ejercicio en que se conceden, salvo cuando se destinan a compensar déficit de explotación de ejercicios futuros, en cuyo caso se imputan en dichos ejercicios.  </w:t>
      </w:r>
    </w:p>
    <w:p w14:paraId="2ACB493E" w14:textId="77777777" w:rsidR="006220A2" w:rsidRPr="00BA60DB" w:rsidRDefault="006220A2" w:rsidP="006220A2">
      <w:pPr>
        <w:widowControl w:val="0"/>
        <w:spacing w:before="120"/>
        <w:jc w:val="both"/>
        <w:rPr>
          <w:sz w:val="20"/>
        </w:rPr>
      </w:pPr>
      <w:r w:rsidRPr="00BA60DB">
        <w:rPr>
          <w:sz w:val="20"/>
        </w:rPr>
        <w:t>Subvenciones o transferencias con finalidad indeterminada concedida por las Administraciones Públicas, para financiar déficits de explotación o gastos generales de funcionamiento de la empresa, no asociados con ninguna actividad o área de actividad en concreto sino con el conjunto de las actividades que realiza, son tratadas como aportaciones de socios contabilizándose directamen</w:t>
      </w:r>
      <w:r>
        <w:rPr>
          <w:sz w:val="20"/>
        </w:rPr>
        <w:t>te en el Patrimonio neto de la S</w:t>
      </w:r>
      <w:r w:rsidRPr="00BA60DB">
        <w:rPr>
          <w:sz w:val="20"/>
        </w:rPr>
        <w:t>ociedad.</w:t>
      </w:r>
    </w:p>
    <w:p w14:paraId="53C5A611" w14:textId="77777777" w:rsidR="006220A2" w:rsidRPr="00BA60DB" w:rsidRDefault="006220A2" w:rsidP="006220A2">
      <w:pPr>
        <w:widowControl w:val="0"/>
        <w:tabs>
          <w:tab w:val="left" w:pos="567"/>
        </w:tabs>
        <w:spacing w:before="200"/>
        <w:rPr>
          <w:sz w:val="20"/>
        </w:rPr>
      </w:pPr>
      <w:r>
        <w:rPr>
          <w:b/>
          <w:sz w:val="20"/>
        </w:rPr>
        <w:t>4</w:t>
      </w:r>
      <w:r w:rsidRPr="00BA60DB">
        <w:rPr>
          <w:b/>
          <w:sz w:val="20"/>
        </w:rPr>
        <w:t xml:space="preserve">.7 </w:t>
      </w:r>
      <w:r>
        <w:rPr>
          <w:b/>
          <w:sz w:val="20"/>
        </w:rPr>
        <w:tab/>
      </w:r>
      <w:r w:rsidRPr="00BA60DB">
        <w:rPr>
          <w:b/>
          <w:sz w:val="20"/>
        </w:rPr>
        <w:t>Impuestos corrientes y diferidos</w:t>
      </w:r>
    </w:p>
    <w:p w14:paraId="6080AC25" w14:textId="77777777" w:rsidR="006220A2" w:rsidRPr="00BA60DB" w:rsidRDefault="006220A2" w:rsidP="006220A2">
      <w:pPr>
        <w:widowControl w:val="0"/>
        <w:spacing w:before="120"/>
        <w:jc w:val="both"/>
        <w:rPr>
          <w:sz w:val="20"/>
        </w:rPr>
      </w:pPr>
      <w:r w:rsidRPr="00BA60DB">
        <w:rPr>
          <w:sz w:val="20"/>
        </w:rPr>
        <w:t>El gasto (ingreso) por impuesto sobre beneficios es el importe que, por este concepto, se devenga en el ejercicio y que comprende tanto el gasto (ingreso) por impuesto corriente como por impuesto diferido.</w:t>
      </w:r>
    </w:p>
    <w:p w14:paraId="4358FCB4" w14:textId="77777777" w:rsidR="006220A2" w:rsidRPr="00BA60DB" w:rsidRDefault="006220A2" w:rsidP="006220A2">
      <w:pPr>
        <w:widowControl w:val="0"/>
        <w:spacing w:before="120"/>
        <w:jc w:val="both"/>
        <w:rPr>
          <w:sz w:val="20"/>
        </w:rPr>
      </w:pPr>
      <w:r w:rsidRPr="00BA60DB">
        <w:rPr>
          <w:sz w:val="20"/>
        </w:rPr>
        <w:t>Tanto el gasto (ingreso) por impuesto corriente como diferido se registra en la cuenta de pérdidas y ganancias. No obstante, se reconoce en el patrimonio neto el efecto impositivo relacionado con partidas que se registran directamente en el patrimonio neto.</w:t>
      </w:r>
    </w:p>
    <w:p w14:paraId="47E3697F" w14:textId="77777777" w:rsidR="006220A2" w:rsidRDefault="006220A2">
      <w:pPr>
        <w:pBdr>
          <w:top w:val="none" w:sz="0" w:space="0" w:color="auto"/>
          <w:left w:val="none" w:sz="0" w:space="0" w:color="auto"/>
          <w:bottom w:val="none" w:sz="0" w:space="0" w:color="auto"/>
          <w:right w:val="none" w:sz="0" w:space="0" w:color="auto"/>
          <w:between w:val="none" w:sz="0" w:space="0" w:color="auto"/>
          <w:bar w:val="none" w:sz="0" w:color="auto"/>
        </w:pBdr>
        <w:outlineLvl w:val="9"/>
      </w:pPr>
      <w:r>
        <w:br w:type="page"/>
      </w:r>
    </w:p>
    <w:p w14:paraId="7A52FA62" w14:textId="77777777" w:rsidR="006220A2" w:rsidRPr="00BA60DB" w:rsidRDefault="006220A2" w:rsidP="006220A2">
      <w:pPr>
        <w:keepNext/>
        <w:keepLines/>
        <w:widowControl w:val="0"/>
        <w:spacing w:before="120"/>
        <w:jc w:val="both"/>
        <w:rPr>
          <w:sz w:val="20"/>
        </w:rPr>
      </w:pPr>
      <w:r w:rsidRPr="00BA60DB">
        <w:rPr>
          <w:sz w:val="20"/>
        </w:rPr>
        <w:t>Los activos y pasivos por impuesto corriente se valorarán por las cantidades que se espera pagar o recuperar de las autoridades fiscales, de acuerdo con la normativa vigente o aprobada y pendiente de publicación en la fecha de cierre del ejercicio.</w:t>
      </w:r>
    </w:p>
    <w:p w14:paraId="5C5C8C38" w14:textId="77777777" w:rsidR="006220A2" w:rsidRPr="00BA60DB" w:rsidRDefault="006220A2" w:rsidP="006220A2">
      <w:pPr>
        <w:widowControl w:val="0"/>
        <w:spacing w:before="120"/>
        <w:jc w:val="both"/>
        <w:rPr>
          <w:sz w:val="20"/>
        </w:rPr>
      </w:pPr>
      <w:r w:rsidRPr="00BA60DB">
        <w:rPr>
          <w:sz w:val="20"/>
        </w:rPr>
        <w:t>Los impuestos diferidos se calculan, de acuerdo con el método del pasivo, sobre las diferencias temporarias que surgen entre las bases fiscales de los activos y pasivos y sus valores en libros. Sin embargo, si los impuestos diferidos surgen del reconocimiento inicial de un activo o un pasivo en una transacción distinta de una combinación de negocios que en el momento de la transacción no afecta ni al resultado contable ni a la base imponible del impuesto no se reconocen. El impuesto diferido se determina aplicando la normativa y los tipos impositivos aprobados o a punto de aprobarse en la fecha del balance y que se espera aplicar cuando el correspondiente activo por impuesto diferido se realice o el pasivo por impuesto diferido se liquide.</w:t>
      </w:r>
    </w:p>
    <w:p w14:paraId="657C1BAE" w14:textId="77777777" w:rsidR="006220A2" w:rsidRPr="00BA60DB" w:rsidRDefault="006220A2" w:rsidP="006220A2">
      <w:pPr>
        <w:widowControl w:val="0"/>
        <w:spacing w:before="120"/>
        <w:jc w:val="both"/>
        <w:rPr>
          <w:sz w:val="20"/>
        </w:rPr>
      </w:pPr>
      <w:r w:rsidRPr="00BA60DB">
        <w:rPr>
          <w:sz w:val="20"/>
        </w:rPr>
        <w:t>Los activos por impuestos diferidos se reconocen en la medida en que resulte probable que se vaya a disponer de ganancias fiscales futuras con las que poder compensar las diferencias temporarias.</w:t>
      </w:r>
    </w:p>
    <w:p w14:paraId="653ECC28" w14:textId="77777777" w:rsidR="006220A2" w:rsidRPr="00BA60DB" w:rsidRDefault="006220A2" w:rsidP="006220A2">
      <w:pPr>
        <w:widowControl w:val="0"/>
        <w:tabs>
          <w:tab w:val="left" w:pos="567"/>
        </w:tabs>
        <w:spacing w:before="200"/>
        <w:rPr>
          <w:b/>
          <w:sz w:val="20"/>
        </w:rPr>
      </w:pPr>
      <w:r>
        <w:rPr>
          <w:b/>
          <w:sz w:val="20"/>
        </w:rPr>
        <w:t>4</w:t>
      </w:r>
      <w:r w:rsidRPr="00BA60DB">
        <w:rPr>
          <w:b/>
          <w:sz w:val="20"/>
        </w:rPr>
        <w:t xml:space="preserve">.8 </w:t>
      </w:r>
      <w:r>
        <w:rPr>
          <w:b/>
          <w:sz w:val="20"/>
        </w:rPr>
        <w:tab/>
      </w:r>
      <w:r w:rsidRPr="00BA60DB">
        <w:rPr>
          <w:b/>
          <w:sz w:val="20"/>
        </w:rPr>
        <w:t>Compromisos por premio de jubilación</w:t>
      </w:r>
    </w:p>
    <w:p w14:paraId="352B1497" w14:textId="77777777" w:rsidR="006220A2" w:rsidRPr="000104F6" w:rsidRDefault="006220A2" w:rsidP="006220A2">
      <w:pPr>
        <w:widowControl w:val="0"/>
        <w:spacing w:before="120"/>
        <w:jc w:val="both"/>
        <w:rPr>
          <w:sz w:val="20"/>
        </w:rPr>
      </w:pPr>
      <w:r w:rsidRPr="000104F6">
        <w:rPr>
          <w:sz w:val="20"/>
        </w:rPr>
        <w:t xml:space="preserve">La Sociedad tiene obligación, según el convenio colectivo vigente de la empresa, de premiar la vinculación de su personal en el momento de su jubilación o fallecimiento. Estas gratificaciones se pagan en el momento de la jubilación o fallecimiento del empleado y consisten en el pago de entre dos y seis mensualidades en función de los años de antigüedad en la empresa.  </w:t>
      </w:r>
    </w:p>
    <w:p w14:paraId="50C1BA93" w14:textId="77777777" w:rsidR="006220A2" w:rsidRPr="000104F6" w:rsidRDefault="006220A2" w:rsidP="006220A2">
      <w:pPr>
        <w:widowControl w:val="0"/>
        <w:spacing w:before="120"/>
        <w:jc w:val="both"/>
        <w:rPr>
          <w:sz w:val="20"/>
        </w:rPr>
      </w:pPr>
      <w:r w:rsidRPr="008422C5">
        <w:rPr>
          <w:sz w:val="20"/>
        </w:rPr>
        <w:t xml:space="preserve">La legislación vigente establece la obligación de externalizar los compromisos de este tipo devengados, habiéndose cumplido con dicha normativa, de modo que la totalidad de las obligaciones devengadas por el premio de jubilación hasta 31 de diciembre de 2011 se encuentran </w:t>
      </w:r>
      <w:r w:rsidRPr="00623021">
        <w:rPr>
          <w:sz w:val="20"/>
        </w:rPr>
        <w:t>externalizadas a 31 de diciembre de 201</w:t>
      </w:r>
      <w:r w:rsidR="0086380F">
        <w:rPr>
          <w:sz w:val="20"/>
        </w:rPr>
        <w:t>8</w:t>
      </w:r>
      <w:r w:rsidRPr="00623021">
        <w:rPr>
          <w:sz w:val="20"/>
        </w:rPr>
        <w:t>, no</w:t>
      </w:r>
      <w:r w:rsidRPr="001942FB">
        <w:rPr>
          <w:sz w:val="20"/>
        </w:rPr>
        <w:t xml:space="preserve"> existiendo por tanto provisión por dicho concepto en las presentes cuentas anuales.</w:t>
      </w:r>
    </w:p>
    <w:p w14:paraId="331F6B73" w14:textId="77777777" w:rsidR="006220A2" w:rsidRPr="0086380F" w:rsidRDefault="006220A2" w:rsidP="006220A2">
      <w:pPr>
        <w:widowControl w:val="0"/>
        <w:spacing w:before="120"/>
        <w:jc w:val="both"/>
        <w:rPr>
          <w:color w:val="auto"/>
          <w:sz w:val="20"/>
        </w:rPr>
      </w:pPr>
      <w:r w:rsidRPr="000104F6">
        <w:rPr>
          <w:sz w:val="20"/>
        </w:rPr>
        <w:t>Desde el ejercicio 2011</w:t>
      </w:r>
      <w:r>
        <w:rPr>
          <w:sz w:val="20"/>
        </w:rPr>
        <w:t>,</w:t>
      </w:r>
      <w:r w:rsidRPr="000104F6">
        <w:rPr>
          <w:sz w:val="20"/>
        </w:rPr>
        <w:t xml:space="preserve"> la Sociedad no ha registrado gastos por este conc</w:t>
      </w:r>
      <w:r>
        <w:rPr>
          <w:sz w:val="20"/>
        </w:rPr>
        <w:t xml:space="preserve">epto, ni realizado, por tanto, </w:t>
      </w:r>
      <w:r w:rsidRPr="000104F6">
        <w:rPr>
          <w:sz w:val="20"/>
        </w:rPr>
        <w:t xml:space="preserve">aportaciones al fondo constituido, y que tiene externalizado, de acuerdo con las directrices marcadas por el Gobierno de Canarias, que estableció en los Presupuestos Generales de la Comunidad Autónoma de Canarias desde dicho ejercicio, que los entes del sector público autonómico con presupuesto estimativo no podrán realizar aportaciones a planes de pensiones o </w:t>
      </w:r>
      <w:r w:rsidRPr="0086380F">
        <w:rPr>
          <w:color w:val="auto"/>
          <w:sz w:val="20"/>
        </w:rPr>
        <w:t>instituciones de ahorro con efectos similares, quedando por tanto suspendido el derecho de los empleados de la Sociedad a recibir dichas gratificaciones en el momento de su jubilación o fallecimiento de los mismos.</w:t>
      </w:r>
    </w:p>
    <w:p w14:paraId="5769F0A5" w14:textId="77777777" w:rsidR="006220A2" w:rsidRPr="0086380F" w:rsidRDefault="006220A2" w:rsidP="006220A2">
      <w:pPr>
        <w:widowControl w:val="0"/>
        <w:spacing w:before="120"/>
        <w:jc w:val="both"/>
        <w:rPr>
          <w:color w:val="auto"/>
          <w:sz w:val="20"/>
        </w:rPr>
      </w:pPr>
      <w:r w:rsidRPr="0086380F">
        <w:rPr>
          <w:color w:val="auto"/>
          <w:sz w:val="20"/>
        </w:rPr>
        <w:t>El valor de rescate a cierre del ejercicio 201</w:t>
      </w:r>
      <w:r w:rsidR="00D509C6" w:rsidRPr="0086380F">
        <w:rPr>
          <w:color w:val="auto"/>
          <w:sz w:val="20"/>
        </w:rPr>
        <w:t>8</w:t>
      </w:r>
      <w:r w:rsidRPr="0086380F">
        <w:rPr>
          <w:color w:val="auto"/>
          <w:sz w:val="20"/>
        </w:rPr>
        <w:t xml:space="preserve"> de las aportaciones realizadas por la Sociedad en ejercicios anteriores asciende a un valor de </w:t>
      </w:r>
      <w:r w:rsidR="0086380F" w:rsidRPr="0086380F">
        <w:rPr>
          <w:color w:val="auto"/>
          <w:sz w:val="20"/>
        </w:rPr>
        <w:t>163.682,20</w:t>
      </w:r>
      <w:r w:rsidRPr="0086380F">
        <w:rPr>
          <w:color w:val="auto"/>
          <w:sz w:val="20"/>
        </w:rPr>
        <w:t xml:space="preserve"> euros.</w:t>
      </w:r>
    </w:p>
    <w:p w14:paraId="1641C9ED" w14:textId="77777777" w:rsidR="006220A2" w:rsidRPr="00BA60DB" w:rsidRDefault="006220A2" w:rsidP="006220A2">
      <w:pPr>
        <w:widowControl w:val="0"/>
        <w:tabs>
          <w:tab w:val="left" w:pos="567"/>
        </w:tabs>
        <w:spacing w:before="200"/>
        <w:rPr>
          <w:b/>
          <w:sz w:val="20"/>
        </w:rPr>
      </w:pPr>
      <w:r>
        <w:rPr>
          <w:b/>
          <w:sz w:val="20"/>
        </w:rPr>
        <w:t>4</w:t>
      </w:r>
      <w:r w:rsidRPr="00BA60DB">
        <w:rPr>
          <w:b/>
          <w:sz w:val="20"/>
        </w:rPr>
        <w:t xml:space="preserve">.9 </w:t>
      </w:r>
      <w:r>
        <w:rPr>
          <w:b/>
          <w:sz w:val="20"/>
        </w:rPr>
        <w:tab/>
      </w:r>
      <w:r w:rsidRPr="00BA60DB">
        <w:rPr>
          <w:b/>
          <w:sz w:val="20"/>
        </w:rPr>
        <w:t>Reconocimiento de ingresos</w:t>
      </w:r>
    </w:p>
    <w:p w14:paraId="74EC56B8" w14:textId="77777777" w:rsidR="006220A2" w:rsidRPr="00BA60DB" w:rsidRDefault="006220A2" w:rsidP="006220A2">
      <w:pPr>
        <w:widowControl w:val="0"/>
        <w:spacing w:before="120"/>
        <w:jc w:val="both"/>
        <w:rPr>
          <w:sz w:val="20"/>
        </w:rPr>
      </w:pPr>
      <w:r w:rsidRPr="00BA60DB">
        <w:rPr>
          <w:sz w:val="20"/>
        </w:rPr>
        <w:t>Los ingresos se registran por el valor razonable de la contraprestación a recibir y representan los importes a cobrar por los bienes entregados y los servicios prestados en el curso ordinario de las actividades de la Sociedad, menos devoluciones, rebajas, descuentos y el impuesto sobre el valor añadido.</w:t>
      </w:r>
    </w:p>
    <w:p w14:paraId="29C7D7F1" w14:textId="77777777" w:rsidR="006220A2" w:rsidRPr="00BA60DB" w:rsidRDefault="006220A2" w:rsidP="006220A2">
      <w:pPr>
        <w:widowControl w:val="0"/>
        <w:tabs>
          <w:tab w:val="left" w:pos="284"/>
        </w:tabs>
        <w:spacing w:before="200"/>
        <w:rPr>
          <w:sz w:val="20"/>
        </w:rPr>
      </w:pPr>
      <w:r w:rsidRPr="00BA60DB">
        <w:rPr>
          <w:sz w:val="20"/>
        </w:rPr>
        <w:t>a)</w:t>
      </w:r>
      <w:r w:rsidRPr="00BA60DB">
        <w:rPr>
          <w:sz w:val="20"/>
        </w:rPr>
        <w:tab/>
      </w:r>
      <w:r w:rsidRPr="00C21ABC">
        <w:rPr>
          <w:sz w:val="20"/>
          <w:u w:val="single"/>
        </w:rPr>
        <w:t>Ingresos por intereses</w:t>
      </w:r>
    </w:p>
    <w:p w14:paraId="72B3FF35" w14:textId="77777777" w:rsidR="006220A2" w:rsidRPr="00BA60DB" w:rsidRDefault="006220A2" w:rsidP="006220A2">
      <w:pPr>
        <w:widowControl w:val="0"/>
        <w:spacing w:before="120"/>
        <w:jc w:val="both"/>
        <w:rPr>
          <w:sz w:val="20"/>
        </w:rPr>
      </w:pPr>
      <w:r w:rsidRPr="00BA60DB">
        <w:rPr>
          <w:sz w:val="20"/>
        </w:rPr>
        <w:t>Los ingresos por intereses se reconocen usando el método del tipo de interés efectivo. Cuando una cuenta a cobrar sufre pérdida por deterioro del valor, la Sociedad reduce el valor contable a su importe recuperable, descontando los flujos futuros de efectivo estimados al tipo de interés efectivo original del instrumento, y continúa llevando el descuento como menos ingreso por intereses. Los ingresos por intereses de préstamos que hayan sufrido pérdidas por deterioro del valor se reconocen utilizando el método del tipo de interés efectivo.</w:t>
      </w:r>
    </w:p>
    <w:p w14:paraId="7E52791B" w14:textId="77777777" w:rsidR="006220A2" w:rsidRPr="00BA60DB" w:rsidRDefault="006220A2" w:rsidP="006220A2">
      <w:pPr>
        <w:keepNext/>
        <w:keepLines/>
        <w:widowControl w:val="0"/>
        <w:tabs>
          <w:tab w:val="left" w:pos="567"/>
        </w:tabs>
        <w:spacing w:before="200"/>
        <w:rPr>
          <w:b/>
          <w:sz w:val="20"/>
        </w:rPr>
      </w:pPr>
      <w:r>
        <w:rPr>
          <w:b/>
          <w:sz w:val="20"/>
        </w:rPr>
        <w:t>4</w:t>
      </w:r>
      <w:r w:rsidRPr="00BA60DB">
        <w:rPr>
          <w:b/>
          <w:sz w:val="20"/>
        </w:rPr>
        <w:t xml:space="preserve">.10 </w:t>
      </w:r>
      <w:r>
        <w:rPr>
          <w:b/>
          <w:sz w:val="20"/>
        </w:rPr>
        <w:tab/>
      </w:r>
      <w:r w:rsidRPr="00BA60DB">
        <w:rPr>
          <w:b/>
          <w:sz w:val="20"/>
        </w:rPr>
        <w:t>Arrendamientos</w:t>
      </w:r>
    </w:p>
    <w:p w14:paraId="3CFCED88" w14:textId="77777777" w:rsidR="006220A2" w:rsidRDefault="006220A2" w:rsidP="006220A2">
      <w:pPr>
        <w:keepNext/>
        <w:keepLines/>
        <w:widowControl w:val="0"/>
        <w:spacing w:before="120"/>
        <w:jc w:val="both"/>
        <w:rPr>
          <w:sz w:val="20"/>
        </w:rPr>
      </w:pPr>
      <w:r w:rsidRPr="00BA60DB">
        <w:rPr>
          <w:sz w:val="20"/>
        </w:rPr>
        <w:t>Los arrendamientos en los que el arrendador conserva una parte importante de los riesgos y beneficios derivados de la titularidad se clasifican como arrendamientos operativos. Los pagos en concepto de arrendamiento operativo (netos de cualquier incentivo recibido del arrendador) se cargan en la cuenta de pérdidas y ganancias del ejercicio en que se devengan sobre una base lineal durante el período de arrendamiento.</w:t>
      </w:r>
    </w:p>
    <w:p w14:paraId="4E314376" w14:textId="77777777" w:rsidR="006220A2" w:rsidRPr="00BA60DB" w:rsidRDefault="006220A2" w:rsidP="006220A2">
      <w:pPr>
        <w:widowControl w:val="0"/>
        <w:tabs>
          <w:tab w:val="left" w:pos="567"/>
        </w:tabs>
        <w:spacing w:before="200"/>
        <w:rPr>
          <w:b/>
          <w:sz w:val="20"/>
        </w:rPr>
      </w:pPr>
      <w:r>
        <w:rPr>
          <w:b/>
          <w:sz w:val="20"/>
        </w:rPr>
        <w:t>4</w:t>
      </w:r>
      <w:r w:rsidRPr="00BA60DB">
        <w:rPr>
          <w:b/>
          <w:sz w:val="20"/>
        </w:rPr>
        <w:t xml:space="preserve">.11 </w:t>
      </w:r>
      <w:r>
        <w:rPr>
          <w:b/>
          <w:sz w:val="20"/>
        </w:rPr>
        <w:tab/>
      </w:r>
      <w:r w:rsidRPr="00BA60DB">
        <w:rPr>
          <w:b/>
          <w:sz w:val="20"/>
        </w:rPr>
        <w:t>Transacciones en moneda extranjera</w:t>
      </w:r>
    </w:p>
    <w:p w14:paraId="52F5E387" w14:textId="77777777" w:rsidR="006220A2" w:rsidRPr="00BA60DB" w:rsidRDefault="006220A2" w:rsidP="006220A2">
      <w:pPr>
        <w:widowControl w:val="0"/>
        <w:tabs>
          <w:tab w:val="left" w:pos="284"/>
        </w:tabs>
        <w:spacing w:before="200"/>
        <w:rPr>
          <w:sz w:val="20"/>
          <w:u w:val="single"/>
        </w:rPr>
      </w:pPr>
      <w:r w:rsidRPr="00BA60DB">
        <w:rPr>
          <w:sz w:val="20"/>
        </w:rPr>
        <w:t>a)</w:t>
      </w:r>
      <w:r w:rsidRPr="00BA60DB">
        <w:rPr>
          <w:sz w:val="20"/>
        </w:rPr>
        <w:tab/>
      </w:r>
      <w:r w:rsidRPr="00BA60DB">
        <w:rPr>
          <w:sz w:val="20"/>
          <w:u w:val="single"/>
        </w:rPr>
        <w:t>Moneda funcional y de presentación</w:t>
      </w:r>
    </w:p>
    <w:p w14:paraId="3E268DD5" w14:textId="77777777" w:rsidR="006220A2" w:rsidRPr="00BA60DB" w:rsidRDefault="006220A2" w:rsidP="006220A2">
      <w:pPr>
        <w:widowControl w:val="0"/>
        <w:spacing w:before="120"/>
        <w:jc w:val="both"/>
        <w:rPr>
          <w:sz w:val="20"/>
        </w:rPr>
      </w:pPr>
      <w:r w:rsidRPr="00BA60DB">
        <w:rPr>
          <w:sz w:val="20"/>
        </w:rPr>
        <w:t xml:space="preserve">Las cuentas anuales de la Sociedad se presentan en euros, que es la moneda de presentación y funcional de la Sociedad. </w:t>
      </w:r>
    </w:p>
    <w:p w14:paraId="681BEB69" w14:textId="77777777" w:rsidR="006220A2" w:rsidRPr="00BA60DB" w:rsidRDefault="006220A2" w:rsidP="006220A2">
      <w:pPr>
        <w:widowControl w:val="0"/>
        <w:tabs>
          <w:tab w:val="left" w:pos="284"/>
        </w:tabs>
        <w:spacing w:before="200"/>
        <w:rPr>
          <w:sz w:val="20"/>
          <w:u w:val="single"/>
        </w:rPr>
      </w:pPr>
      <w:r w:rsidRPr="00BA60DB">
        <w:rPr>
          <w:sz w:val="20"/>
        </w:rPr>
        <w:t>b)</w:t>
      </w:r>
      <w:r w:rsidRPr="00BA60DB">
        <w:rPr>
          <w:sz w:val="20"/>
        </w:rPr>
        <w:tab/>
      </w:r>
      <w:r w:rsidRPr="00BA60DB">
        <w:rPr>
          <w:sz w:val="20"/>
          <w:u w:val="single"/>
        </w:rPr>
        <w:t>Transacciones y saldos</w:t>
      </w:r>
    </w:p>
    <w:p w14:paraId="1222FC7B" w14:textId="77777777" w:rsidR="006220A2" w:rsidRDefault="006220A2" w:rsidP="006220A2">
      <w:pPr>
        <w:widowControl w:val="0"/>
        <w:spacing w:before="120"/>
        <w:jc w:val="both"/>
        <w:rPr>
          <w:sz w:val="20"/>
        </w:rPr>
      </w:pPr>
      <w:r w:rsidRPr="00BA60DB">
        <w:rPr>
          <w:sz w:val="20"/>
        </w:rPr>
        <w:t>Las transacciones en moneda extranjera se convierten a la moneda funcional utilizando los tipos de cambio vigentes en la fecha de las transacciones. Las pérdidas y ganancias en moneda extranjera que resultan de la liquidación de estas transacciones y de la conversión a los tipos de cambio de cierre de los activos y pasivos monetarios denominados en moneda extranjera se reconocen en la cuenta de pérdidas y ganancias.</w:t>
      </w:r>
    </w:p>
    <w:p w14:paraId="633CAC49" w14:textId="77777777" w:rsidR="006220A2" w:rsidRDefault="006220A2" w:rsidP="006220A2">
      <w:pPr>
        <w:spacing w:line="276" w:lineRule="auto"/>
        <w:jc w:val="both"/>
        <w:rPr>
          <w:sz w:val="20"/>
        </w:rPr>
      </w:pPr>
    </w:p>
    <w:p w14:paraId="29AA4FCD" w14:textId="77777777" w:rsidR="006220A2" w:rsidRDefault="006220A2" w:rsidP="006220A2">
      <w:pPr>
        <w:spacing w:line="276" w:lineRule="auto"/>
        <w:jc w:val="both"/>
        <w:rPr>
          <w:sz w:val="20"/>
        </w:rPr>
      </w:pPr>
    </w:p>
    <w:p w14:paraId="05C438CD" w14:textId="77777777" w:rsidR="006220A2" w:rsidRPr="00070E05" w:rsidRDefault="006220A2" w:rsidP="006220A2">
      <w:pPr>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lear" w:pos="644"/>
        </w:tabs>
        <w:ind w:left="284" w:hanging="284"/>
        <w:outlineLvl w:val="9"/>
        <w:rPr>
          <w:b/>
          <w:snapToGrid w:val="0"/>
          <w:sz w:val="22"/>
          <w:szCs w:val="22"/>
        </w:rPr>
      </w:pPr>
      <w:r w:rsidRPr="00070E05">
        <w:rPr>
          <w:b/>
          <w:snapToGrid w:val="0"/>
          <w:sz w:val="22"/>
          <w:szCs w:val="22"/>
        </w:rPr>
        <w:t>Inmovilizado intangible</w:t>
      </w:r>
    </w:p>
    <w:p w14:paraId="53C3D555" w14:textId="77777777" w:rsidR="006220A2" w:rsidRDefault="006220A2" w:rsidP="006220A2">
      <w:pPr>
        <w:widowControl w:val="0"/>
        <w:spacing w:before="120" w:after="120"/>
        <w:jc w:val="both"/>
        <w:rPr>
          <w:sz w:val="20"/>
        </w:rPr>
      </w:pPr>
      <w:r w:rsidRPr="00BA60DB">
        <w:rPr>
          <w:sz w:val="20"/>
        </w:rPr>
        <w:t xml:space="preserve">El detalle y </w:t>
      </w:r>
      <w:r>
        <w:rPr>
          <w:sz w:val="20"/>
        </w:rPr>
        <w:t>m</w:t>
      </w:r>
      <w:r w:rsidRPr="00BA60DB">
        <w:rPr>
          <w:sz w:val="20"/>
        </w:rPr>
        <w:t>ovimiento de las partidas incluidas en “Inmovilizado intangible” en el ejercicio 201</w:t>
      </w:r>
      <w:r w:rsidR="00750A62">
        <w:rPr>
          <w:sz w:val="20"/>
        </w:rPr>
        <w:t>8</w:t>
      </w:r>
      <w:r w:rsidRPr="00BA60DB">
        <w:rPr>
          <w:sz w:val="20"/>
        </w:rPr>
        <w:t xml:space="preserve"> es el siguiente:</w:t>
      </w:r>
    </w:p>
    <w:tbl>
      <w:tblPr>
        <w:tblW w:w="5000" w:type="pct"/>
        <w:tblCellMar>
          <w:left w:w="70" w:type="dxa"/>
          <w:right w:w="70" w:type="dxa"/>
        </w:tblCellMar>
        <w:tblLook w:val="04A0" w:firstRow="1" w:lastRow="0" w:firstColumn="1" w:lastColumn="0" w:noHBand="0" w:noVBand="1"/>
      </w:tblPr>
      <w:tblGrid>
        <w:gridCol w:w="4547"/>
        <w:gridCol w:w="1179"/>
        <w:gridCol w:w="1078"/>
        <w:gridCol w:w="938"/>
        <w:gridCol w:w="1179"/>
      </w:tblGrid>
      <w:tr w:rsidR="00750A62" w:rsidRPr="00750A62" w14:paraId="4C879663" w14:textId="77777777" w:rsidTr="00FF35D6">
        <w:trPr>
          <w:trHeight w:val="170"/>
        </w:trPr>
        <w:tc>
          <w:tcPr>
            <w:tcW w:w="2548" w:type="pct"/>
            <w:tcBorders>
              <w:top w:val="single" w:sz="4" w:space="0" w:color="auto"/>
              <w:left w:val="nil"/>
              <w:bottom w:val="nil"/>
              <w:right w:val="nil"/>
            </w:tcBorders>
            <w:shd w:val="clear" w:color="auto" w:fill="auto"/>
            <w:vAlign w:val="bottom"/>
            <w:hideMark/>
          </w:tcPr>
          <w:p w14:paraId="1ADBF4F3" w14:textId="77777777" w:rsidR="00750A62" w:rsidRPr="00750A62"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eastAsia="Times New Roman"/>
                <w:b/>
                <w:bCs/>
                <w:sz w:val="18"/>
                <w:szCs w:val="18"/>
                <w:bdr w:val="none" w:sz="0" w:space="0" w:color="auto"/>
                <w:lang w:eastAsia="es-ES"/>
              </w:rPr>
            </w:pPr>
            <w:r w:rsidRPr="00750A62">
              <w:rPr>
                <w:rFonts w:eastAsia="Times New Roman"/>
                <w:b/>
                <w:bCs/>
                <w:sz w:val="18"/>
                <w:szCs w:val="18"/>
                <w:bdr w:val="none" w:sz="0" w:space="0" w:color="auto"/>
                <w:lang w:eastAsia="es-ES"/>
              </w:rPr>
              <w:t> </w:t>
            </w:r>
          </w:p>
        </w:tc>
        <w:tc>
          <w:tcPr>
            <w:tcW w:w="2452" w:type="pct"/>
            <w:gridSpan w:val="4"/>
            <w:tcBorders>
              <w:top w:val="single" w:sz="4" w:space="0" w:color="auto"/>
              <w:left w:val="nil"/>
              <w:bottom w:val="nil"/>
              <w:right w:val="nil"/>
            </w:tcBorders>
            <w:shd w:val="clear" w:color="auto" w:fill="auto"/>
            <w:vAlign w:val="bottom"/>
            <w:hideMark/>
          </w:tcPr>
          <w:p w14:paraId="0350C44E" w14:textId="77777777" w:rsidR="00750A62" w:rsidRPr="00750A62"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750A62">
              <w:rPr>
                <w:rFonts w:eastAsia="Times New Roman"/>
                <w:b/>
                <w:bCs/>
                <w:sz w:val="18"/>
                <w:szCs w:val="18"/>
                <w:bdr w:val="none" w:sz="0" w:space="0" w:color="auto"/>
                <w:lang w:eastAsia="es-ES"/>
              </w:rPr>
              <w:t>Euros</w:t>
            </w:r>
          </w:p>
        </w:tc>
      </w:tr>
      <w:tr w:rsidR="00750A62" w:rsidRPr="00750A62" w14:paraId="3FD1DEE8" w14:textId="77777777" w:rsidTr="00FF35D6">
        <w:trPr>
          <w:trHeight w:val="170"/>
        </w:trPr>
        <w:tc>
          <w:tcPr>
            <w:tcW w:w="2548" w:type="pct"/>
            <w:tcBorders>
              <w:top w:val="nil"/>
              <w:left w:val="nil"/>
              <w:bottom w:val="single" w:sz="4" w:space="0" w:color="auto"/>
              <w:right w:val="nil"/>
            </w:tcBorders>
            <w:shd w:val="clear" w:color="auto" w:fill="auto"/>
            <w:vAlign w:val="bottom"/>
            <w:hideMark/>
          </w:tcPr>
          <w:p w14:paraId="08A13AB3" w14:textId="77777777" w:rsidR="00750A62" w:rsidRPr="00750A62"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750A62">
              <w:rPr>
                <w:rFonts w:eastAsia="Times New Roman"/>
                <w:b/>
                <w:bCs/>
                <w:sz w:val="18"/>
                <w:szCs w:val="18"/>
                <w:bdr w:val="none" w:sz="0" w:space="0" w:color="auto"/>
                <w:lang w:eastAsia="es-ES"/>
              </w:rPr>
              <w:t> </w:t>
            </w:r>
          </w:p>
        </w:tc>
        <w:tc>
          <w:tcPr>
            <w:tcW w:w="661" w:type="pct"/>
            <w:tcBorders>
              <w:top w:val="single" w:sz="4" w:space="0" w:color="auto"/>
              <w:left w:val="nil"/>
              <w:bottom w:val="single" w:sz="4" w:space="0" w:color="auto"/>
              <w:right w:val="nil"/>
            </w:tcBorders>
            <w:shd w:val="clear" w:color="auto" w:fill="auto"/>
            <w:vAlign w:val="bottom"/>
            <w:hideMark/>
          </w:tcPr>
          <w:p w14:paraId="2C558A45" w14:textId="77777777" w:rsidR="00750A62" w:rsidRPr="00750A62"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750A62">
              <w:rPr>
                <w:rFonts w:eastAsia="Times New Roman"/>
                <w:b/>
                <w:bCs/>
                <w:sz w:val="18"/>
                <w:szCs w:val="18"/>
                <w:bdr w:val="none" w:sz="0" w:space="0" w:color="auto"/>
                <w:lang w:eastAsia="es-ES"/>
              </w:rPr>
              <w:t>Saldo al 31/12/2017</w:t>
            </w:r>
          </w:p>
        </w:tc>
        <w:tc>
          <w:tcPr>
            <w:tcW w:w="604" w:type="pct"/>
            <w:tcBorders>
              <w:top w:val="single" w:sz="4" w:space="0" w:color="auto"/>
              <w:left w:val="nil"/>
              <w:bottom w:val="single" w:sz="4" w:space="0" w:color="auto"/>
              <w:right w:val="nil"/>
            </w:tcBorders>
            <w:shd w:val="clear" w:color="auto" w:fill="auto"/>
            <w:vAlign w:val="bottom"/>
            <w:hideMark/>
          </w:tcPr>
          <w:p w14:paraId="68A6371B" w14:textId="77777777" w:rsidR="00750A62" w:rsidRPr="00750A62"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750A62">
              <w:rPr>
                <w:rFonts w:eastAsia="Times New Roman"/>
                <w:b/>
                <w:bCs/>
                <w:sz w:val="18"/>
                <w:szCs w:val="18"/>
                <w:bdr w:val="none" w:sz="0" w:space="0" w:color="auto"/>
                <w:lang w:eastAsia="es-ES"/>
              </w:rPr>
              <w:t>Altas</w:t>
            </w:r>
          </w:p>
        </w:tc>
        <w:tc>
          <w:tcPr>
            <w:tcW w:w="526" w:type="pct"/>
            <w:tcBorders>
              <w:top w:val="single" w:sz="4" w:space="0" w:color="auto"/>
              <w:left w:val="nil"/>
              <w:bottom w:val="single" w:sz="4" w:space="0" w:color="auto"/>
              <w:right w:val="nil"/>
            </w:tcBorders>
            <w:shd w:val="clear" w:color="auto" w:fill="auto"/>
            <w:vAlign w:val="bottom"/>
            <w:hideMark/>
          </w:tcPr>
          <w:p w14:paraId="4B9CEFEF" w14:textId="77777777" w:rsidR="00750A62" w:rsidRPr="00750A62"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750A62">
              <w:rPr>
                <w:rFonts w:eastAsia="Times New Roman"/>
                <w:b/>
                <w:bCs/>
                <w:sz w:val="18"/>
                <w:szCs w:val="18"/>
                <w:bdr w:val="none" w:sz="0" w:space="0" w:color="auto"/>
                <w:lang w:eastAsia="es-ES"/>
              </w:rPr>
              <w:t>Bajas</w:t>
            </w:r>
          </w:p>
        </w:tc>
        <w:tc>
          <w:tcPr>
            <w:tcW w:w="661" w:type="pct"/>
            <w:tcBorders>
              <w:top w:val="single" w:sz="4" w:space="0" w:color="auto"/>
              <w:left w:val="nil"/>
              <w:bottom w:val="single" w:sz="4" w:space="0" w:color="auto"/>
              <w:right w:val="nil"/>
            </w:tcBorders>
            <w:shd w:val="clear" w:color="auto" w:fill="auto"/>
            <w:vAlign w:val="bottom"/>
            <w:hideMark/>
          </w:tcPr>
          <w:p w14:paraId="5EAD7798" w14:textId="77777777" w:rsidR="00750A62" w:rsidRPr="00750A62"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750A62">
              <w:rPr>
                <w:rFonts w:eastAsia="Times New Roman"/>
                <w:b/>
                <w:bCs/>
                <w:sz w:val="18"/>
                <w:szCs w:val="18"/>
                <w:bdr w:val="none" w:sz="0" w:space="0" w:color="auto"/>
                <w:lang w:eastAsia="es-ES"/>
              </w:rPr>
              <w:t>Saldo al 31/12/2018</w:t>
            </w:r>
          </w:p>
        </w:tc>
      </w:tr>
      <w:tr w:rsidR="00750A62" w:rsidRPr="00750A62" w14:paraId="7A498BC8" w14:textId="77777777" w:rsidTr="00FF35D6">
        <w:trPr>
          <w:trHeight w:val="234"/>
        </w:trPr>
        <w:tc>
          <w:tcPr>
            <w:tcW w:w="2548" w:type="pct"/>
            <w:tcBorders>
              <w:top w:val="nil"/>
              <w:left w:val="nil"/>
              <w:bottom w:val="nil"/>
              <w:right w:val="nil"/>
            </w:tcBorders>
            <w:shd w:val="clear" w:color="auto" w:fill="auto"/>
            <w:vAlign w:val="center"/>
            <w:hideMark/>
          </w:tcPr>
          <w:p w14:paraId="71613834" w14:textId="77777777" w:rsidR="00750A62" w:rsidRPr="00750A62" w:rsidRDefault="00750A62" w:rsidP="003A411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750A62">
              <w:rPr>
                <w:rFonts w:eastAsia="Times New Roman"/>
                <w:b/>
                <w:bCs/>
                <w:sz w:val="18"/>
                <w:szCs w:val="18"/>
                <w:bdr w:val="none" w:sz="0" w:space="0" w:color="auto"/>
                <w:lang w:eastAsia="es-ES"/>
              </w:rPr>
              <w:t>Coste</w:t>
            </w:r>
          </w:p>
        </w:tc>
        <w:tc>
          <w:tcPr>
            <w:tcW w:w="661" w:type="pct"/>
            <w:tcBorders>
              <w:top w:val="nil"/>
              <w:left w:val="nil"/>
              <w:bottom w:val="nil"/>
              <w:right w:val="nil"/>
            </w:tcBorders>
            <w:shd w:val="clear" w:color="auto" w:fill="auto"/>
            <w:vAlign w:val="center"/>
            <w:hideMark/>
          </w:tcPr>
          <w:p w14:paraId="39B61F7F" w14:textId="77777777" w:rsidR="00750A62" w:rsidRPr="00750A62"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604" w:type="pct"/>
            <w:tcBorders>
              <w:top w:val="nil"/>
              <w:left w:val="nil"/>
              <w:bottom w:val="nil"/>
              <w:right w:val="nil"/>
            </w:tcBorders>
            <w:shd w:val="clear" w:color="auto" w:fill="auto"/>
            <w:vAlign w:val="center"/>
            <w:hideMark/>
          </w:tcPr>
          <w:p w14:paraId="1AE327AD" w14:textId="77777777" w:rsidR="00750A62" w:rsidRPr="00750A62"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20"/>
                <w:szCs w:val="20"/>
                <w:bdr w:val="none" w:sz="0" w:space="0" w:color="auto"/>
                <w:lang w:eastAsia="es-ES"/>
              </w:rPr>
            </w:pPr>
          </w:p>
        </w:tc>
        <w:tc>
          <w:tcPr>
            <w:tcW w:w="526" w:type="pct"/>
            <w:tcBorders>
              <w:top w:val="nil"/>
              <w:left w:val="nil"/>
              <w:bottom w:val="nil"/>
              <w:right w:val="nil"/>
            </w:tcBorders>
            <w:shd w:val="clear" w:color="auto" w:fill="auto"/>
            <w:vAlign w:val="center"/>
            <w:hideMark/>
          </w:tcPr>
          <w:p w14:paraId="1775D7D7" w14:textId="77777777" w:rsidR="00750A62" w:rsidRPr="00750A62"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c>
          <w:tcPr>
            <w:tcW w:w="661" w:type="pct"/>
            <w:tcBorders>
              <w:top w:val="nil"/>
              <w:left w:val="nil"/>
              <w:bottom w:val="nil"/>
              <w:right w:val="nil"/>
            </w:tcBorders>
            <w:shd w:val="clear" w:color="auto" w:fill="auto"/>
            <w:vAlign w:val="center"/>
            <w:hideMark/>
          </w:tcPr>
          <w:p w14:paraId="1EE60B3B" w14:textId="77777777" w:rsidR="00750A62" w:rsidRPr="00750A62"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20"/>
                <w:szCs w:val="20"/>
                <w:bdr w:val="none" w:sz="0" w:space="0" w:color="auto"/>
                <w:lang w:eastAsia="es-ES"/>
              </w:rPr>
            </w:pPr>
          </w:p>
        </w:tc>
      </w:tr>
      <w:tr w:rsidR="00750A62" w:rsidRPr="00750A62" w14:paraId="3E0FBB6F" w14:textId="77777777" w:rsidTr="00FF35D6">
        <w:trPr>
          <w:trHeight w:val="234"/>
        </w:trPr>
        <w:tc>
          <w:tcPr>
            <w:tcW w:w="2548" w:type="pct"/>
            <w:tcBorders>
              <w:top w:val="nil"/>
              <w:left w:val="nil"/>
              <w:bottom w:val="nil"/>
              <w:right w:val="nil"/>
            </w:tcBorders>
            <w:shd w:val="clear" w:color="auto" w:fill="auto"/>
            <w:vAlign w:val="center"/>
            <w:hideMark/>
          </w:tcPr>
          <w:p w14:paraId="72845E15" w14:textId="77777777" w:rsidR="00750A62" w:rsidRPr="00750A62" w:rsidRDefault="00750A62" w:rsidP="003A411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750A62">
              <w:rPr>
                <w:rFonts w:eastAsia="Times New Roman"/>
                <w:sz w:val="18"/>
                <w:szCs w:val="18"/>
                <w:bdr w:val="none" w:sz="0" w:space="0" w:color="auto"/>
                <w:lang w:eastAsia="es-ES"/>
              </w:rPr>
              <w:t>Concesiones, patentes, licencias, marcas y similares</w:t>
            </w:r>
          </w:p>
        </w:tc>
        <w:tc>
          <w:tcPr>
            <w:tcW w:w="661" w:type="pct"/>
            <w:tcBorders>
              <w:top w:val="nil"/>
              <w:left w:val="nil"/>
              <w:bottom w:val="nil"/>
              <w:right w:val="nil"/>
            </w:tcBorders>
            <w:shd w:val="clear" w:color="auto" w:fill="auto"/>
            <w:vAlign w:val="center"/>
            <w:hideMark/>
          </w:tcPr>
          <w:p w14:paraId="5B1A3128" w14:textId="77777777" w:rsidR="00750A62" w:rsidRPr="00750A62"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750A62">
              <w:rPr>
                <w:rFonts w:eastAsia="Times New Roman"/>
                <w:sz w:val="18"/>
                <w:szCs w:val="18"/>
                <w:bdr w:val="none" w:sz="0" w:space="0" w:color="auto"/>
                <w:lang w:eastAsia="es-ES"/>
              </w:rPr>
              <w:t>5.742,87</w:t>
            </w:r>
          </w:p>
        </w:tc>
        <w:tc>
          <w:tcPr>
            <w:tcW w:w="604" w:type="pct"/>
            <w:tcBorders>
              <w:top w:val="nil"/>
              <w:left w:val="nil"/>
              <w:bottom w:val="nil"/>
              <w:right w:val="nil"/>
            </w:tcBorders>
            <w:shd w:val="clear" w:color="auto" w:fill="auto"/>
            <w:vAlign w:val="center"/>
            <w:hideMark/>
          </w:tcPr>
          <w:p w14:paraId="16DCAA2B" w14:textId="77777777" w:rsidR="00750A62" w:rsidRPr="00750A62" w:rsidRDefault="0071126B" w:rsidP="00750A6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rFonts w:eastAsia="Times New Roman"/>
                <w:sz w:val="18"/>
                <w:szCs w:val="18"/>
                <w:bdr w:val="none" w:sz="0" w:space="0" w:color="auto"/>
                <w:lang w:eastAsia="es-ES"/>
              </w:rPr>
              <w:t>-</w:t>
            </w:r>
          </w:p>
        </w:tc>
        <w:tc>
          <w:tcPr>
            <w:tcW w:w="526" w:type="pct"/>
            <w:tcBorders>
              <w:top w:val="nil"/>
              <w:left w:val="nil"/>
              <w:bottom w:val="nil"/>
              <w:right w:val="nil"/>
            </w:tcBorders>
            <w:shd w:val="clear" w:color="auto" w:fill="auto"/>
            <w:vAlign w:val="center"/>
            <w:hideMark/>
          </w:tcPr>
          <w:p w14:paraId="2A78F6E9" w14:textId="77777777" w:rsidR="00750A62" w:rsidRPr="00750A62"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750A62">
              <w:rPr>
                <w:rFonts w:eastAsia="Times New Roman"/>
                <w:sz w:val="18"/>
                <w:szCs w:val="18"/>
                <w:bdr w:val="none" w:sz="0" w:space="0" w:color="auto"/>
                <w:lang w:eastAsia="es-ES"/>
              </w:rPr>
              <w:t xml:space="preserve"> -</w:t>
            </w:r>
          </w:p>
        </w:tc>
        <w:tc>
          <w:tcPr>
            <w:tcW w:w="661" w:type="pct"/>
            <w:tcBorders>
              <w:top w:val="nil"/>
              <w:left w:val="nil"/>
              <w:bottom w:val="nil"/>
              <w:right w:val="nil"/>
            </w:tcBorders>
            <w:shd w:val="clear" w:color="auto" w:fill="auto"/>
            <w:vAlign w:val="center"/>
            <w:hideMark/>
          </w:tcPr>
          <w:p w14:paraId="7DA50076" w14:textId="77777777" w:rsidR="00750A62" w:rsidRPr="00750A62"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750A62">
              <w:rPr>
                <w:rFonts w:eastAsia="Times New Roman"/>
                <w:sz w:val="18"/>
                <w:szCs w:val="18"/>
                <w:bdr w:val="none" w:sz="0" w:space="0" w:color="auto"/>
                <w:lang w:eastAsia="es-ES"/>
              </w:rPr>
              <w:t>5.742,87</w:t>
            </w:r>
          </w:p>
        </w:tc>
      </w:tr>
      <w:tr w:rsidR="00750A62" w:rsidRPr="00750A62" w14:paraId="20EC3AF9" w14:textId="77777777" w:rsidTr="00FF35D6">
        <w:trPr>
          <w:trHeight w:val="234"/>
        </w:trPr>
        <w:tc>
          <w:tcPr>
            <w:tcW w:w="2548" w:type="pct"/>
            <w:tcBorders>
              <w:top w:val="nil"/>
              <w:left w:val="nil"/>
              <w:bottom w:val="nil"/>
              <w:right w:val="nil"/>
            </w:tcBorders>
            <w:shd w:val="clear" w:color="auto" w:fill="auto"/>
            <w:vAlign w:val="center"/>
            <w:hideMark/>
          </w:tcPr>
          <w:p w14:paraId="7C9661DE" w14:textId="77777777" w:rsidR="00750A62" w:rsidRPr="00750A62" w:rsidRDefault="00750A62" w:rsidP="003A411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750A62">
              <w:rPr>
                <w:rFonts w:eastAsia="Times New Roman"/>
                <w:sz w:val="18"/>
                <w:szCs w:val="18"/>
                <w:bdr w:val="none" w:sz="0" w:space="0" w:color="auto"/>
                <w:lang w:eastAsia="es-ES"/>
              </w:rPr>
              <w:t>Aplicaciones informáticas</w:t>
            </w:r>
          </w:p>
        </w:tc>
        <w:tc>
          <w:tcPr>
            <w:tcW w:w="661" w:type="pct"/>
            <w:tcBorders>
              <w:top w:val="nil"/>
              <w:left w:val="nil"/>
              <w:bottom w:val="nil"/>
              <w:right w:val="nil"/>
            </w:tcBorders>
            <w:shd w:val="clear" w:color="auto" w:fill="auto"/>
            <w:vAlign w:val="center"/>
            <w:hideMark/>
          </w:tcPr>
          <w:p w14:paraId="30358BF8" w14:textId="77777777" w:rsidR="00750A62" w:rsidRPr="00750A62"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750A62">
              <w:rPr>
                <w:rFonts w:eastAsia="Times New Roman"/>
                <w:sz w:val="18"/>
                <w:szCs w:val="18"/>
                <w:bdr w:val="none" w:sz="0" w:space="0" w:color="auto"/>
                <w:lang w:eastAsia="es-ES"/>
              </w:rPr>
              <w:t>153.739,03</w:t>
            </w:r>
          </w:p>
        </w:tc>
        <w:tc>
          <w:tcPr>
            <w:tcW w:w="604" w:type="pct"/>
            <w:tcBorders>
              <w:top w:val="nil"/>
              <w:left w:val="nil"/>
              <w:bottom w:val="nil"/>
              <w:right w:val="nil"/>
            </w:tcBorders>
            <w:shd w:val="clear" w:color="auto" w:fill="auto"/>
            <w:noWrap/>
            <w:vAlign w:val="bottom"/>
            <w:hideMark/>
          </w:tcPr>
          <w:p w14:paraId="11476890" w14:textId="77777777" w:rsidR="00750A62" w:rsidRPr="00750A62" w:rsidRDefault="0071126B" w:rsidP="00750A6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rFonts w:eastAsia="Times New Roman"/>
                <w:sz w:val="18"/>
                <w:szCs w:val="18"/>
                <w:bdr w:val="none" w:sz="0" w:space="0" w:color="auto"/>
                <w:lang w:eastAsia="es-ES"/>
              </w:rPr>
              <w:t>-</w:t>
            </w:r>
          </w:p>
        </w:tc>
        <w:tc>
          <w:tcPr>
            <w:tcW w:w="526" w:type="pct"/>
            <w:tcBorders>
              <w:top w:val="nil"/>
              <w:left w:val="nil"/>
              <w:bottom w:val="nil"/>
              <w:right w:val="nil"/>
            </w:tcBorders>
            <w:shd w:val="clear" w:color="auto" w:fill="auto"/>
            <w:vAlign w:val="center"/>
            <w:hideMark/>
          </w:tcPr>
          <w:p w14:paraId="7B830A04" w14:textId="77777777" w:rsidR="00750A62" w:rsidRPr="00750A62"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750A62">
              <w:rPr>
                <w:rFonts w:eastAsia="Times New Roman"/>
                <w:sz w:val="18"/>
                <w:szCs w:val="18"/>
                <w:bdr w:val="none" w:sz="0" w:space="0" w:color="auto"/>
                <w:lang w:eastAsia="es-ES"/>
              </w:rPr>
              <w:t xml:space="preserve"> -</w:t>
            </w:r>
          </w:p>
        </w:tc>
        <w:tc>
          <w:tcPr>
            <w:tcW w:w="661" w:type="pct"/>
            <w:tcBorders>
              <w:top w:val="nil"/>
              <w:left w:val="nil"/>
              <w:bottom w:val="nil"/>
              <w:right w:val="nil"/>
            </w:tcBorders>
            <w:shd w:val="clear" w:color="auto" w:fill="auto"/>
            <w:vAlign w:val="center"/>
            <w:hideMark/>
          </w:tcPr>
          <w:p w14:paraId="6D243403" w14:textId="77777777" w:rsidR="00750A62" w:rsidRPr="00750A62"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750A62">
              <w:rPr>
                <w:rFonts w:eastAsia="Times New Roman"/>
                <w:sz w:val="18"/>
                <w:szCs w:val="18"/>
                <w:bdr w:val="none" w:sz="0" w:space="0" w:color="auto"/>
                <w:lang w:eastAsia="es-ES"/>
              </w:rPr>
              <w:t>153.739,03</w:t>
            </w:r>
          </w:p>
        </w:tc>
      </w:tr>
      <w:tr w:rsidR="00750A62" w:rsidRPr="00750A62" w14:paraId="01D470FC" w14:textId="77777777" w:rsidTr="00FF35D6">
        <w:trPr>
          <w:trHeight w:val="234"/>
        </w:trPr>
        <w:tc>
          <w:tcPr>
            <w:tcW w:w="2548" w:type="pct"/>
            <w:tcBorders>
              <w:top w:val="nil"/>
              <w:left w:val="nil"/>
              <w:bottom w:val="nil"/>
              <w:right w:val="nil"/>
            </w:tcBorders>
            <w:shd w:val="clear" w:color="auto" w:fill="auto"/>
            <w:vAlign w:val="center"/>
            <w:hideMark/>
          </w:tcPr>
          <w:p w14:paraId="219F1AE1" w14:textId="77777777" w:rsidR="00750A62" w:rsidRPr="00750A62" w:rsidRDefault="00750A62" w:rsidP="003A411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750A62">
              <w:rPr>
                <w:rFonts w:eastAsia="Times New Roman"/>
                <w:sz w:val="18"/>
                <w:szCs w:val="18"/>
                <w:bdr w:val="none" w:sz="0" w:space="0" w:color="auto"/>
                <w:lang w:eastAsia="es-ES"/>
              </w:rPr>
              <w:t>Anticipos para inmovilizaciones intangibles</w:t>
            </w:r>
          </w:p>
        </w:tc>
        <w:tc>
          <w:tcPr>
            <w:tcW w:w="661" w:type="pct"/>
            <w:tcBorders>
              <w:top w:val="nil"/>
              <w:left w:val="nil"/>
              <w:bottom w:val="nil"/>
              <w:right w:val="nil"/>
            </w:tcBorders>
            <w:shd w:val="clear" w:color="auto" w:fill="auto"/>
            <w:vAlign w:val="center"/>
            <w:hideMark/>
          </w:tcPr>
          <w:p w14:paraId="6FD6FAF5" w14:textId="77777777" w:rsidR="00750A62" w:rsidRPr="00750A62"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750A62">
              <w:rPr>
                <w:rFonts w:eastAsia="Times New Roman"/>
                <w:sz w:val="18"/>
                <w:szCs w:val="18"/>
                <w:bdr w:val="none" w:sz="0" w:space="0" w:color="auto"/>
                <w:lang w:eastAsia="es-ES"/>
              </w:rPr>
              <w:t xml:space="preserve"> -</w:t>
            </w:r>
          </w:p>
        </w:tc>
        <w:tc>
          <w:tcPr>
            <w:tcW w:w="604" w:type="pct"/>
            <w:tcBorders>
              <w:top w:val="nil"/>
              <w:left w:val="nil"/>
              <w:bottom w:val="nil"/>
              <w:right w:val="nil"/>
            </w:tcBorders>
            <w:shd w:val="clear" w:color="auto" w:fill="auto"/>
            <w:noWrap/>
            <w:vAlign w:val="bottom"/>
            <w:hideMark/>
          </w:tcPr>
          <w:p w14:paraId="25668550" w14:textId="77777777" w:rsidR="00750A62" w:rsidRPr="00750A62"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750A62">
              <w:rPr>
                <w:rFonts w:eastAsia="Times New Roman"/>
                <w:sz w:val="18"/>
                <w:szCs w:val="18"/>
                <w:bdr w:val="none" w:sz="0" w:space="0" w:color="auto"/>
                <w:lang w:eastAsia="es-ES"/>
              </w:rPr>
              <w:t>18.235,98</w:t>
            </w:r>
          </w:p>
        </w:tc>
        <w:tc>
          <w:tcPr>
            <w:tcW w:w="526" w:type="pct"/>
            <w:tcBorders>
              <w:top w:val="nil"/>
              <w:left w:val="nil"/>
              <w:bottom w:val="nil"/>
              <w:right w:val="nil"/>
            </w:tcBorders>
            <w:shd w:val="clear" w:color="auto" w:fill="auto"/>
            <w:vAlign w:val="center"/>
            <w:hideMark/>
          </w:tcPr>
          <w:p w14:paraId="69150EB9" w14:textId="77777777" w:rsidR="00750A62" w:rsidRPr="00750A62"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750A62">
              <w:rPr>
                <w:rFonts w:eastAsia="Times New Roman"/>
                <w:sz w:val="18"/>
                <w:szCs w:val="18"/>
                <w:bdr w:val="none" w:sz="0" w:space="0" w:color="auto"/>
                <w:lang w:eastAsia="es-ES"/>
              </w:rPr>
              <w:t xml:space="preserve"> -</w:t>
            </w:r>
          </w:p>
        </w:tc>
        <w:tc>
          <w:tcPr>
            <w:tcW w:w="661" w:type="pct"/>
            <w:tcBorders>
              <w:top w:val="nil"/>
              <w:left w:val="nil"/>
              <w:bottom w:val="nil"/>
              <w:right w:val="nil"/>
            </w:tcBorders>
            <w:shd w:val="clear" w:color="auto" w:fill="auto"/>
            <w:vAlign w:val="center"/>
            <w:hideMark/>
          </w:tcPr>
          <w:p w14:paraId="67E2C60B" w14:textId="77777777" w:rsidR="00750A62" w:rsidRPr="00750A62"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750A62">
              <w:rPr>
                <w:rFonts w:eastAsia="Times New Roman"/>
                <w:sz w:val="18"/>
                <w:szCs w:val="18"/>
                <w:bdr w:val="none" w:sz="0" w:space="0" w:color="auto"/>
                <w:lang w:eastAsia="es-ES"/>
              </w:rPr>
              <w:t>18.235,98</w:t>
            </w:r>
          </w:p>
        </w:tc>
      </w:tr>
      <w:tr w:rsidR="00750A62" w:rsidRPr="00750A62" w14:paraId="30E956E2" w14:textId="77777777" w:rsidTr="00FF35D6">
        <w:trPr>
          <w:trHeight w:val="283"/>
        </w:trPr>
        <w:tc>
          <w:tcPr>
            <w:tcW w:w="2548" w:type="pct"/>
            <w:tcBorders>
              <w:top w:val="nil"/>
              <w:left w:val="nil"/>
              <w:bottom w:val="nil"/>
              <w:right w:val="nil"/>
            </w:tcBorders>
            <w:shd w:val="clear" w:color="auto" w:fill="auto"/>
            <w:vAlign w:val="center"/>
            <w:hideMark/>
          </w:tcPr>
          <w:p w14:paraId="4DFF36FB" w14:textId="77777777" w:rsidR="00750A62" w:rsidRPr="00750A62" w:rsidRDefault="00750A62" w:rsidP="003A411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661" w:type="pct"/>
            <w:tcBorders>
              <w:top w:val="single" w:sz="4" w:space="0" w:color="auto"/>
              <w:left w:val="nil"/>
              <w:bottom w:val="single" w:sz="4" w:space="0" w:color="auto"/>
              <w:right w:val="nil"/>
            </w:tcBorders>
            <w:shd w:val="clear" w:color="auto" w:fill="auto"/>
            <w:vAlign w:val="center"/>
            <w:hideMark/>
          </w:tcPr>
          <w:p w14:paraId="52ED274E" w14:textId="77777777" w:rsidR="00750A62" w:rsidRPr="00750A62"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750A62">
              <w:rPr>
                <w:rFonts w:eastAsia="Times New Roman"/>
                <w:b/>
                <w:bCs/>
                <w:sz w:val="18"/>
                <w:szCs w:val="18"/>
                <w:bdr w:val="none" w:sz="0" w:space="0" w:color="auto"/>
                <w:lang w:eastAsia="es-ES"/>
              </w:rPr>
              <w:t>159.481,90</w:t>
            </w:r>
          </w:p>
        </w:tc>
        <w:tc>
          <w:tcPr>
            <w:tcW w:w="604" w:type="pct"/>
            <w:tcBorders>
              <w:top w:val="single" w:sz="4" w:space="0" w:color="auto"/>
              <w:left w:val="nil"/>
              <w:bottom w:val="single" w:sz="4" w:space="0" w:color="auto"/>
              <w:right w:val="nil"/>
            </w:tcBorders>
            <w:shd w:val="clear" w:color="auto" w:fill="auto"/>
            <w:vAlign w:val="center"/>
            <w:hideMark/>
          </w:tcPr>
          <w:p w14:paraId="6F09D04C" w14:textId="77777777" w:rsidR="00750A62" w:rsidRPr="00B10DE7" w:rsidRDefault="00FF5498" w:rsidP="00750A6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B10DE7">
              <w:rPr>
                <w:rFonts w:eastAsia="Times New Roman"/>
                <w:b/>
                <w:bCs/>
                <w:sz w:val="18"/>
                <w:szCs w:val="18"/>
                <w:bdr w:val="none" w:sz="0" w:space="0" w:color="auto"/>
                <w:lang w:eastAsia="es-ES"/>
              </w:rPr>
              <w:t>18.235,98</w:t>
            </w:r>
          </w:p>
        </w:tc>
        <w:tc>
          <w:tcPr>
            <w:tcW w:w="526" w:type="pct"/>
            <w:tcBorders>
              <w:top w:val="single" w:sz="4" w:space="0" w:color="auto"/>
              <w:left w:val="nil"/>
              <w:bottom w:val="single" w:sz="4" w:space="0" w:color="auto"/>
              <w:right w:val="nil"/>
            </w:tcBorders>
            <w:shd w:val="clear" w:color="auto" w:fill="auto"/>
            <w:vAlign w:val="center"/>
            <w:hideMark/>
          </w:tcPr>
          <w:p w14:paraId="6688E234" w14:textId="77777777" w:rsidR="00750A62" w:rsidRPr="00750A62"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750A62">
              <w:rPr>
                <w:rFonts w:eastAsia="Times New Roman"/>
                <w:b/>
                <w:bCs/>
                <w:sz w:val="18"/>
                <w:szCs w:val="18"/>
                <w:bdr w:val="none" w:sz="0" w:space="0" w:color="auto"/>
                <w:lang w:eastAsia="es-ES"/>
              </w:rPr>
              <w:t xml:space="preserve"> -</w:t>
            </w:r>
          </w:p>
        </w:tc>
        <w:tc>
          <w:tcPr>
            <w:tcW w:w="661" w:type="pct"/>
            <w:tcBorders>
              <w:top w:val="single" w:sz="4" w:space="0" w:color="auto"/>
              <w:left w:val="nil"/>
              <w:bottom w:val="single" w:sz="4" w:space="0" w:color="auto"/>
              <w:right w:val="nil"/>
            </w:tcBorders>
            <w:shd w:val="clear" w:color="auto" w:fill="auto"/>
            <w:vAlign w:val="center"/>
            <w:hideMark/>
          </w:tcPr>
          <w:p w14:paraId="2C5AC2A1" w14:textId="77777777" w:rsidR="00750A62" w:rsidRPr="00750A62"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750A62">
              <w:rPr>
                <w:rFonts w:eastAsia="Times New Roman"/>
                <w:b/>
                <w:bCs/>
                <w:sz w:val="18"/>
                <w:szCs w:val="18"/>
                <w:bdr w:val="none" w:sz="0" w:space="0" w:color="auto"/>
                <w:lang w:eastAsia="es-ES"/>
              </w:rPr>
              <w:t>177.717,88</w:t>
            </w:r>
          </w:p>
        </w:tc>
      </w:tr>
      <w:tr w:rsidR="00750A62" w:rsidRPr="00750A62" w14:paraId="4C60840D" w14:textId="77777777" w:rsidTr="00FF35D6">
        <w:trPr>
          <w:trHeight w:val="234"/>
        </w:trPr>
        <w:tc>
          <w:tcPr>
            <w:tcW w:w="2548" w:type="pct"/>
            <w:tcBorders>
              <w:top w:val="nil"/>
              <w:left w:val="nil"/>
              <w:bottom w:val="nil"/>
              <w:right w:val="nil"/>
            </w:tcBorders>
            <w:shd w:val="clear" w:color="auto" w:fill="auto"/>
            <w:vAlign w:val="center"/>
            <w:hideMark/>
          </w:tcPr>
          <w:p w14:paraId="02B6DF04" w14:textId="77777777" w:rsidR="00750A62" w:rsidRPr="00750A62" w:rsidRDefault="00750A62" w:rsidP="003A411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750A62">
              <w:rPr>
                <w:rFonts w:eastAsia="Times New Roman"/>
                <w:b/>
                <w:bCs/>
                <w:sz w:val="18"/>
                <w:szCs w:val="18"/>
                <w:bdr w:val="none" w:sz="0" w:space="0" w:color="auto"/>
                <w:lang w:eastAsia="es-ES"/>
              </w:rPr>
              <w:t>Amortización</w:t>
            </w:r>
          </w:p>
        </w:tc>
        <w:tc>
          <w:tcPr>
            <w:tcW w:w="661" w:type="pct"/>
            <w:tcBorders>
              <w:top w:val="nil"/>
              <w:left w:val="nil"/>
              <w:bottom w:val="nil"/>
              <w:right w:val="nil"/>
            </w:tcBorders>
            <w:shd w:val="clear" w:color="auto" w:fill="auto"/>
            <w:vAlign w:val="center"/>
            <w:hideMark/>
          </w:tcPr>
          <w:p w14:paraId="3C9657CC" w14:textId="77777777" w:rsidR="00750A62" w:rsidRPr="00750A62"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604" w:type="pct"/>
            <w:tcBorders>
              <w:top w:val="nil"/>
              <w:left w:val="nil"/>
              <w:bottom w:val="nil"/>
              <w:right w:val="nil"/>
            </w:tcBorders>
            <w:shd w:val="clear" w:color="auto" w:fill="auto"/>
            <w:vAlign w:val="center"/>
            <w:hideMark/>
          </w:tcPr>
          <w:p w14:paraId="6EB3018E" w14:textId="77777777" w:rsidR="00750A62" w:rsidRPr="00B10DE7"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c>
          <w:tcPr>
            <w:tcW w:w="526" w:type="pct"/>
            <w:tcBorders>
              <w:top w:val="nil"/>
              <w:left w:val="nil"/>
              <w:bottom w:val="nil"/>
              <w:right w:val="nil"/>
            </w:tcBorders>
            <w:shd w:val="clear" w:color="auto" w:fill="auto"/>
            <w:vAlign w:val="center"/>
            <w:hideMark/>
          </w:tcPr>
          <w:p w14:paraId="644F8A43" w14:textId="77777777" w:rsidR="00750A62" w:rsidRPr="00750A62"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c>
          <w:tcPr>
            <w:tcW w:w="661" w:type="pct"/>
            <w:tcBorders>
              <w:top w:val="nil"/>
              <w:left w:val="nil"/>
              <w:bottom w:val="nil"/>
              <w:right w:val="nil"/>
            </w:tcBorders>
            <w:shd w:val="clear" w:color="auto" w:fill="auto"/>
            <w:vAlign w:val="center"/>
            <w:hideMark/>
          </w:tcPr>
          <w:p w14:paraId="5A7818E9" w14:textId="77777777" w:rsidR="00750A62" w:rsidRPr="00750A62"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r>
      <w:tr w:rsidR="00750A62" w:rsidRPr="00750A62" w14:paraId="11FFBFF5" w14:textId="77777777" w:rsidTr="00FF35D6">
        <w:trPr>
          <w:trHeight w:val="234"/>
        </w:trPr>
        <w:tc>
          <w:tcPr>
            <w:tcW w:w="2548" w:type="pct"/>
            <w:tcBorders>
              <w:top w:val="nil"/>
              <w:left w:val="nil"/>
              <w:bottom w:val="nil"/>
              <w:right w:val="nil"/>
            </w:tcBorders>
            <w:shd w:val="clear" w:color="auto" w:fill="auto"/>
            <w:vAlign w:val="center"/>
            <w:hideMark/>
          </w:tcPr>
          <w:p w14:paraId="2DB6C5A9" w14:textId="77777777" w:rsidR="00750A62" w:rsidRPr="00750A62" w:rsidRDefault="00750A62" w:rsidP="003A411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750A62">
              <w:rPr>
                <w:rFonts w:eastAsia="Times New Roman"/>
                <w:sz w:val="18"/>
                <w:szCs w:val="18"/>
                <w:bdr w:val="none" w:sz="0" w:space="0" w:color="auto"/>
                <w:lang w:eastAsia="es-ES"/>
              </w:rPr>
              <w:t>Concesiones, patentes, licencias, marcas y similares</w:t>
            </w:r>
          </w:p>
        </w:tc>
        <w:tc>
          <w:tcPr>
            <w:tcW w:w="661" w:type="pct"/>
            <w:tcBorders>
              <w:top w:val="nil"/>
              <w:left w:val="nil"/>
              <w:bottom w:val="nil"/>
              <w:right w:val="nil"/>
            </w:tcBorders>
            <w:shd w:val="clear" w:color="auto" w:fill="auto"/>
            <w:vAlign w:val="center"/>
            <w:hideMark/>
          </w:tcPr>
          <w:p w14:paraId="57C99D30" w14:textId="77777777" w:rsidR="00750A62" w:rsidRPr="00750A62"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750A62">
              <w:rPr>
                <w:rFonts w:eastAsia="Times New Roman"/>
                <w:sz w:val="18"/>
                <w:szCs w:val="18"/>
                <w:bdr w:val="none" w:sz="0" w:space="0" w:color="auto"/>
                <w:lang w:eastAsia="es-ES"/>
              </w:rPr>
              <w:t>(5.742,87)</w:t>
            </w:r>
          </w:p>
        </w:tc>
        <w:tc>
          <w:tcPr>
            <w:tcW w:w="604" w:type="pct"/>
            <w:tcBorders>
              <w:top w:val="nil"/>
              <w:left w:val="nil"/>
              <w:bottom w:val="nil"/>
              <w:right w:val="nil"/>
            </w:tcBorders>
            <w:shd w:val="clear" w:color="auto" w:fill="auto"/>
            <w:vAlign w:val="center"/>
            <w:hideMark/>
          </w:tcPr>
          <w:p w14:paraId="6CA02E80" w14:textId="77777777" w:rsidR="00750A62" w:rsidRPr="00750A62" w:rsidRDefault="0071126B" w:rsidP="00750A6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rFonts w:eastAsia="Times New Roman"/>
                <w:sz w:val="18"/>
                <w:szCs w:val="18"/>
                <w:bdr w:val="none" w:sz="0" w:space="0" w:color="auto"/>
                <w:lang w:eastAsia="es-ES"/>
              </w:rPr>
              <w:t>-</w:t>
            </w:r>
          </w:p>
        </w:tc>
        <w:tc>
          <w:tcPr>
            <w:tcW w:w="526" w:type="pct"/>
            <w:tcBorders>
              <w:top w:val="nil"/>
              <w:left w:val="nil"/>
              <w:bottom w:val="nil"/>
              <w:right w:val="nil"/>
            </w:tcBorders>
            <w:shd w:val="clear" w:color="auto" w:fill="auto"/>
            <w:vAlign w:val="center"/>
            <w:hideMark/>
          </w:tcPr>
          <w:p w14:paraId="5824CC33" w14:textId="77777777" w:rsidR="00750A62" w:rsidRPr="00750A62"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750A62">
              <w:rPr>
                <w:rFonts w:eastAsia="Times New Roman"/>
                <w:sz w:val="18"/>
                <w:szCs w:val="18"/>
                <w:bdr w:val="none" w:sz="0" w:space="0" w:color="auto"/>
                <w:lang w:eastAsia="es-ES"/>
              </w:rPr>
              <w:t xml:space="preserve"> -</w:t>
            </w:r>
          </w:p>
        </w:tc>
        <w:tc>
          <w:tcPr>
            <w:tcW w:w="661" w:type="pct"/>
            <w:tcBorders>
              <w:top w:val="nil"/>
              <w:left w:val="nil"/>
              <w:bottom w:val="nil"/>
              <w:right w:val="nil"/>
            </w:tcBorders>
            <w:shd w:val="clear" w:color="auto" w:fill="auto"/>
            <w:vAlign w:val="center"/>
            <w:hideMark/>
          </w:tcPr>
          <w:p w14:paraId="16BAA95B" w14:textId="77777777" w:rsidR="00750A62" w:rsidRPr="00750A62"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750A62">
              <w:rPr>
                <w:rFonts w:eastAsia="Times New Roman"/>
                <w:sz w:val="18"/>
                <w:szCs w:val="18"/>
                <w:bdr w:val="none" w:sz="0" w:space="0" w:color="auto"/>
                <w:lang w:eastAsia="es-ES"/>
              </w:rPr>
              <w:t>(5.742,87)</w:t>
            </w:r>
          </w:p>
        </w:tc>
      </w:tr>
      <w:tr w:rsidR="00750A62" w:rsidRPr="00750A62" w14:paraId="2E20F1BD" w14:textId="77777777" w:rsidTr="00FF35D6">
        <w:trPr>
          <w:trHeight w:val="234"/>
        </w:trPr>
        <w:tc>
          <w:tcPr>
            <w:tcW w:w="2548" w:type="pct"/>
            <w:tcBorders>
              <w:top w:val="nil"/>
              <w:left w:val="nil"/>
              <w:bottom w:val="nil"/>
              <w:right w:val="nil"/>
            </w:tcBorders>
            <w:shd w:val="clear" w:color="auto" w:fill="auto"/>
            <w:vAlign w:val="center"/>
            <w:hideMark/>
          </w:tcPr>
          <w:p w14:paraId="1B73E0D0" w14:textId="77777777" w:rsidR="00750A62" w:rsidRPr="00750A62" w:rsidRDefault="00750A62" w:rsidP="003A411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750A62">
              <w:rPr>
                <w:rFonts w:eastAsia="Times New Roman"/>
                <w:sz w:val="18"/>
                <w:szCs w:val="18"/>
                <w:bdr w:val="none" w:sz="0" w:space="0" w:color="auto"/>
                <w:lang w:eastAsia="es-ES"/>
              </w:rPr>
              <w:t>Aplicaciones informáticas</w:t>
            </w:r>
          </w:p>
        </w:tc>
        <w:tc>
          <w:tcPr>
            <w:tcW w:w="661" w:type="pct"/>
            <w:tcBorders>
              <w:top w:val="nil"/>
              <w:left w:val="nil"/>
              <w:bottom w:val="nil"/>
              <w:right w:val="nil"/>
            </w:tcBorders>
            <w:shd w:val="clear" w:color="auto" w:fill="auto"/>
            <w:vAlign w:val="center"/>
            <w:hideMark/>
          </w:tcPr>
          <w:p w14:paraId="478457FD" w14:textId="77777777" w:rsidR="00750A62" w:rsidRPr="00750A62"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750A62">
              <w:rPr>
                <w:rFonts w:eastAsia="Times New Roman"/>
                <w:sz w:val="18"/>
                <w:szCs w:val="18"/>
                <w:bdr w:val="none" w:sz="0" w:space="0" w:color="auto"/>
                <w:lang w:eastAsia="es-ES"/>
              </w:rPr>
              <w:t>(131.734,05)</w:t>
            </w:r>
          </w:p>
        </w:tc>
        <w:tc>
          <w:tcPr>
            <w:tcW w:w="604" w:type="pct"/>
            <w:tcBorders>
              <w:top w:val="nil"/>
              <w:left w:val="nil"/>
              <w:bottom w:val="nil"/>
              <w:right w:val="nil"/>
            </w:tcBorders>
            <w:shd w:val="clear" w:color="auto" w:fill="auto"/>
            <w:vAlign w:val="center"/>
            <w:hideMark/>
          </w:tcPr>
          <w:p w14:paraId="3B30693D" w14:textId="77777777" w:rsidR="00750A62" w:rsidRPr="00750A62"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750A62">
              <w:rPr>
                <w:rFonts w:eastAsia="Times New Roman"/>
                <w:sz w:val="18"/>
                <w:szCs w:val="18"/>
                <w:bdr w:val="none" w:sz="0" w:space="0" w:color="auto"/>
                <w:lang w:eastAsia="es-ES"/>
              </w:rPr>
              <w:t>(11.254,00)</w:t>
            </w:r>
          </w:p>
        </w:tc>
        <w:tc>
          <w:tcPr>
            <w:tcW w:w="526" w:type="pct"/>
            <w:tcBorders>
              <w:top w:val="nil"/>
              <w:left w:val="nil"/>
              <w:bottom w:val="nil"/>
              <w:right w:val="nil"/>
            </w:tcBorders>
            <w:shd w:val="clear" w:color="auto" w:fill="auto"/>
            <w:vAlign w:val="center"/>
            <w:hideMark/>
          </w:tcPr>
          <w:p w14:paraId="4B422B51" w14:textId="77777777" w:rsidR="00750A62" w:rsidRPr="00750A62"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750A62">
              <w:rPr>
                <w:rFonts w:eastAsia="Times New Roman"/>
                <w:sz w:val="18"/>
                <w:szCs w:val="18"/>
                <w:bdr w:val="none" w:sz="0" w:space="0" w:color="auto"/>
                <w:lang w:eastAsia="es-ES"/>
              </w:rPr>
              <w:t xml:space="preserve"> -</w:t>
            </w:r>
          </w:p>
        </w:tc>
        <w:tc>
          <w:tcPr>
            <w:tcW w:w="661" w:type="pct"/>
            <w:tcBorders>
              <w:top w:val="nil"/>
              <w:left w:val="nil"/>
              <w:bottom w:val="nil"/>
              <w:right w:val="nil"/>
            </w:tcBorders>
            <w:shd w:val="clear" w:color="auto" w:fill="auto"/>
            <w:vAlign w:val="center"/>
            <w:hideMark/>
          </w:tcPr>
          <w:p w14:paraId="44849A51" w14:textId="77777777" w:rsidR="00750A62" w:rsidRPr="00750A62"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750A62">
              <w:rPr>
                <w:rFonts w:eastAsia="Times New Roman"/>
                <w:sz w:val="18"/>
                <w:szCs w:val="18"/>
                <w:bdr w:val="none" w:sz="0" w:space="0" w:color="auto"/>
                <w:lang w:eastAsia="es-ES"/>
              </w:rPr>
              <w:t>(142.988,05)</w:t>
            </w:r>
          </w:p>
        </w:tc>
      </w:tr>
      <w:tr w:rsidR="00750A62" w:rsidRPr="00750A62" w14:paraId="39B8D4E0" w14:textId="77777777" w:rsidTr="00FF35D6">
        <w:trPr>
          <w:trHeight w:val="283"/>
        </w:trPr>
        <w:tc>
          <w:tcPr>
            <w:tcW w:w="2548" w:type="pct"/>
            <w:tcBorders>
              <w:top w:val="nil"/>
              <w:left w:val="nil"/>
              <w:bottom w:val="nil"/>
              <w:right w:val="nil"/>
            </w:tcBorders>
            <w:shd w:val="clear" w:color="auto" w:fill="auto"/>
            <w:vAlign w:val="center"/>
            <w:hideMark/>
          </w:tcPr>
          <w:p w14:paraId="40E6B11C" w14:textId="77777777" w:rsidR="00750A62" w:rsidRPr="00750A62" w:rsidRDefault="00750A62" w:rsidP="003A411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661" w:type="pct"/>
            <w:tcBorders>
              <w:top w:val="single" w:sz="4" w:space="0" w:color="auto"/>
              <w:left w:val="nil"/>
              <w:bottom w:val="single" w:sz="4" w:space="0" w:color="auto"/>
              <w:right w:val="nil"/>
            </w:tcBorders>
            <w:shd w:val="clear" w:color="auto" w:fill="auto"/>
            <w:vAlign w:val="center"/>
            <w:hideMark/>
          </w:tcPr>
          <w:p w14:paraId="6D2543A7" w14:textId="77777777" w:rsidR="00750A62" w:rsidRPr="00750A62"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750A62">
              <w:rPr>
                <w:rFonts w:eastAsia="Times New Roman"/>
                <w:b/>
                <w:bCs/>
                <w:sz w:val="18"/>
                <w:szCs w:val="18"/>
                <w:bdr w:val="none" w:sz="0" w:space="0" w:color="auto"/>
                <w:lang w:eastAsia="es-ES"/>
              </w:rPr>
              <w:t>(137.476,92)</w:t>
            </w:r>
          </w:p>
        </w:tc>
        <w:tc>
          <w:tcPr>
            <w:tcW w:w="604" w:type="pct"/>
            <w:tcBorders>
              <w:top w:val="single" w:sz="4" w:space="0" w:color="auto"/>
              <w:left w:val="nil"/>
              <w:bottom w:val="single" w:sz="4" w:space="0" w:color="auto"/>
              <w:right w:val="nil"/>
            </w:tcBorders>
            <w:shd w:val="clear" w:color="auto" w:fill="auto"/>
            <w:vAlign w:val="center"/>
            <w:hideMark/>
          </w:tcPr>
          <w:p w14:paraId="49A15E9F" w14:textId="77777777" w:rsidR="00750A62" w:rsidRPr="00750A62"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750A62">
              <w:rPr>
                <w:rFonts w:eastAsia="Times New Roman"/>
                <w:b/>
                <w:bCs/>
                <w:sz w:val="18"/>
                <w:szCs w:val="18"/>
                <w:bdr w:val="none" w:sz="0" w:space="0" w:color="auto"/>
                <w:lang w:eastAsia="es-ES"/>
              </w:rPr>
              <w:t>(11.254,00)</w:t>
            </w:r>
          </w:p>
        </w:tc>
        <w:tc>
          <w:tcPr>
            <w:tcW w:w="526" w:type="pct"/>
            <w:tcBorders>
              <w:top w:val="single" w:sz="4" w:space="0" w:color="auto"/>
              <w:left w:val="nil"/>
              <w:bottom w:val="single" w:sz="4" w:space="0" w:color="auto"/>
              <w:right w:val="nil"/>
            </w:tcBorders>
            <w:shd w:val="clear" w:color="auto" w:fill="auto"/>
            <w:vAlign w:val="center"/>
            <w:hideMark/>
          </w:tcPr>
          <w:p w14:paraId="4EB7C477" w14:textId="77777777" w:rsidR="00750A62" w:rsidRPr="00750A62"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750A62">
              <w:rPr>
                <w:rFonts w:eastAsia="Times New Roman"/>
                <w:b/>
                <w:bCs/>
                <w:sz w:val="18"/>
                <w:szCs w:val="18"/>
                <w:bdr w:val="none" w:sz="0" w:space="0" w:color="auto"/>
                <w:lang w:eastAsia="es-ES"/>
              </w:rPr>
              <w:t xml:space="preserve"> -</w:t>
            </w:r>
          </w:p>
        </w:tc>
        <w:tc>
          <w:tcPr>
            <w:tcW w:w="661" w:type="pct"/>
            <w:tcBorders>
              <w:top w:val="single" w:sz="4" w:space="0" w:color="auto"/>
              <w:left w:val="nil"/>
              <w:bottom w:val="single" w:sz="4" w:space="0" w:color="auto"/>
              <w:right w:val="nil"/>
            </w:tcBorders>
            <w:shd w:val="clear" w:color="auto" w:fill="auto"/>
            <w:vAlign w:val="center"/>
            <w:hideMark/>
          </w:tcPr>
          <w:p w14:paraId="7AF8E6BD" w14:textId="77777777" w:rsidR="00750A62" w:rsidRPr="00750A62"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750A62">
              <w:rPr>
                <w:rFonts w:eastAsia="Times New Roman"/>
                <w:b/>
                <w:bCs/>
                <w:sz w:val="18"/>
                <w:szCs w:val="18"/>
                <w:bdr w:val="none" w:sz="0" w:space="0" w:color="auto"/>
                <w:lang w:eastAsia="es-ES"/>
              </w:rPr>
              <w:t>(148.730,92)</w:t>
            </w:r>
          </w:p>
        </w:tc>
      </w:tr>
      <w:tr w:rsidR="00750A62" w:rsidRPr="00750A62" w14:paraId="0E479454" w14:textId="77777777" w:rsidTr="00FF35D6">
        <w:trPr>
          <w:trHeight w:val="283"/>
        </w:trPr>
        <w:tc>
          <w:tcPr>
            <w:tcW w:w="2548" w:type="pct"/>
            <w:tcBorders>
              <w:top w:val="single" w:sz="4" w:space="0" w:color="auto"/>
              <w:left w:val="nil"/>
              <w:bottom w:val="single" w:sz="4" w:space="0" w:color="auto"/>
              <w:right w:val="nil"/>
            </w:tcBorders>
            <w:shd w:val="clear" w:color="auto" w:fill="auto"/>
            <w:vAlign w:val="center"/>
            <w:hideMark/>
          </w:tcPr>
          <w:p w14:paraId="02CB64BA" w14:textId="77777777" w:rsidR="00750A62" w:rsidRPr="00750A62" w:rsidRDefault="00750A62" w:rsidP="003A411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u w:val="single"/>
                <w:bdr w:val="none" w:sz="0" w:space="0" w:color="auto"/>
                <w:lang w:eastAsia="es-ES"/>
              </w:rPr>
            </w:pPr>
            <w:r w:rsidRPr="00750A62">
              <w:rPr>
                <w:rFonts w:eastAsia="Times New Roman"/>
                <w:b/>
                <w:bCs/>
                <w:sz w:val="18"/>
                <w:szCs w:val="18"/>
                <w:u w:val="single"/>
                <w:bdr w:val="none" w:sz="0" w:space="0" w:color="auto"/>
                <w:lang w:eastAsia="es-ES"/>
              </w:rPr>
              <w:t>Valor neto contable</w:t>
            </w:r>
          </w:p>
        </w:tc>
        <w:tc>
          <w:tcPr>
            <w:tcW w:w="661" w:type="pct"/>
            <w:tcBorders>
              <w:top w:val="nil"/>
              <w:left w:val="nil"/>
              <w:bottom w:val="single" w:sz="4" w:space="0" w:color="auto"/>
              <w:right w:val="nil"/>
            </w:tcBorders>
            <w:shd w:val="clear" w:color="auto" w:fill="auto"/>
            <w:vAlign w:val="center"/>
            <w:hideMark/>
          </w:tcPr>
          <w:p w14:paraId="4FE3F4C2" w14:textId="77777777" w:rsidR="00750A62" w:rsidRPr="00750A62"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750A62">
              <w:rPr>
                <w:rFonts w:eastAsia="Times New Roman"/>
                <w:b/>
                <w:bCs/>
                <w:sz w:val="18"/>
                <w:szCs w:val="18"/>
                <w:bdr w:val="none" w:sz="0" w:space="0" w:color="auto"/>
                <w:lang w:eastAsia="es-ES"/>
              </w:rPr>
              <w:t>22.004,98</w:t>
            </w:r>
          </w:p>
        </w:tc>
        <w:tc>
          <w:tcPr>
            <w:tcW w:w="604" w:type="pct"/>
            <w:tcBorders>
              <w:top w:val="nil"/>
              <w:left w:val="nil"/>
              <w:bottom w:val="single" w:sz="4" w:space="0" w:color="auto"/>
              <w:right w:val="nil"/>
            </w:tcBorders>
            <w:shd w:val="clear" w:color="auto" w:fill="auto"/>
            <w:vAlign w:val="center"/>
            <w:hideMark/>
          </w:tcPr>
          <w:p w14:paraId="7731915D" w14:textId="77777777" w:rsidR="00750A62" w:rsidRPr="00750A62"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750A62">
              <w:rPr>
                <w:rFonts w:eastAsia="Times New Roman"/>
                <w:b/>
                <w:bCs/>
                <w:sz w:val="18"/>
                <w:szCs w:val="18"/>
                <w:bdr w:val="none" w:sz="0" w:space="0" w:color="auto"/>
                <w:lang w:eastAsia="es-ES"/>
              </w:rPr>
              <w:t> </w:t>
            </w:r>
          </w:p>
        </w:tc>
        <w:tc>
          <w:tcPr>
            <w:tcW w:w="526" w:type="pct"/>
            <w:tcBorders>
              <w:top w:val="nil"/>
              <w:left w:val="nil"/>
              <w:bottom w:val="single" w:sz="4" w:space="0" w:color="auto"/>
              <w:right w:val="nil"/>
            </w:tcBorders>
            <w:shd w:val="clear" w:color="auto" w:fill="auto"/>
            <w:vAlign w:val="center"/>
            <w:hideMark/>
          </w:tcPr>
          <w:p w14:paraId="43A29A4A" w14:textId="77777777" w:rsidR="00750A62" w:rsidRPr="00750A62" w:rsidRDefault="00750A62" w:rsidP="0071126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750A62">
              <w:rPr>
                <w:rFonts w:eastAsia="Times New Roman"/>
                <w:b/>
                <w:bCs/>
                <w:sz w:val="18"/>
                <w:szCs w:val="18"/>
                <w:bdr w:val="none" w:sz="0" w:space="0" w:color="auto"/>
                <w:lang w:eastAsia="es-ES"/>
              </w:rPr>
              <w:t xml:space="preserve"> </w:t>
            </w:r>
          </w:p>
        </w:tc>
        <w:tc>
          <w:tcPr>
            <w:tcW w:w="661" w:type="pct"/>
            <w:tcBorders>
              <w:top w:val="nil"/>
              <w:left w:val="nil"/>
              <w:bottom w:val="single" w:sz="4" w:space="0" w:color="auto"/>
              <w:right w:val="nil"/>
            </w:tcBorders>
            <w:shd w:val="clear" w:color="auto" w:fill="auto"/>
            <w:vAlign w:val="center"/>
            <w:hideMark/>
          </w:tcPr>
          <w:p w14:paraId="5005EC50" w14:textId="77777777" w:rsidR="00750A62" w:rsidRPr="00750A62" w:rsidRDefault="00750A62" w:rsidP="00750A6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750A62">
              <w:rPr>
                <w:rFonts w:eastAsia="Times New Roman"/>
                <w:b/>
                <w:bCs/>
                <w:sz w:val="18"/>
                <w:szCs w:val="18"/>
                <w:bdr w:val="none" w:sz="0" w:space="0" w:color="auto"/>
                <w:lang w:eastAsia="es-ES"/>
              </w:rPr>
              <w:t>28.986,96</w:t>
            </w:r>
          </w:p>
        </w:tc>
      </w:tr>
    </w:tbl>
    <w:p w14:paraId="6B121721" w14:textId="77777777" w:rsidR="006220A2" w:rsidRDefault="006220A2" w:rsidP="00C93969">
      <w:pPr>
        <w:widowControl w:val="0"/>
        <w:spacing w:before="200" w:after="120"/>
        <w:jc w:val="both"/>
        <w:rPr>
          <w:sz w:val="20"/>
          <w:szCs w:val="22"/>
        </w:rPr>
      </w:pPr>
      <w:r w:rsidRPr="00BA60DB">
        <w:rPr>
          <w:sz w:val="20"/>
          <w:szCs w:val="22"/>
        </w:rPr>
        <w:t>El detalle y movimiento de las partidas incluidas en “Inmovilizado intangible” en el ejercicio 201</w:t>
      </w:r>
      <w:r w:rsidR="00750A62">
        <w:rPr>
          <w:sz w:val="20"/>
          <w:szCs w:val="22"/>
        </w:rPr>
        <w:t>7</w:t>
      </w:r>
      <w:r w:rsidRPr="00BA60DB">
        <w:rPr>
          <w:sz w:val="20"/>
          <w:szCs w:val="22"/>
        </w:rPr>
        <w:t xml:space="preserve"> es el siguiente:</w:t>
      </w:r>
    </w:p>
    <w:tbl>
      <w:tblPr>
        <w:tblW w:w="5000" w:type="pct"/>
        <w:tblCellMar>
          <w:left w:w="70" w:type="dxa"/>
          <w:right w:w="70" w:type="dxa"/>
        </w:tblCellMar>
        <w:tblLook w:val="04A0" w:firstRow="1" w:lastRow="0" w:firstColumn="1" w:lastColumn="0" w:noHBand="0" w:noVBand="1"/>
      </w:tblPr>
      <w:tblGrid>
        <w:gridCol w:w="4564"/>
        <w:gridCol w:w="1165"/>
        <w:gridCol w:w="1026"/>
        <w:gridCol w:w="999"/>
        <w:gridCol w:w="1167"/>
      </w:tblGrid>
      <w:tr w:rsidR="003A7C0E" w:rsidRPr="003A7C0E" w14:paraId="0B2E2A4D" w14:textId="77777777" w:rsidTr="001C41C7">
        <w:trPr>
          <w:trHeight w:val="20"/>
        </w:trPr>
        <w:tc>
          <w:tcPr>
            <w:tcW w:w="2558" w:type="pct"/>
            <w:tcBorders>
              <w:top w:val="single" w:sz="4" w:space="0" w:color="auto"/>
              <w:left w:val="nil"/>
              <w:bottom w:val="nil"/>
              <w:right w:val="nil"/>
            </w:tcBorders>
            <w:shd w:val="clear" w:color="auto" w:fill="auto"/>
            <w:vAlign w:val="bottom"/>
            <w:hideMark/>
          </w:tcPr>
          <w:p w14:paraId="300E4B2B" w14:textId="77777777" w:rsidR="003A7C0E" w:rsidRPr="003A7C0E" w:rsidRDefault="003A7C0E" w:rsidP="00C93969">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eastAsia="Times New Roman"/>
                <w:b/>
                <w:bCs/>
                <w:sz w:val="18"/>
                <w:szCs w:val="18"/>
                <w:bdr w:val="none" w:sz="0" w:space="0" w:color="auto"/>
                <w:lang w:eastAsia="es-ES"/>
              </w:rPr>
            </w:pPr>
            <w:r w:rsidRPr="003A7C0E">
              <w:rPr>
                <w:rFonts w:eastAsia="Times New Roman"/>
                <w:b/>
                <w:bCs/>
                <w:sz w:val="18"/>
                <w:szCs w:val="18"/>
                <w:bdr w:val="none" w:sz="0" w:space="0" w:color="auto"/>
                <w:lang w:eastAsia="es-ES"/>
              </w:rPr>
              <w:t> </w:t>
            </w:r>
          </w:p>
        </w:tc>
        <w:tc>
          <w:tcPr>
            <w:tcW w:w="2442" w:type="pct"/>
            <w:gridSpan w:val="4"/>
            <w:tcBorders>
              <w:top w:val="single" w:sz="4" w:space="0" w:color="auto"/>
              <w:left w:val="nil"/>
              <w:bottom w:val="nil"/>
              <w:right w:val="nil"/>
            </w:tcBorders>
            <w:shd w:val="clear" w:color="auto" w:fill="auto"/>
            <w:vAlign w:val="bottom"/>
            <w:hideMark/>
          </w:tcPr>
          <w:p w14:paraId="2F6685F7" w14:textId="77777777" w:rsidR="003A7C0E" w:rsidRPr="003A7C0E" w:rsidRDefault="003A7C0E" w:rsidP="00C93969">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3A7C0E">
              <w:rPr>
                <w:rFonts w:eastAsia="Times New Roman"/>
                <w:b/>
                <w:bCs/>
                <w:sz w:val="18"/>
                <w:szCs w:val="18"/>
                <w:bdr w:val="none" w:sz="0" w:space="0" w:color="auto"/>
                <w:lang w:eastAsia="es-ES"/>
              </w:rPr>
              <w:t>Euros</w:t>
            </w:r>
          </w:p>
        </w:tc>
      </w:tr>
      <w:tr w:rsidR="003A7C0E" w:rsidRPr="003A7C0E" w14:paraId="6B676BB2" w14:textId="77777777" w:rsidTr="001C41C7">
        <w:trPr>
          <w:trHeight w:val="20"/>
        </w:trPr>
        <w:tc>
          <w:tcPr>
            <w:tcW w:w="2558" w:type="pct"/>
            <w:tcBorders>
              <w:top w:val="nil"/>
              <w:left w:val="nil"/>
              <w:bottom w:val="single" w:sz="4" w:space="0" w:color="auto"/>
              <w:right w:val="nil"/>
            </w:tcBorders>
            <w:shd w:val="clear" w:color="auto" w:fill="auto"/>
            <w:vAlign w:val="bottom"/>
            <w:hideMark/>
          </w:tcPr>
          <w:p w14:paraId="05199016" w14:textId="77777777" w:rsidR="003A7C0E" w:rsidRPr="003A7C0E" w:rsidRDefault="003A7C0E" w:rsidP="00C93969">
            <w:pPr>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3A7C0E">
              <w:rPr>
                <w:rFonts w:eastAsia="Times New Roman"/>
                <w:b/>
                <w:bCs/>
                <w:sz w:val="18"/>
                <w:szCs w:val="18"/>
                <w:bdr w:val="none" w:sz="0" w:space="0" w:color="auto"/>
                <w:lang w:eastAsia="es-ES"/>
              </w:rPr>
              <w:t> </w:t>
            </w:r>
          </w:p>
        </w:tc>
        <w:tc>
          <w:tcPr>
            <w:tcW w:w="653" w:type="pct"/>
            <w:tcBorders>
              <w:top w:val="single" w:sz="4" w:space="0" w:color="auto"/>
              <w:left w:val="nil"/>
              <w:bottom w:val="single" w:sz="4" w:space="0" w:color="auto"/>
              <w:right w:val="nil"/>
            </w:tcBorders>
            <w:shd w:val="clear" w:color="auto" w:fill="auto"/>
            <w:vAlign w:val="bottom"/>
            <w:hideMark/>
          </w:tcPr>
          <w:p w14:paraId="40B953BD" w14:textId="77777777" w:rsidR="003A7C0E" w:rsidRPr="003A7C0E" w:rsidRDefault="003A7C0E" w:rsidP="00FF35D6">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3A7C0E">
              <w:rPr>
                <w:rFonts w:eastAsia="Times New Roman"/>
                <w:b/>
                <w:bCs/>
                <w:sz w:val="18"/>
                <w:szCs w:val="18"/>
                <w:bdr w:val="none" w:sz="0" w:space="0" w:color="auto"/>
                <w:lang w:eastAsia="es-ES"/>
              </w:rPr>
              <w:t xml:space="preserve">Saldo al </w:t>
            </w:r>
            <w:r w:rsidR="00FF35D6">
              <w:rPr>
                <w:rFonts w:eastAsia="Times New Roman"/>
                <w:b/>
                <w:bCs/>
                <w:sz w:val="18"/>
                <w:szCs w:val="18"/>
                <w:bdr w:val="none" w:sz="0" w:space="0" w:color="auto"/>
                <w:lang w:eastAsia="es-ES"/>
              </w:rPr>
              <w:t>01/01/2017</w:t>
            </w:r>
          </w:p>
        </w:tc>
        <w:tc>
          <w:tcPr>
            <w:tcW w:w="575" w:type="pct"/>
            <w:tcBorders>
              <w:top w:val="single" w:sz="4" w:space="0" w:color="auto"/>
              <w:left w:val="nil"/>
              <w:bottom w:val="single" w:sz="4" w:space="0" w:color="auto"/>
              <w:right w:val="nil"/>
            </w:tcBorders>
            <w:shd w:val="clear" w:color="auto" w:fill="auto"/>
            <w:vAlign w:val="bottom"/>
            <w:hideMark/>
          </w:tcPr>
          <w:p w14:paraId="20CE58E5" w14:textId="77777777" w:rsidR="003A7C0E" w:rsidRPr="003A7C0E" w:rsidRDefault="003A7C0E" w:rsidP="00C93969">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3A7C0E">
              <w:rPr>
                <w:rFonts w:eastAsia="Times New Roman"/>
                <w:b/>
                <w:bCs/>
                <w:sz w:val="18"/>
                <w:szCs w:val="18"/>
                <w:bdr w:val="none" w:sz="0" w:space="0" w:color="auto"/>
                <w:lang w:eastAsia="es-ES"/>
              </w:rPr>
              <w:t>Altas</w:t>
            </w:r>
          </w:p>
        </w:tc>
        <w:tc>
          <w:tcPr>
            <w:tcW w:w="560" w:type="pct"/>
            <w:tcBorders>
              <w:top w:val="single" w:sz="4" w:space="0" w:color="auto"/>
              <w:left w:val="nil"/>
              <w:bottom w:val="single" w:sz="4" w:space="0" w:color="auto"/>
              <w:right w:val="nil"/>
            </w:tcBorders>
            <w:shd w:val="clear" w:color="auto" w:fill="auto"/>
            <w:vAlign w:val="bottom"/>
            <w:hideMark/>
          </w:tcPr>
          <w:p w14:paraId="27351DDD" w14:textId="77777777" w:rsidR="003A7C0E" w:rsidRPr="003A7C0E" w:rsidRDefault="003A7C0E" w:rsidP="00C93969">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3A7C0E">
              <w:rPr>
                <w:rFonts w:eastAsia="Times New Roman"/>
                <w:b/>
                <w:bCs/>
                <w:sz w:val="18"/>
                <w:szCs w:val="18"/>
                <w:bdr w:val="none" w:sz="0" w:space="0" w:color="auto"/>
                <w:lang w:eastAsia="es-ES"/>
              </w:rPr>
              <w:t>Bajas</w:t>
            </w:r>
          </w:p>
        </w:tc>
        <w:tc>
          <w:tcPr>
            <w:tcW w:w="654" w:type="pct"/>
            <w:tcBorders>
              <w:top w:val="single" w:sz="4" w:space="0" w:color="auto"/>
              <w:left w:val="nil"/>
              <w:bottom w:val="single" w:sz="4" w:space="0" w:color="auto"/>
              <w:right w:val="nil"/>
            </w:tcBorders>
            <w:shd w:val="clear" w:color="auto" w:fill="auto"/>
            <w:vAlign w:val="bottom"/>
            <w:hideMark/>
          </w:tcPr>
          <w:p w14:paraId="3BC76481" w14:textId="77777777" w:rsidR="003A7C0E" w:rsidRPr="003A7C0E" w:rsidRDefault="003A7C0E" w:rsidP="00C93969">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3A7C0E">
              <w:rPr>
                <w:rFonts w:eastAsia="Times New Roman"/>
                <w:b/>
                <w:bCs/>
                <w:sz w:val="18"/>
                <w:szCs w:val="18"/>
                <w:bdr w:val="none" w:sz="0" w:space="0" w:color="auto"/>
                <w:lang w:eastAsia="es-ES"/>
              </w:rPr>
              <w:t>Saldo al 31/12/2017</w:t>
            </w:r>
          </w:p>
        </w:tc>
      </w:tr>
      <w:tr w:rsidR="003A7C0E" w:rsidRPr="003A7C0E" w14:paraId="0AAFDAFA" w14:textId="77777777" w:rsidTr="003A4111">
        <w:trPr>
          <w:trHeight w:val="238"/>
        </w:trPr>
        <w:tc>
          <w:tcPr>
            <w:tcW w:w="2558" w:type="pct"/>
            <w:tcBorders>
              <w:top w:val="nil"/>
              <w:left w:val="nil"/>
              <w:bottom w:val="nil"/>
              <w:right w:val="nil"/>
            </w:tcBorders>
            <w:shd w:val="clear" w:color="auto" w:fill="auto"/>
            <w:vAlign w:val="center"/>
            <w:hideMark/>
          </w:tcPr>
          <w:p w14:paraId="799B8CC3" w14:textId="77777777" w:rsidR="003A7C0E" w:rsidRPr="003A7C0E" w:rsidRDefault="003A7C0E" w:rsidP="003A4111">
            <w:pPr>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3A7C0E">
              <w:rPr>
                <w:rFonts w:eastAsia="Times New Roman"/>
                <w:b/>
                <w:bCs/>
                <w:sz w:val="18"/>
                <w:szCs w:val="18"/>
                <w:bdr w:val="none" w:sz="0" w:space="0" w:color="auto"/>
                <w:lang w:eastAsia="es-ES"/>
              </w:rPr>
              <w:t>Coste</w:t>
            </w:r>
          </w:p>
        </w:tc>
        <w:tc>
          <w:tcPr>
            <w:tcW w:w="653" w:type="pct"/>
            <w:tcBorders>
              <w:top w:val="nil"/>
              <w:left w:val="nil"/>
              <w:bottom w:val="nil"/>
              <w:right w:val="nil"/>
            </w:tcBorders>
            <w:shd w:val="clear" w:color="auto" w:fill="auto"/>
            <w:vAlign w:val="center"/>
            <w:hideMark/>
          </w:tcPr>
          <w:p w14:paraId="5F7413D7" w14:textId="77777777" w:rsidR="003A7C0E" w:rsidRPr="003A7C0E" w:rsidRDefault="003A7C0E" w:rsidP="00C93969">
            <w:pPr>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575" w:type="pct"/>
            <w:tcBorders>
              <w:top w:val="nil"/>
              <w:left w:val="nil"/>
              <w:bottom w:val="nil"/>
              <w:right w:val="nil"/>
            </w:tcBorders>
            <w:shd w:val="clear" w:color="auto" w:fill="auto"/>
            <w:vAlign w:val="center"/>
            <w:hideMark/>
          </w:tcPr>
          <w:p w14:paraId="032A1AD1" w14:textId="77777777" w:rsidR="003A7C0E" w:rsidRPr="003A7C0E" w:rsidRDefault="003A7C0E" w:rsidP="00C93969">
            <w:pPr>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20"/>
                <w:szCs w:val="20"/>
                <w:bdr w:val="none" w:sz="0" w:space="0" w:color="auto"/>
                <w:lang w:eastAsia="es-ES"/>
              </w:rPr>
            </w:pPr>
          </w:p>
        </w:tc>
        <w:tc>
          <w:tcPr>
            <w:tcW w:w="560" w:type="pct"/>
            <w:tcBorders>
              <w:top w:val="nil"/>
              <w:left w:val="nil"/>
              <w:bottom w:val="nil"/>
              <w:right w:val="nil"/>
            </w:tcBorders>
            <w:shd w:val="clear" w:color="auto" w:fill="auto"/>
            <w:vAlign w:val="center"/>
            <w:hideMark/>
          </w:tcPr>
          <w:p w14:paraId="01537322" w14:textId="77777777" w:rsidR="003A7C0E" w:rsidRPr="003A7C0E" w:rsidRDefault="003A7C0E" w:rsidP="00C93969">
            <w:pPr>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c>
          <w:tcPr>
            <w:tcW w:w="654" w:type="pct"/>
            <w:tcBorders>
              <w:top w:val="nil"/>
              <w:left w:val="nil"/>
              <w:bottom w:val="nil"/>
              <w:right w:val="nil"/>
            </w:tcBorders>
            <w:shd w:val="clear" w:color="auto" w:fill="auto"/>
            <w:vAlign w:val="center"/>
            <w:hideMark/>
          </w:tcPr>
          <w:p w14:paraId="7974A376" w14:textId="77777777" w:rsidR="003A7C0E" w:rsidRPr="003A7C0E" w:rsidRDefault="003A7C0E" w:rsidP="00C93969">
            <w:pPr>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20"/>
                <w:szCs w:val="20"/>
                <w:bdr w:val="none" w:sz="0" w:space="0" w:color="auto"/>
                <w:lang w:eastAsia="es-ES"/>
              </w:rPr>
            </w:pPr>
          </w:p>
        </w:tc>
      </w:tr>
      <w:tr w:rsidR="003A7C0E" w:rsidRPr="003A7C0E" w14:paraId="6EE793E7" w14:textId="77777777" w:rsidTr="003A4111">
        <w:trPr>
          <w:trHeight w:val="238"/>
        </w:trPr>
        <w:tc>
          <w:tcPr>
            <w:tcW w:w="2558" w:type="pct"/>
            <w:tcBorders>
              <w:top w:val="nil"/>
              <w:left w:val="nil"/>
              <w:bottom w:val="nil"/>
              <w:right w:val="nil"/>
            </w:tcBorders>
            <w:shd w:val="clear" w:color="auto" w:fill="auto"/>
            <w:vAlign w:val="center"/>
            <w:hideMark/>
          </w:tcPr>
          <w:p w14:paraId="17706BE2" w14:textId="77777777" w:rsidR="003A7C0E" w:rsidRPr="003A7C0E" w:rsidRDefault="003A7C0E" w:rsidP="003A4111">
            <w:pPr>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3A7C0E">
              <w:rPr>
                <w:rFonts w:eastAsia="Times New Roman"/>
                <w:sz w:val="18"/>
                <w:szCs w:val="18"/>
                <w:bdr w:val="none" w:sz="0" w:space="0" w:color="auto"/>
                <w:lang w:eastAsia="es-ES"/>
              </w:rPr>
              <w:t>Concesiones, patentes, licencias, marcas y similares</w:t>
            </w:r>
          </w:p>
        </w:tc>
        <w:tc>
          <w:tcPr>
            <w:tcW w:w="653" w:type="pct"/>
            <w:tcBorders>
              <w:top w:val="nil"/>
              <w:left w:val="nil"/>
              <w:bottom w:val="nil"/>
              <w:right w:val="nil"/>
            </w:tcBorders>
            <w:shd w:val="clear" w:color="auto" w:fill="auto"/>
            <w:vAlign w:val="center"/>
            <w:hideMark/>
          </w:tcPr>
          <w:p w14:paraId="4EE78661" w14:textId="77777777" w:rsidR="003A7C0E" w:rsidRPr="003A7C0E" w:rsidRDefault="003A7C0E" w:rsidP="003A4111">
            <w:pPr>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3A7C0E">
              <w:rPr>
                <w:rFonts w:eastAsia="Times New Roman"/>
                <w:sz w:val="18"/>
                <w:szCs w:val="18"/>
                <w:bdr w:val="none" w:sz="0" w:space="0" w:color="auto"/>
                <w:lang w:eastAsia="es-ES"/>
              </w:rPr>
              <w:t>5.742,87</w:t>
            </w:r>
          </w:p>
        </w:tc>
        <w:tc>
          <w:tcPr>
            <w:tcW w:w="575" w:type="pct"/>
            <w:tcBorders>
              <w:top w:val="nil"/>
              <w:left w:val="nil"/>
              <w:bottom w:val="nil"/>
              <w:right w:val="nil"/>
            </w:tcBorders>
            <w:shd w:val="clear" w:color="auto" w:fill="auto"/>
            <w:vAlign w:val="center"/>
            <w:hideMark/>
          </w:tcPr>
          <w:p w14:paraId="231B29CE" w14:textId="77777777" w:rsidR="003A7C0E" w:rsidRPr="003A7C0E" w:rsidRDefault="003A7C0E" w:rsidP="003A4111">
            <w:pPr>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3A7C0E">
              <w:rPr>
                <w:rFonts w:eastAsia="Times New Roman"/>
                <w:sz w:val="18"/>
                <w:szCs w:val="18"/>
                <w:bdr w:val="none" w:sz="0" w:space="0" w:color="auto"/>
                <w:lang w:eastAsia="es-ES"/>
              </w:rPr>
              <w:t xml:space="preserve"> -</w:t>
            </w:r>
          </w:p>
        </w:tc>
        <w:tc>
          <w:tcPr>
            <w:tcW w:w="560" w:type="pct"/>
            <w:tcBorders>
              <w:top w:val="nil"/>
              <w:left w:val="nil"/>
              <w:bottom w:val="nil"/>
              <w:right w:val="nil"/>
            </w:tcBorders>
            <w:shd w:val="clear" w:color="auto" w:fill="auto"/>
            <w:vAlign w:val="center"/>
            <w:hideMark/>
          </w:tcPr>
          <w:p w14:paraId="641F9342" w14:textId="77777777" w:rsidR="003A7C0E" w:rsidRPr="003A7C0E" w:rsidRDefault="003A7C0E" w:rsidP="003A4111">
            <w:pPr>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3A7C0E">
              <w:rPr>
                <w:rFonts w:eastAsia="Times New Roman"/>
                <w:sz w:val="18"/>
                <w:szCs w:val="18"/>
                <w:bdr w:val="none" w:sz="0" w:space="0" w:color="auto"/>
                <w:lang w:eastAsia="es-ES"/>
              </w:rPr>
              <w:t xml:space="preserve"> -</w:t>
            </w:r>
          </w:p>
        </w:tc>
        <w:tc>
          <w:tcPr>
            <w:tcW w:w="654" w:type="pct"/>
            <w:tcBorders>
              <w:top w:val="nil"/>
              <w:left w:val="nil"/>
              <w:bottom w:val="nil"/>
              <w:right w:val="nil"/>
            </w:tcBorders>
            <w:shd w:val="clear" w:color="auto" w:fill="auto"/>
            <w:vAlign w:val="center"/>
            <w:hideMark/>
          </w:tcPr>
          <w:p w14:paraId="2A61397F" w14:textId="77777777" w:rsidR="003A7C0E" w:rsidRPr="003A7C0E" w:rsidRDefault="003A7C0E" w:rsidP="003A4111">
            <w:pPr>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3A7C0E">
              <w:rPr>
                <w:rFonts w:eastAsia="Times New Roman"/>
                <w:sz w:val="18"/>
                <w:szCs w:val="18"/>
                <w:bdr w:val="none" w:sz="0" w:space="0" w:color="auto"/>
                <w:lang w:eastAsia="es-ES"/>
              </w:rPr>
              <w:t>5.742,87</w:t>
            </w:r>
          </w:p>
        </w:tc>
      </w:tr>
      <w:tr w:rsidR="003A7C0E" w:rsidRPr="003A7C0E" w14:paraId="234BF7B3" w14:textId="77777777" w:rsidTr="003A4111">
        <w:trPr>
          <w:trHeight w:val="238"/>
        </w:trPr>
        <w:tc>
          <w:tcPr>
            <w:tcW w:w="2558" w:type="pct"/>
            <w:tcBorders>
              <w:top w:val="nil"/>
              <w:left w:val="nil"/>
              <w:bottom w:val="nil"/>
              <w:right w:val="nil"/>
            </w:tcBorders>
            <w:shd w:val="clear" w:color="auto" w:fill="auto"/>
            <w:vAlign w:val="center"/>
            <w:hideMark/>
          </w:tcPr>
          <w:p w14:paraId="4521EBCB" w14:textId="77777777" w:rsidR="003A7C0E" w:rsidRPr="003A7C0E" w:rsidRDefault="003A7C0E" w:rsidP="003A4111">
            <w:pPr>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3A7C0E">
              <w:rPr>
                <w:rFonts w:eastAsia="Times New Roman"/>
                <w:sz w:val="18"/>
                <w:szCs w:val="18"/>
                <w:bdr w:val="none" w:sz="0" w:space="0" w:color="auto"/>
                <w:lang w:eastAsia="es-ES"/>
              </w:rPr>
              <w:t>Aplicaciones informáticas</w:t>
            </w:r>
          </w:p>
        </w:tc>
        <w:tc>
          <w:tcPr>
            <w:tcW w:w="653" w:type="pct"/>
            <w:tcBorders>
              <w:top w:val="nil"/>
              <w:left w:val="nil"/>
              <w:bottom w:val="nil"/>
              <w:right w:val="nil"/>
            </w:tcBorders>
            <w:shd w:val="clear" w:color="auto" w:fill="auto"/>
            <w:vAlign w:val="center"/>
            <w:hideMark/>
          </w:tcPr>
          <w:p w14:paraId="415FB3B9" w14:textId="77777777" w:rsidR="003A7C0E" w:rsidRPr="003A7C0E" w:rsidRDefault="003A7C0E" w:rsidP="003A4111">
            <w:pPr>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3A7C0E">
              <w:rPr>
                <w:rFonts w:eastAsia="Times New Roman"/>
                <w:sz w:val="18"/>
                <w:szCs w:val="18"/>
                <w:bdr w:val="none" w:sz="0" w:space="0" w:color="auto"/>
                <w:lang w:eastAsia="es-ES"/>
              </w:rPr>
              <w:t>145.769,67</w:t>
            </w:r>
          </w:p>
        </w:tc>
        <w:tc>
          <w:tcPr>
            <w:tcW w:w="575" w:type="pct"/>
            <w:tcBorders>
              <w:top w:val="nil"/>
              <w:left w:val="nil"/>
              <w:bottom w:val="nil"/>
              <w:right w:val="nil"/>
            </w:tcBorders>
            <w:shd w:val="clear" w:color="auto" w:fill="auto"/>
            <w:noWrap/>
            <w:vAlign w:val="center"/>
            <w:hideMark/>
          </w:tcPr>
          <w:p w14:paraId="0F7E860B" w14:textId="77777777" w:rsidR="003A7C0E" w:rsidRPr="003A7C0E" w:rsidRDefault="003A7C0E" w:rsidP="003A4111">
            <w:pPr>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3A7C0E">
              <w:rPr>
                <w:rFonts w:eastAsia="Times New Roman"/>
                <w:sz w:val="18"/>
                <w:szCs w:val="18"/>
                <w:bdr w:val="none" w:sz="0" w:space="0" w:color="auto"/>
                <w:lang w:eastAsia="es-ES"/>
              </w:rPr>
              <w:t>7.969,36</w:t>
            </w:r>
          </w:p>
        </w:tc>
        <w:tc>
          <w:tcPr>
            <w:tcW w:w="560" w:type="pct"/>
            <w:tcBorders>
              <w:top w:val="nil"/>
              <w:left w:val="nil"/>
              <w:bottom w:val="nil"/>
              <w:right w:val="nil"/>
            </w:tcBorders>
            <w:shd w:val="clear" w:color="auto" w:fill="auto"/>
            <w:vAlign w:val="center"/>
            <w:hideMark/>
          </w:tcPr>
          <w:p w14:paraId="03E91291" w14:textId="77777777" w:rsidR="003A7C0E" w:rsidRPr="003A7C0E" w:rsidRDefault="003A7C0E" w:rsidP="003A4111">
            <w:pPr>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3A7C0E">
              <w:rPr>
                <w:rFonts w:eastAsia="Times New Roman"/>
                <w:sz w:val="18"/>
                <w:szCs w:val="18"/>
                <w:bdr w:val="none" w:sz="0" w:space="0" w:color="auto"/>
                <w:lang w:eastAsia="es-ES"/>
              </w:rPr>
              <w:t xml:space="preserve"> -</w:t>
            </w:r>
          </w:p>
        </w:tc>
        <w:tc>
          <w:tcPr>
            <w:tcW w:w="654" w:type="pct"/>
            <w:tcBorders>
              <w:top w:val="nil"/>
              <w:left w:val="nil"/>
              <w:bottom w:val="nil"/>
              <w:right w:val="nil"/>
            </w:tcBorders>
            <w:shd w:val="clear" w:color="auto" w:fill="auto"/>
            <w:vAlign w:val="center"/>
            <w:hideMark/>
          </w:tcPr>
          <w:p w14:paraId="1F79EB7E" w14:textId="77777777" w:rsidR="003A7C0E" w:rsidRPr="003A7C0E" w:rsidRDefault="003A7C0E" w:rsidP="003A4111">
            <w:pPr>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3A7C0E">
              <w:rPr>
                <w:rFonts w:eastAsia="Times New Roman"/>
                <w:sz w:val="18"/>
                <w:szCs w:val="18"/>
                <w:bdr w:val="none" w:sz="0" w:space="0" w:color="auto"/>
                <w:lang w:eastAsia="es-ES"/>
              </w:rPr>
              <w:t>153.739,03</w:t>
            </w:r>
          </w:p>
        </w:tc>
      </w:tr>
      <w:tr w:rsidR="003A7C0E" w:rsidRPr="003A7C0E" w14:paraId="34393D62" w14:textId="77777777" w:rsidTr="00FF35D6">
        <w:trPr>
          <w:trHeight w:val="283"/>
        </w:trPr>
        <w:tc>
          <w:tcPr>
            <w:tcW w:w="2558" w:type="pct"/>
            <w:tcBorders>
              <w:top w:val="nil"/>
              <w:left w:val="nil"/>
              <w:bottom w:val="nil"/>
              <w:right w:val="nil"/>
            </w:tcBorders>
            <w:shd w:val="clear" w:color="auto" w:fill="auto"/>
            <w:vAlign w:val="center"/>
            <w:hideMark/>
          </w:tcPr>
          <w:p w14:paraId="346A46F9" w14:textId="77777777" w:rsidR="003A7C0E" w:rsidRPr="003A7C0E" w:rsidRDefault="003A7C0E" w:rsidP="003A4111">
            <w:pPr>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653" w:type="pct"/>
            <w:tcBorders>
              <w:top w:val="single" w:sz="4" w:space="0" w:color="auto"/>
              <w:left w:val="nil"/>
              <w:bottom w:val="single" w:sz="4" w:space="0" w:color="auto"/>
              <w:right w:val="nil"/>
            </w:tcBorders>
            <w:shd w:val="clear" w:color="auto" w:fill="auto"/>
            <w:vAlign w:val="center"/>
            <w:hideMark/>
          </w:tcPr>
          <w:p w14:paraId="6C319A18" w14:textId="77777777" w:rsidR="003A7C0E" w:rsidRPr="003A7C0E" w:rsidRDefault="003A7C0E" w:rsidP="003A4111">
            <w:pPr>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3A7C0E">
              <w:rPr>
                <w:rFonts w:eastAsia="Times New Roman"/>
                <w:b/>
                <w:bCs/>
                <w:sz w:val="18"/>
                <w:szCs w:val="18"/>
                <w:bdr w:val="none" w:sz="0" w:space="0" w:color="auto"/>
                <w:lang w:eastAsia="es-ES"/>
              </w:rPr>
              <w:t>151.512,54</w:t>
            </w:r>
          </w:p>
        </w:tc>
        <w:tc>
          <w:tcPr>
            <w:tcW w:w="575" w:type="pct"/>
            <w:tcBorders>
              <w:top w:val="single" w:sz="4" w:space="0" w:color="auto"/>
              <w:left w:val="nil"/>
              <w:bottom w:val="single" w:sz="4" w:space="0" w:color="auto"/>
              <w:right w:val="nil"/>
            </w:tcBorders>
            <w:shd w:val="clear" w:color="auto" w:fill="auto"/>
            <w:vAlign w:val="center"/>
            <w:hideMark/>
          </w:tcPr>
          <w:p w14:paraId="45F16A2D" w14:textId="77777777" w:rsidR="003A7C0E" w:rsidRPr="003A7C0E" w:rsidRDefault="003A7C0E" w:rsidP="003A4111">
            <w:pPr>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3A7C0E">
              <w:rPr>
                <w:rFonts w:eastAsia="Times New Roman"/>
                <w:b/>
                <w:bCs/>
                <w:sz w:val="18"/>
                <w:szCs w:val="18"/>
                <w:bdr w:val="none" w:sz="0" w:space="0" w:color="auto"/>
                <w:lang w:eastAsia="es-ES"/>
              </w:rPr>
              <w:t>7.969,36</w:t>
            </w:r>
          </w:p>
        </w:tc>
        <w:tc>
          <w:tcPr>
            <w:tcW w:w="560" w:type="pct"/>
            <w:tcBorders>
              <w:top w:val="single" w:sz="4" w:space="0" w:color="auto"/>
              <w:left w:val="nil"/>
              <w:bottom w:val="single" w:sz="4" w:space="0" w:color="auto"/>
              <w:right w:val="nil"/>
            </w:tcBorders>
            <w:shd w:val="clear" w:color="auto" w:fill="auto"/>
            <w:vAlign w:val="center"/>
            <w:hideMark/>
          </w:tcPr>
          <w:p w14:paraId="59832A12" w14:textId="77777777" w:rsidR="003A7C0E" w:rsidRPr="003A7C0E" w:rsidRDefault="003A7C0E" w:rsidP="003A4111">
            <w:pPr>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3A7C0E">
              <w:rPr>
                <w:rFonts w:eastAsia="Times New Roman"/>
                <w:b/>
                <w:bCs/>
                <w:sz w:val="18"/>
                <w:szCs w:val="18"/>
                <w:bdr w:val="none" w:sz="0" w:space="0" w:color="auto"/>
                <w:lang w:eastAsia="es-ES"/>
              </w:rPr>
              <w:t xml:space="preserve"> -</w:t>
            </w:r>
          </w:p>
        </w:tc>
        <w:tc>
          <w:tcPr>
            <w:tcW w:w="654" w:type="pct"/>
            <w:tcBorders>
              <w:top w:val="single" w:sz="4" w:space="0" w:color="auto"/>
              <w:left w:val="nil"/>
              <w:bottom w:val="single" w:sz="4" w:space="0" w:color="auto"/>
              <w:right w:val="nil"/>
            </w:tcBorders>
            <w:shd w:val="clear" w:color="auto" w:fill="auto"/>
            <w:vAlign w:val="center"/>
            <w:hideMark/>
          </w:tcPr>
          <w:p w14:paraId="17F1D9B2" w14:textId="77777777" w:rsidR="003A7C0E" w:rsidRPr="003A7C0E" w:rsidRDefault="003A7C0E" w:rsidP="003A4111">
            <w:pPr>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3A7C0E">
              <w:rPr>
                <w:rFonts w:eastAsia="Times New Roman"/>
                <w:b/>
                <w:bCs/>
                <w:sz w:val="18"/>
                <w:szCs w:val="18"/>
                <w:bdr w:val="none" w:sz="0" w:space="0" w:color="auto"/>
                <w:lang w:eastAsia="es-ES"/>
              </w:rPr>
              <w:t>159.481,90</w:t>
            </w:r>
          </w:p>
        </w:tc>
      </w:tr>
      <w:tr w:rsidR="003A7C0E" w:rsidRPr="003A7C0E" w14:paraId="6F37E99F" w14:textId="77777777" w:rsidTr="003A4111">
        <w:trPr>
          <w:trHeight w:val="238"/>
        </w:trPr>
        <w:tc>
          <w:tcPr>
            <w:tcW w:w="2558" w:type="pct"/>
            <w:tcBorders>
              <w:top w:val="nil"/>
              <w:left w:val="nil"/>
              <w:bottom w:val="nil"/>
              <w:right w:val="nil"/>
            </w:tcBorders>
            <w:shd w:val="clear" w:color="auto" w:fill="auto"/>
            <w:vAlign w:val="center"/>
            <w:hideMark/>
          </w:tcPr>
          <w:p w14:paraId="12F4A987" w14:textId="77777777" w:rsidR="003A7C0E" w:rsidRPr="003A7C0E" w:rsidRDefault="003A7C0E" w:rsidP="003A4111">
            <w:pPr>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3A7C0E">
              <w:rPr>
                <w:rFonts w:eastAsia="Times New Roman"/>
                <w:b/>
                <w:bCs/>
                <w:sz w:val="18"/>
                <w:szCs w:val="18"/>
                <w:bdr w:val="none" w:sz="0" w:space="0" w:color="auto"/>
                <w:lang w:eastAsia="es-ES"/>
              </w:rPr>
              <w:t>Amortización</w:t>
            </w:r>
          </w:p>
        </w:tc>
        <w:tc>
          <w:tcPr>
            <w:tcW w:w="653" w:type="pct"/>
            <w:tcBorders>
              <w:top w:val="nil"/>
              <w:left w:val="nil"/>
              <w:bottom w:val="nil"/>
              <w:right w:val="nil"/>
            </w:tcBorders>
            <w:shd w:val="clear" w:color="auto" w:fill="auto"/>
            <w:vAlign w:val="center"/>
            <w:hideMark/>
          </w:tcPr>
          <w:p w14:paraId="4F185A1D" w14:textId="77777777" w:rsidR="003A7C0E" w:rsidRPr="003A7C0E" w:rsidRDefault="003A7C0E" w:rsidP="003A4111">
            <w:pPr>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p>
        </w:tc>
        <w:tc>
          <w:tcPr>
            <w:tcW w:w="575" w:type="pct"/>
            <w:tcBorders>
              <w:top w:val="nil"/>
              <w:left w:val="nil"/>
              <w:bottom w:val="nil"/>
              <w:right w:val="nil"/>
            </w:tcBorders>
            <w:shd w:val="clear" w:color="auto" w:fill="auto"/>
            <w:vAlign w:val="center"/>
            <w:hideMark/>
          </w:tcPr>
          <w:p w14:paraId="7445DB9B" w14:textId="77777777" w:rsidR="003A7C0E" w:rsidRPr="003A7C0E" w:rsidRDefault="003A7C0E" w:rsidP="003A4111">
            <w:pPr>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c>
          <w:tcPr>
            <w:tcW w:w="560" w:type="pct"/>
            <w:tcBorders>
              <w:top w:val="nil"/>
              <w:left w:val="nil"/>
              <w:bottom w:val="nil"/>
              <w:right w:val="nil"/>
            </w:tcBorders>
            <w:shd w:val="clear" w:color="auto" w:fill="auto"/>
            <w:vAlign w:val="center"/>
            <w:hideMark/>
          </w:tcPr>
          <w:p w14:paraId="3706B7AE" w14:textId="77777777" w:rsidR="003A7C0E" w:rsidRPr="003A7C0E" w:rsidRDefault="003A7C0E" w:rsidP="003A4111">
            <w:pPr>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c>
          <w:tcPr>
            <w:tcW w:w="654" w:type="pct"/>
            <w:tcBorders>
              <w:top w:val="nil"/>
              <w:left w:val="nil"/>
              <w:bottom w:val="nil"/>
              <w:right w:val="nil"/>
            </w:tcBorders>
            <w:shd w:val="clear" w:color="auto" w:fill="auto"/>
            <w:vAlign w:val="center"/>
            <w:hideMark/>
          </w:tcPr>
          <w:p w14:paraId="17C1571E" w14:textId="77777777" w:rsidR="003A7C0E" w:rsidRPr="003A7C0E" w:rsidRDefault="003A7C0E" w:rsidP="003A4111">
            <w:pPr>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r>
      <w:tr w:rsidR="003A7C0E" w:rsidRPr="003A7C0E" w14:paraId="5A33E838" w14:textId="77777777" w:rsidTr="003A4111">
        <w:trPr>
          <w:trHeight w:val="238"/>
        </w:trPr>
        <w:tc>
          <w:tcPr>
            <w:tcW w:w="2558" w:type="pct"/>
            <w:tcBorders>
              <w:top w:val="nil"/>
              <w:left w:val="nil"/>
              <w:bottom w:val="nil"/>
              <w:right w:val="nil"/>
            </w:tcBorders>
            <w:shd w:val="clear" w:color="auto" w:fill="auto"/>
            <w:vAlign w:val="center"/>
            <w:hideMark/>
          </w:tcPr>
          <w:p w14:paraId="4F0A5CCA" w14:textId="77777777" w:rsidR="003A7C0E" w:rsidRPr="003A7C0E" w:rsidRDefault="003A7C0E" w:rsidP="003A4111">
            <w:pPr>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3A7C0E">
              <w:rPr>
                <w:rFonts w:eastAsia="Times New Roman"/>
                <w:sz w:val="18"/>
                <w:szCs w:val="18"/>
                <w:bdr w:val="none" w:sz="0" w:space="0" w:color="auto"/>
                <w:lang w:eastAsia="es-ES"/>
              </w:rPr>
              <w:t>Concesiones, patentes, licencias, marcas y similares</w:t>
            </w:r>
          </w:p>
        </w:tc>
        <w:tc>
          <w:tcPr>
            <w:tcW w:w="653" w:type="pct"/>
            <w:tcBorders>
              <w:top w:val="nil"/>
              <w:left w:val="nil"/>
              <w:bottom w:val="nil"/>
              <w:right w:val="nil"/>
            </w:tcBorders>
            <w:shd w:val="clear" w:color="auto" w:fill="auto"/>
            <w:vAlign w:val="center"/>
            <w:hideMark/>
          </w:tcPr>
          <w:p w14:paraId="5B969E1A" w14:textId="77777777" w:rsidR="003A7C0E" w:rsidRPr="003A7C0E" w:rsidRDefault="003A7C0E" w:rsidP="003A4111">
            <w:pPr>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3A7C0E">
              <w:rPr>
                <w:rFonts w:eastAsia="Times New Roman"/>
                <w:sz w:val="18"/>
                <w:szCs w:val="18"/>
                <w:bdr w:val="none" w:sz="0" w:space="0" w:color="auto"/>
                <w:lang w:eastAsia="es-ES"/>
              </w:rPr>
              <w:t>(5.742,87)</w:t>
            </w:r>
          </w:p>
        </w:tc>
        <w:tc>
          <w:tcPr>
            <w:tcW w:w="575" w:type="pct"/>
            <w:tcBorders>
              <w:top w:val="nil"/>
              <w:left w:val="nil"/>
              <w:bottom w:val="nil"/>
              <w:right w:val="nil"/>
            </w:tcBorders>
            <w:shd w:val="clear" w:color="auto" w:fill="auto"/>
            <w:vAlign w:val="center"/>
            <w:hideMark/>
          </w:tcPr>
          <w:p w14:paraId="3C3C3ACA" w14:textId="77777777" w:rsidR="003A7C0E" w:rsidRPr="003A7C0E" w:rsidRDefault="0071126B" w:rsidP="003A4111">
            <w:pPr>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rFonts w:eastAsia="Times New Roman"/>
                <w:sz w:val="18"/>
                <w:szCs w:val="18"/>
                <w:bdr w:val="none" w:sz="0" w:space="0" w:color="auto"/>
                <w:lang w:eastAsia="es-ES"/>
              </w:rPr>
              <w:t>-</w:t>
            </w:r>
          </w:p>
        </w:tc>
        <w:tc>
          <w:tcPr>
            <w:tcW w:w="560" w:type="pct"/>
            <w:tcBorders>
              <w:top w:val="nil"/>
              <w:left w:val="nil"/>
              <w:bottom w:val="nil"/>
              <w:right w:val="nil"/>
            </w:tcBorders>
            <w:shd w:val="clear" w:color="auto" w:fill="auto"/>
            <w:vAlign w:val="center"/>
            <w:hideMark/>
          </w:tcPr>
          <w:p w14:paraId="6DA82E13" w14:textId="77777777" w:rsidR="003A7C0E" w:rsidRPr="003A7C0E" w:rsidRDefault="003A7C0E" w:rsidP="003A4111">
            <w:pPr>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3A7C0E">
              <w:rPr>
                <w:rFonts w:eastAsia="Times New Roman"/>
                <w:sz w:val="18"/>
                <w:szCs w:val="18"/>
                <w:bdr w:val="none" w:sz="0" w:space="0" w:color="auto"/>
                <w:lang w:eastAsia="es-ES"/>
              </w:rPr>
              <w:t xml:space="preserve"> -</w:t>
            </w:r>
          </w:p>
        </w:tc>
        <w:tc>
          <w:tcPr>
            <w:tcW w:w="654" w:type="pct"/>
            <w:tcBorders>
              <w:top w:val="nil"/>
              <w:left w:val="nil"/>
              <w:bottom w:val="nil"/>
              <w:right w:val="nil"/>
            </w:tcBorders>
            <w:shd w:val="clear" w:color="auto" w:fill="auto"/>
            <w:vAlign w:val="center"/>
            <w:hideMark/>
          </w:tcPr>
          <w:p w14:paraId="67FC6ECF" w14:textId="77777777" w:rsidR="003A7C0E" w:rsidRPr="003A7C0E" w:rsidRDefault="003A7C0E" w:rsidP="003A4111">
            <w:pPr>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3A7C0E">
              <w:rPr>
                <w:rFonts w:eastAsia="Times New Roman"/>
                <w:sz w:val="18"/>
                <w:szCs w:val="18"/>
                <w:bdr w:val="none" w:sz="0" w:space="0" w:color="auto"/>
                <w:lang w:eastAsia="es-ES"/>
              </w:rPr>
              <w:t>(5.742,87)</w:t>
            </w:r>
          </w:p>
        </w:tc>
      </w:tr>
      <w:tr w:rsidR="003A7C0E" w:rsidRPr="003A7C0E" w14:paraId="52EFFDA2" w14:textId="77777777" w:rsidTr="003A4111">
        <w:trPr>
          <w:trHeight w:val="238"/>
        </w:trPr>
        <w:tc>
          <w:tcPr>
            <w:tcW w:w="2558" w:type="pct"/>
            <w:tcBorders>
              <w:top w:val="nil"/>
              <w:left w:val="nil"/>
              <w:bottom w:val="nil"/>
              <w:right w:val="nil"/>
            </w:tcBorders>
            <w:shd w:val="clear" w:color="auto" w:fill="auto"/>
            <w:vAlign w:val="center"/>
            <w:hideMark/>
          </w:tcPr>
          <w:p w14:paraId="14609133" w14:textId="77777777" w:rsidR="003A7C0E" w:rsidRPr="003A7C0E" w:rsidRDefault="003A7C0E" w:rsidP="003A4111">
            <w:pPr>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3A7C0E">
              <w:rPr>
                <w:rFonts w:eastAsia="Times New Roman"/>
                <w:sz w:val="18"/>
                <w:szCs w:val="18"/>
                <w:bdr w:val="none" w:sz="0" w:space="0" w:color="auto"/>
                <w:lang w:eastAsia="es-ES"/>
              </w:rPr>
              <w:t>Aplicaciones informáticas</w:t>
            </w:r>
          </w:p>
        </w:tc>
        <w:tc>
          <w:tcPr>
            <w:tcW w:w="653" w:type="pct"/>
            <w:tcBorders>
              <w:top w:val="nil"/>
              <w:left w:val="nil"/>
              <w:bottom w:val="nil"/>
              <w:right w:val="nil"/>
            </w:tcBorders>
            <w:shd w:val="clear" w:color="auto" w:fill="auto"/>
            <w:vAlign w:val="center"/>
            <w:hideMark/>
          </w:tcPr>
          <w:p w14:paraId="57AF17BC" w14:textId="77777777" w:rsidR="003A7C0E" w:rsidRPr="003A7C0E" w:rsidRDefault="003A7C0E" w:rsidP="003A4111">
            <w:pPr>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3A7C0E">
              <w:rPr>
                <w:rFonts w:eastAsia="Times New Roman"/>
                <w:sz w:val="18"/>
                <w:szCs w:val="18"/>
                <w:bdr w:val="none" w:sz="0" w:space="0" w:color="auto"/>
                <w:lang w:eastAsia="es-ES"/>
              </w:rPr>
              <w:t>(121.856,24)</w:t>
            </w:r>
          </w:p>
        </w:tc>
        <w:tc>
          <w:tcPr>
            <w:tcW w:w="575" w:type="pct"/>
            <w:tcBorders>
              <w:top w:val="nil"/>
              <w:left w:val="nil"/>
              <w:bottom w:val="nil"/>
              <w:right w:val="nil"/>
            </w:tcBorders>
            <w:shd w:val="clear" w:color="auto" w:fill="auto"/>
            <w:vAlign w:val="center"/>
            <w:hideMark/>
          </w:tcPr>
          <w:p w14:paraId="732E68B3" w14:textId="77777777" w:rsidR="003A7C0E" w:rsidRPr="003A7C0E" w:rsidRDefault="003A7C0E" w:rsidP="003A4111">
            <w:pPr>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3A7C0E">
              <w:rPr>
                <w:rFonts w:eastAsia="Times New Roman"/>
                <w:sz w:val="18"/>
                <w:szCs w:val="18"/>
                <w:bdr w:val="none" w:sz="0" w:space="0" w:color="auto"/>
                <w:lang w:eastAsia="es-ES"/>
              </w:rPr>
              <w:t>(9.877,81)</w:t>
            </w:r>
          </w:p>
        </w:tc>
        <w:tc>
          <w:tcPr>
            <w:tcW w:w="560" w:type="pct"/>
            <w:tcBorders>
              <w:top w:val="nil"/>
              <w:left w:val="nil"/>
              <w:bottom w:val="nil"/>
              <w:right w:val="nil"/>
            </w:tcBorders>
            <w:shd w:val="clear" w:color="auto" w:fill="auto"/>
            <w:vAlign w:val="center"/>
            <w:hideMark/>
          </w:tcPr>
          <w:p w14:paraId="5673A053" w14:textId="77777777" w:rsidR="003A7C0E" w:rsidRPr="003A7C0E" w:rsidRDefault="003A7C0E" w:rsidP="003A4111">
            <w:pPr>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3A7C0E">
              <w:rPr>
                <w:rFonts w:eastAsia="Times New Roman"/>
                <w:sz w:val="18"/>
                <w:szCs w:val="18"/>
                <w:bdr w:val="none" w:sz="0" w:space="0" w:color="auto"/>
                <w:lang w:eastAsia="es-ES"/>
              </w:rPr>
              <w:t xml:space="preserve"> -</w:t>
            </w:r>
          </w:p>
        </w:tc>
        <w:tc>
          <w:tcPr>
            <w:tcW w:w="654" w:type="pct"/>
            <w:tcBorders>
              <w:top w:val="nil"/>
              <w:left w:val="nil"/>
              <w:bottom w:val="nil"/>
              <w:right w:val="nil"/>
            </w:tcBorders>
            <w:shd w:val="clear" w:color="auto" w:fill="auto"/>
            <w:vAlign w:val="center"/>
            <w:hideMark/>
          </w:tcPr>
          <w:p w14:paraId="2CDA6F63" w14:textId="77777777" w:rsidR="003A7C0E" w:rsidRPr="003A7C0E" w:rsidRDefault="003A7C0E" w:rsidP="003A4111">
            <w:pPr>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3A7C0E">
              <w:rPr>
                <w:rFonts w:eastAsia="Times New Roman"/>
                <w:sz w:val="18"/>
                <w:szCs w:val="18"/>
                <w:bdr w:val="none" w:sz="0" w:space="0" w:color="auto"/>
                <w:lang w:eastAsia="es-ES"/>
              </w:rPr>
              <w:t>(131.734,05)</w:t>
            </w:r>
          </w:p>
        </w:tc>
      </w:tr>
      <w:tr w:rsidR="003A7C0E" w:rsidRPr="003A7C0E" w14:paraId="37F8E3B5" w14:textId="77777777" w:rsidTr="00FF35D6">
        <w:trPr>
          <w:trHeight w:val="283"/>
        </w:trPr>
        <w:tc>
          <w:tcPr>
            <w:tcW w:w="2558" w:type="pct"/>
            <w:tcBorders>
              <w:top w:val="nil"/>
              <w:left w:val="nil"/>
              <w:bottom w:val="nil"/>
              <w:right w:val="nil"/>
            </w:tcBorders>
            <w:shd w:val="clear" w:color="auto" w:fill="auto"/>
            <w:vAlign w:val="center"/>
            <w:hideMark/>
          </w:tcPr>
          <w:p w14:paraId="5BE2136E" w14:textId="77777777" w:rsidR="003A7C0E" w:rsidRPr="003A7C0E" w:rsidRDefault="003A7C0E" w:rsidP="003A4111">
            <w:pPr>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653" w:type="pct"/>
            <w:tcBorders>
              <w:top w:val="single" w:sz="4" w:space="0" w:color="auto"/>
              <w:left w:val="nil"/>
              <w:bottom w:val="single" w:sz="4" w:space="0" w:color="auto"/>
              <w:right w:val="nil"/>
            </w:tcBorders>
            <w:shd w:val="clear" w:color="auto" w:fill="auto"/>
            <w:vAlign w:val="center"/>
            <w:hideMark/>
          </w:tcPr>
          <w:p w14:paraId="0B104C2A" w14:textId="77777777" w:rsidR="003A7C0E" w:rsidRPr="003A7C0E" w:rsidRDefault="003A7C0E" w:rsidP="003A4111">
            <w:pPr>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3A7C0E">
              <w:rPr>
                <w:rFonts w:eastAsia="Times New Roman"/>
                <w:b/>
                <w:bCs/>
                <w:sz w:val="18"/>
                <w:szCs w:val="18"/>
                <w:bdr w:val="none" w:sz="0" w:space="0" w:color="auto"/>
                <w:lang w:eastAsia="es-ES"/>
              </w:rPr>
              <w:t>(127.599,11)</w:t>
            </w:r>
          </w:p>
        </w:tc>
        <w:tc>
          <w:tcPr>
            <w:tcW w:w="575" w:type="pct"/>
            <w:tcBorders>
              <w:top w:val="single" w:sz="4" w:space="0" w:color="auto"/>
              <w:left w:val="nil"/>
              <w:bottom w:val="single" w:sz="4" w:space="0" w:color="auto"/>
              <w:right w:val="nil"/>
            </w:tcBorders>
            <w:shd w:val="clear" w:color="auto" w:fill="auto"/>
            <w:vAlign w:val="center"/>
            <w:hideMark/>
          </w:tcPr>
          <w:p w14:paraId="0B469BA3" w14:textId="77777777" w:rsidR="003A7C0E" w:rsidRPr="003A7C0E" w:rsidRDefault="003A7C0E" w:rsidP="003A4111">
            <w:pPr>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3A7C0E">
              <w:rPr>
                <w:rFonts w:eastAsia="Times New Roman"/>
                <w:b/>
                <w:bCs/>
                <w:sz w:val="18"/>
                <w:szCs w:val="18"/>
                <w:bdr w:val="none" w:sz="0" w:space="0" w:color="auto"/>
                <w:lang w:eastAsia="es-ES"/>
              </w:rPr>
              <w:t>(9.877,81)</w:t>
            </w:r>
          </w:p>
        </w:tc>
        <w:tc>
          <w:tcPr>
            <w:tcW w:w="560" w:type="pct"/>
            <w:tcBorders>
              <w:top w:val="single" w:sz="4" w:space="0" w:color="auto"/>
              <w:left w:val="nil"/>
              <w:bottom w:val="single" w:sz="4" w:space="0" w:color="auto"/>
              <w:right w:val="nil"/>
            </w:tcBorders>
            <w:shd w:val="clear" w:color="auto" w:fill="auto"/>
            <w:vAlign w:val="center"/>
            <w:hideMark/>
          </w:tcPr>
          <w:p w14:paraId="2ECD6E6B" w14:textId="77777777" w:rsidR="003A7C0E" w:rsidRPr="003A7C0E" w:rsidRDefault="003A7C0E" w:rsidP="003A4111">
            <w:pPr>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3A7C0E">
              <w:rPr>
                <w:rFonts w:eastAsia="Times New Roman"/>
                <w:b/>
                <w:bCs/>
                <w:sz w:val="18"/>
                <w:szCs w:val="18"/>
                <w:bdr w:val="none" w:sz="0" w:space="0" w:color="auto"/>
                <w:lang w:eastAsia="es-ES"/>
              </w:rPr>
              <w:t xml:space="preserve"> -</w:t>
            </w:r>
          </w:p>
        </w:tc>
        <w:tc>
          <w:tcPr>
            <w:tcW w:w="654" w:type="pct"/>
            <w:tcBorders>
              <w:top w:val="single" w:sz="4" w:space="0" w:color="auto"/>
              <w:left w:val="nil"/>
              <w:bottom w:val="single" w:sz="4" w:space="0" w:color="auto"/>
              <w:right w:val="nil"/>
            </w:tcBorders>
            <w:shd w:val="clear" w:color="auto" w:fill="auto"/>
            <w:vAlign w:val="center"/>
            <w:hideMark/>
          </w:tcPr>
          <w:p w14:paraId="1A11CD2C" w14:textId="77777777" w:rsidR="003A7C0E" w:rsidRPr="003A7C0E" w:rsidRDefault="003A7C0E" w:rsidP="003A4111">
            <w:pPr>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3A7C0E">
              <w:rPr>
                <w:rFonts w:eastAsia="Times New Roman"/>
                <w:b/>
                <w:bCs/>
                <w:sz w:val="18"/>
                <w:szCs w:val="18"/>
                <w:bdr w:val="none" w:sz="0" w:space="0" w:color="auto"/>
                <w:lang w:eastAsia="es-ES"/>
              </w:rPr>
              <w:t>(137.476,92)</w:t>
            </w:r>
          </w:p>
        </w:tc>
      </w:tr>
      <w:tr w:rsidR="003A7C0E" w:rsidRPr="003A7C0E" w14:paraId="471F8211" w14:textId="77777777" w:rsidTr="00FF35D6">
        <w:trPr>
          <w:trHeight w:val="283"/>
        </w:trPr>
        <w:tc>
          <w:tcPr>
            <w:tcW w:w="2558" w:type="pct"/>
            <w:tcBorders>
              <w:top w:val="single" w:sz="4" w:space="0" w:color="auto"/>
              <w:left w:val="nil"/>
              <w:bottom w:val="single" w:sz="4" w:space="0" w:color="auto"/>
              <w:right w:val="nil"/>
            </w:tcBorders>
            <w:shd w:val="clear" w:color="auto" w:fill="auto"/>
            <w:vAlign w:val="center"/>
            <w:hideMark/>
          </w:tcPr>
          <w:p w14:paraId="62445E9C" w14:textId="77777777" w:rsidR="003A7C0E" w:rsidRPr="003A7C0E" w:rsidRDefault="003A7C0E" w:rsidP="003A4111">
            <w:pPr>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u w:val="single"/>
                <w:bdr w:val="none" w:sz="0" w:space="0" w:color="auto"/>
                <w:lang w:eastAsia="es-ES"/>
              </w:rPr>
            </w:pPr>
            <w:r w:rsidRPr="003A7C0E">
              <w:rPr>
                <w:rFonts w:eastAsia="Times New Roman"/>
                <w:b/>
                <w:bCs/>
                <w:sz w:val="18"/>
                <w:szCs w:val="18"/>
                <w:u w:val="single"/>
                <w:bdr w:val="none" w:sz="0" w:space="0" w:color="auto"/>
                <w:lang w:eastAsia="es-ES"/>
              </w:rPr>
              <w:t>Valor neto contable</w:t>
            </w:r>
          </w:p>
        </w:tc>
        <w:tc>
          <w:tcPr>
            <w:tcW w:w="653" w:type="pct"/>
            <w:tcBorders>
              <w:top w:val="nil"/>
              <w:left w:val="nil"/>
              <w:bottom w:val="single" w:sz="4" w:space="0" w:color="auto"/>
              <w:right w:val="nil"/>
            </w:tcBorders>
            <w:shd w:val="clear" w:color="auto" w:fill="auto"/>
            <w:vAlign w:val="center"/>
            <w:hideMark/>
          </w:tcPr>
          <w:p w14:paraId="73EE67ED" w14:textId="77777777" w:rsidR="003A7C0E" w:rsidRPr="003A7C0E" w:rsidRDefault="003A7C0E" w:rsidP="003A4111">
            <w:pPr>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3A7C0E">
              <w:rPr>
                <w:rFonts w:eastAsia="Times New Roman"/>
                <w:b/>
                <w:bCs/>
                <w:sz w:val="18"/>
                <w:szCs w:val="18"/>
                <w:bdr w:val="none" w:sz="0" w:space="0" w:color="auto"/>
                <w:lang w:eastAsia="es-ES"/>
              </w:rPr>
              <w:t>23.913,43</w:t>
            </w:r>
          </w:p>
        </w:tc>
        <w:tc>
          <w:tcPr>
            <w:tcW w:w="575" w:type="pct"/>
            <w:tcBorders>
              <w:top w:val="nil"/>
              <w:left w:val="nil"/>
              <w:bottom w:val="single" w:sz="4" w:space="0" w:color="auto"/>
              <w:right w:val="nil"/>
            </w:tcBorders>
            <w:shd w:val="clear" w:color="auto" w:fill="auto"/>
            <w:vAlign w:val="center"/>
            <w:hideMark/>
          </w:tcPr>
          <w:p w14:paraId="1C15E676" w14:textId="77777777" w:rsidR="003A7C0E" w:rsidRPr="003A7C0E" w:rsidRDefault="003A7C0E" w:rsidP="003A4111">
            <w:pPr>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3A7C0E">
              <w:rPr>
                <w:rFonts w:eastAsia="Times New Roman"/>
                <w:b/>
                <w:bCs/>
                <w:sz w:val="18"/>
                <w:szCs w:val="18"/>
                <w:bdr w:val="none" w:sz="0" w:space="0" w:color="auto"/>
                <w:lang w:eastAsia="es-ES"/>
              </w:rPr>
              <w:t> </w:t>
            </w:r>
          </w:p>
        </w:tc>
        <w:tc>
          <w:tcPr>
            <w:tcW w:w="560" w:type="pct"/>
            <w:tcBorders>
              <w:top w:val="nil"/>
              <w:left w:val="nil"/>
              <w:bottom w:val="single" w:sz="4" w:space="0" w:color="auto"/>
              <w:right w:val="nil"/>
            </w:tcBorders>
            <w:shd w:val="clear" w:color="auto" w:fill="auto"/>
            <w:vAlign w:val="center"/>
            <w:hideMark/>
          </w:tcPr>
          <w:p w14:paraId="0F36FDFC" w14:textId="77777777" w:rsidR="003A7C0E" w:rsidRPr="003A7C0E" w:rsidRDefault="003A7C0E" w:rsidP="003A4111">
            <w:pPr>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3A7C0E">
              <w:rPr>
                <w:rFonts w:eastAsia="Times New Roman"/>
                <w:b/>
                <w:bCs/>
                <w:sz w:val="18"/>
                <w:szCs w:val="18"/>
                <w:bdr w:val="none" w:sz="0" w:space="0" w:color="auto"/>
                <w:lang w:eastAsia="es-ES"/>
              </w:rPr>
              <w:t xml:space="preserve"> </w:t>
            </w:r>
          </w:p>
        </w:tc>
        <w:tc>
          <w:tcPr>
            <w:tcW w:w="654" w:type="pct"/>
            <w:tcBorders>
              <w:top w:val="nil"/>
              <w:left w:val="nil"/>
              <w:bottom w:val="single" w:sz="4" w:space="0" w:color="auto"/>
              <w:right w:val="nil"/>
            </w:tcBorders>
            <w:shd w:val="clear" w:color="auto" w:fill="auto"/>
            <w:vAlign w:val="center"/>
            <w:hideMark/>
          </w:tcPr>
          <w:p w14:paraId="4BBA5A1A" w14:textId="77777777" w:rsidR="003A7C0E" w:rsidRPr="003A7C0E" w:rsidRDefault="003A7C0E" w:rsidP="003A4111">
            <w:pPr>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3A7C0E">
              <w:rPr>
                <w:rFonts w:eastAsia="Times New Roman"/>
                <w:b/>
                <w:bCs/>
                <w:sz w:val="18"/>
                <w:szCs w:val="18"/>
                <w:bdr w:val="none" w:sz="0" w:space="0" w:color="auto"/>
                <w:lang w:eastAsia="es-ES"/>
              </w:rPr>
              <w:t>22.004,98</w:t>
            </w:r>
          </w:p>
        </w:tc>
      </w:tr>
    </w:tbl>
    <w:p w14:paraId="1ECDB23A" w14:textId="77777777" w:rsidR="006220A2" w:rsidRPr="00BA60DB" w:rsidRDefault="006220A2" w:rsidP="006220A2">
      <w:pPr>
        <w:keepNext/>
        <w:keepLines/>
        <w:widowControl w:val="0"/>
        <w:tabs>
          <w:tab w:val="left" w:pos="284"/>
        </w:tabs>
        <w:spacing w:before="200"/>
        <w:rPr>
          <w:sz w:val="20"/>
          <w:szCs w:val="22"/>
        </w:rPr>
      </w:pPr>
      <w:r w:rsidRPr="00BA60DB">
        <w:rPr>
          <w:snapToGrid w:val="0"/>
          <w:sz w:val="20"/>
          <w:szCs w:val="22"/>
        </w:rPr>
        <w:t>a)</w:t>
      </w:r>
      <w:r w:rsidRPr="00BA60DB">
        <w:rPr>
          <w:snapToGrid w:val="0"/>
          <w:sz w:val="20"/>
          <w:szCs w:val="22"/>
        </w:rPr>
        <w:tab/>
      </w:r>
      <w:r w:rsidRPr="00BA60DB">
        <w:rPr>
          <w:snapToGrid w:val="0"/>
          <w:sz w:val="20"/>
          <w:szCs w:val="22"/>
          <w:u w:val="single"/>
        </w:rPr>
        <w:t>Inmovilizado intangible totalmente amortizado</w:t>
      </w:r>
    </w:p>
    <w:p w14:paraId="543B0BB3" w14:textId="77777777" w:rsidR="006220A2" w:rsidRPr="0026653C" w:rsidRDefault="006220A2" w:rsidP="006220A2">
      <w:pPr>
        <w:keepNext/>
        <w:keepLines/>
        <w:widowControl w:val="0"/>
        <w:spacing w:before="120"/>
        <w:jc w:val="both"/>
        <w:rPr>
          <w:snapToGrid w:val="0"/>
          <w:sz w:val="20"/>
          <w:szCs w:val="22"/>
        </w:rPr>
      </w:pPr>
      <w:r w:rsidRPr="001C41C7">
        <w:rPr>
          <w:snapToGrid w:val="0"/>
          <w:sz w:val="20"/>
          <w:szCs w:val="22"/>
        </w:rPr>
        <w:t>A 31 de diciembre de 201</w:t>
      </w:r>
      <w:r w:rsidR="0071126B" w:rsidRPr="001C41C7">
        <w:rPr>
          <w:snapToGrid w:val="0"/>
          <w:sz w:val="20"/>
          <w:szCs w:val="22"/>
        </w:rPr>
        <w:t>8</w:t>
      </w:r>
      <w:r w:rsidRPr="001C41C7">
        <w:rPr>
          <w:snapToGrid w:val="0"/>
          <w:sz w:val="20"/>
          <w:szCs w:val="22"/>
        </w:rPr>
        <w:t xml:space="preserve"> dentro del epígrafe de aplicaciones informáticas existen con un coste original de 119.635,99 euros (119.635,99 </w:t>
      </w:r>
      <w:r w:rsidRPr="001C41C7">
        <w:rPr>
          <w:sz w:val="20"/>
          <w:szCs w:val="22"/>
        </w:rPr>
        <w:t>euros en 201</w:t>
      </w:r>
      <w:r w:rsidR="0071126B" w:rsidRPr="001C41C7">
        <w:rPr>
          <w:sz w:val="20"/>
          <w:szCs w:val="22"/>
        </w:rPr>
        <w:t>7</w:t>
      </w:r>
      <w:r w:rsidRPr="001C41C7">
        <w:rPr>
          <w:sz w:val="20"/>
          <w:szCs w:val="22"/>
        </w:rPr>
        <w:t xml:space="preserve">) elementos </w:t>
      </w:r>
      <w:r w:rsidRPr="001C41C7">
        <w:rPr>
          <w:snapToGrid w:val="0"/>
          <w:sz w:val="20"/>
          <w:szCs w:val="22"/>
        </w:rPr>
        <w:t>que están totalmente amortizados y que todavía están en uso y en propiedad industrial 5.742,87 euros (5.742,87</w:t>
      </w:r>
      <w:r w:rsidRPr="0071126B">
        <w:rPr>
          <w:snapToGrid w:val="0"/>
          <w:sz w:val="20"/>
          <w:szCs w:val="22"/>
        </w:rPr>
        <w:t xml:space="preserve"> euros en 201</w:t>
      </w:r>
      <w:r w:rsidR="0071126B" w:rsidRPr="0071126B">
        <w:rPr>
          <w:snapToGrid w:val="0"/>
          <w:sz w:val="20"/>
          <w:szCs w:val="22"/>
        </w:rPr>
        <w:t>7</w:t>
      </w:r>
      <w:r w:rsidRPr="0071126B">
        <w:rPr>
          <w:snapToGrid w:val="0"/>
          <w:sz w:val="20"/>
          <w:szCs w:val="22"/>
        </w:rPr>
        <w:t>).</w:t>
      </w:r>
      <w:r w:rsidRPr="0026653C">
        <w:rPr>
          <w:snapToGrid w:val="0"/>
          <w:sz w:val="20"/>
          <w:szCs w:val="22"/>
        </w:rPr>
        <w:t xml:space="preserve"> </w:t>
      </w:r>
    </w:p>
    <w:p w14:paraId="783CA771" w14:textId="77777777" w:rsidR="006220A2" w:rsidRPr="00BA60DB" w:rsidRDefault="006220A2" w:rsidP="006220A2">
      <w:pPr>
        <w:widowControl w:val="0"/>
        <w:tabs>
          <w:tab w:val="left" w:pos="284"/>
        </w:tabs>
        <w:spacing w:before="200"/>
        <w:rPr>
          <w:sz w:val="20"/>
          <w:szCs w:val="22"/>
        </w:rPr>
      </w:pPr>
      <w:r w:rsidRPr="0026653C">
        <w:rPr>
          <w:snapToGrid w:val="0"/>
          <w:sz w:val="20"/>
          <w:szCs w:val="22"/>
        </w:rPr>
        <w:t>b)</w:t>
      </w:r>
      <w:r w:rsidRPr="0026653C">
        <w:rPr>
          <w:snapToGrid w:val="0"/>
          <w:sz w:val="20"/>
          <w:szCs w:val="22"/>
        </w:rPr>
        <w:tab/>
      </w:r>
      <w:r w:rsidRPr="0026653C">
        <w:rPr>
          <w:snapToGrid w:val="0"/>
          <w:sz w:val="20"/>
          <w:szCs w:val="22"/>
          <w:u w:val="single"/>
        </w:rPr>
        <w:t>Seguros</w:t>
      </w:r>
    </w:p>
    <w:p w14:paraId="49F09CF3" w14:textId="77777777" w:rsidR="006220A2" w:rsidRPr="00BA60DB" w:rsidRDefault="006220A2" w:rsidP="006220A2">
      <w:pPr>
        <w:widowControl w:val="0"/>
        <w:spacing w:before="120"/>
        <w:jc w:val="both"/>
        <w:rPr>
          <w:snapToGrid w:val="0"/>
          <w:sz w:val="20"/>
          <w:szCs w:val="22"/>
        </w:rPr>
      </w:pPr>
      <w:r w:rsidRPr="00BA60DB">
        <w:rPr>
          <w:snapToGrid w:val="0"/>
          <w:sz w:val="20"/>
          <w:szCs w:val="22"/>
        </w:rPr>
        <w:t>La Sociedad tiene contratadas varias pólizas de seguro para cubrir los riesgos a que están sujetos los bienes del inmovilizado intangible. La cobertura de estas pólizas se considera suficiente.</w:t>
      </w:r>
    </w:p>
    <w:p w14:paraId="2EC1FCB5" w14:textId="77777777" w:rsidR="006220A2" w:rsidRDefault="006220A2" w:rsidP="006220A2">
      <w:pPr>
        <w:widowControl w:val="0"/>
        <w:ind w:left="426"/>
        <w:rPr>
          <w:snapToGrid w:val="0"/>
          <w:sz w:val="20"/>
          <w:szCs w:val="22"/>
        </w:rPr>
      </w:pPr>
    </w:p>
    <w:p w14:paraId="63086AD7" w14:textId="77777777" w:rsidR="006220A2" w:rsidRPr="00400087" w:rsidRDefault="006220A2" w:rsidP="006220A2">
      <w:pPr>
        <w:widowControl w:val="0"/>
        <w:ind w:left="426"/>
        <w:rPr>
          <w:snapToGrid w:val="0"/>
          <w:sz w:val="20"/>
          <w:szCs w:val="22"/>
        </w:rPr>
      </w:pPr>
    </w:p>
    <w:p w14:paraId="54F7B80F" w14:textId="77777777" w:rsidR="006220A2" w:rsidRPr="00421D55" w:rsidRDefault="006220A2" w:rsidP="006220A2">
      <w:pPr>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lear" w:pos="644"/>
        </w:tabs>
        <w:ind w:left="284" w:hanging="284"/>
        <w:outlineLvl w:val="9"/>
        <w:rPr>
          <w:b/>
          <w:snapToGrid w:val="0"/>
          <w:sz w:val="22"/>
          <w:szCs w:val="22"/>
        </w:rPr>
      </w:pPr>
      <w:r w:rsidRPr="00421D55">
        <w:rPr>
          <w:b/>
          <w:snapToGrid w:val="0"/>
          <w:sz w:val="22"/>
          <w:szCs w:val="22"/>
        </w:rPr>
        <w:t>Inmovilizado material</w:t>
      </w:r>
    </w:p>
    <w:p w14:paraId="3E5CFE40" w14:textId="77777777" w:rsidR="006220A2" w:rsidRDefault="006220A2" w:rsidP="006220A2">
      <w:pPr>
        <w:widowControl w:val="0"/>
        <w:spacing w:before="120" w:after="120"/>
        <w:jc w:val="both"/>
        <w:rPr>
          <w:sz w:val="20"/>
          <w:szCs w:val="22"/>
        </w:rPr>
      </w:pPr>
      <w:r w:rsidRPr="00BA60DB">
        <w:rPr>
          <w:sz w:val="20"/>
          <w:szCs w:val="22"/>
        </w:rPr>
        <w:t xml:space="preserve">El detalle y movimiento de las partidas incluidas en “Inmovilizado material” </w:t>
      </w:r>
      <w:r w:rsidR="00D36170">
        <w:rPr>
          <w:sz w:val="20"/>
          <w:szCs w:val="22"/>
        </w:rPr>
        <w:t>en el ejercicio 2018</w:t>
      </w:r>
      <w:r w:rsidRPr="00BA60DB">
        <w:rPr>
          <w:sz w:val="20"/>
          <w:szCs w:val="22"/>
        </w:rPr>
        <w:t xml:space="preserve"> es el siguiente:</w:t>
      </w:r>
    </w:p>
    <w:tbl>
      <w:tblPr>
        <w:tblW w:w="5000" w:type="pct"/>
        <w:jc w:val="center"/>
        <w:tblCellMar>
          <w:left w:w="70" w:type="dxa"/>
          <w:right w:w="70" w:type="dxa"/>
        </w:tblCellMar>
        <w:tblLook w:val="04A0" w:firstRow="1" w:lastRow="0" w:firstColumn="1" w:lastColumn="0" w:noHBand="0" w:noVBand="1"/>
      </w:tblPr>
      <w:tblGrid>
        <w:gridCol w:w="3722"/>
        <w:gridCol w:w="1299"/>
        <w:gridCol w:w="1299"/>
        <w:gridCol w:w="1299"/>
        <w:gridCol w:w="1302"/>
      </w:tblGrid>
      <w:tr w:rsidR="001C41C7" w:rsidRPr="00900988" w14:paraId="3D0FF520" w14:textId="77777777" w:rsidTr="00FF35D6">
        <w:trPr>
          <w:trHeight w:val="20"/>
          <w:jc w:val="center"/>
        </w:trPr>
        <w:tc>
          <w:tcPr>
            <w:tcW w:w="2086" w:type="pct"/>
            <w:tcBorders>
              <w:top w:val="single" w:sz="4" w:space="0" w:color="auto"/>
              <w:left w:val="nil"/>
              <w:bottom w:val="nil"/>
              <w:right w:val="nil"/>
            </w:tcBorders>
            <w:shd w:val="clear" w:color="auto" w:fill="auto"/>
            <w:vAlign w:val="bottom"/>
            <w:hideMark/>
          </w:tcPr>
          <w:p w14:paraId="1092BF2F"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 </w:t>
            </w:r>
          </w:p>
        </w:tc>
        <w:tc>
          <w:tcPr>
            <w:tcW w:w="2914" w:type="pct"/>
            <w:gridSpan w:val="4"/>
            <w:tcBorders>
              <w:top w:val="single" w:sz="4" w:space="0" w:color="auto"/>
              <w:left w:val="nil"/>
              <w:bottom w:val="single" w:sz="4" w:space="0" w:color="auto"/>
              <w:right w:val="nil"/>
            </w:tcBorders>
            <w:shd w:val="clear" w:color="auto" w:fill="auto"/>
            <w:vAlign w:val="bottom"/>
            <w:hideMark/>
          </w:tcPr>
          <w:p w14:paraId="68BD310F"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1C41C7">
              <w:rPr>
                <w:rFonts w:eastAsia="Times New Roman"/>
                <w:b/>
                <w:bCs/>
                <w:sz w:val="18"/>
                <w:szCs w:val="18"/>
                <w:bdr w:val="none" w:sz="0" w:space="0" w:color="auto"/>
                <w:lang w:eastAsia="es-ES"/>
              </w:rPr>
              <w:t>Euros</w:t>
            </w:r>
          </w:p>
        </w:tc>
      </w:tr>
      <w:tr w:rsidR="001C41C7" w:rsidRPr="00900988" w14:paraId="5BFB440E" w14:textId="77777777" w:rsidTr="00FF35D6">
        <w:trPr>
          <w:trHeight w:val="20"/>
          <w:jc w:val="center"/>
        </w:trPr>
        <w:tc>
          <w:tcPr>
            <w:tcW w:w="2086" w:type="pct"/>
            <w:tcBorders>
              <w:top w:val="nil"/>
              <w:left w:val="nil"/>
              <w:bottom w:val="single" w:sz="4" w:space="0" w:color="auto"/>
              <w:right w:val="nil"/>
            </w:tcBorders>
            <w:shd w:val="clear" w:color="auto" w:fill="auto"/>
            <w:vAlign w:val="bottom"/>
            <w:hideMark/>
          </w:tcPr>
          <w:p w14:paraId="283B9CF3"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 </w:t>
            </w:r>
          </w:p>
        </w:tc>
        <w:tc>
          <w:tcPr>
            <w:tcW w:w="728" w:type="pct"/>
            <w:tcBorders>
              <w:top w:val="nil"/>
              <w:left w:val="nil"/>
              <w:bottom w:val="single" w:sz="4" w:space="0" w:color="auto"/>
              <w:right w:val="nil"/>
            </w:tcBorders>
            <w:shd w:val="clear" w:color="auto" w:fill="auto"/>
            <w:vAlign w:val="bottom"/>
            <w:hideMark/>
          </w:tcPr>
          <w:p w14:paraId="1200E554"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C41C7">
              <w:rPr>
                <w:rFonts w:eastAsia="Times New Roman"/>
                <w:b/>
                <w:bCs/>
                <w:sz w:val="18"/>
                <w:szCs w:val="18"/>
                <w:bdr w:val="none" w:sz="0" w:space="0" w:color="auto"/>
                <w:lang w:eastAsia="es-ES"/>
              </w:rPr>
              <w:t>Saldo al 31/12/2017</w:t>
            </w:r>
          </w:p>
        </w:tc>
        <w:tc>
          <w:tcPr>
            <w:tcW w:w="728" w:type="pct"/>
            <w:tcBorders>
              <w:top w:val="nil"/>
              <w:left w:val="nil"/>
              <w:bottom w:val="single" w:sz="4" w:space="0" w:color="auto"/>
              <w:right w:val="nil"/>
            </w:tcBorders>
            <w:shd w:val="clear" w:color="auto" w:fill="auto"/>
            <w:vAlign w:val="bottom"/>
            <w:hideMark/>
          </w:tcPr>
          <w:p w14:paraId="476A9331"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C41C7">
              <w:rPr>
                <w:rFonts w:eastAsia="Times New Roman"/>
                <w:b/>
                <w:bCs/>
                <w:sz w:val="18"/>
                <w:szCs w:val="18"/>
                <w:bdr w:val="none" w:sz="0" w:space="0" w:color="auto"/>
                <w:lang w:eastAsia="es-ES"/>
              </w:rPr>
              <w:t>Altas</w:t>
            </w:r>
          </w:p>
        </w:tc>
        <w:tc>
          <w:tcPr>
            <w:tcW w:w="728" w:type="pct"/>
            <w:tcBorders>
              <w:top w:val="nil"/>
              <w:left w:val="nil"/>
              <w:bottom w:val="single" w:sz="4" w:space="0" w:color="auto"/>
              <w:right w:val="nil"/>
            </w:tcBorders>
            <w:shd w:val="clear" w:color="auto" w:fill="auto"/>
            <w:vAlign w:val="bottom"/>
            <w:hideMark/>
          </w:tcPr>
          <w:p w14:paraId="5E9DAA2C"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C41C7">
              <w:rPr>
                <w:rFonts w:eastAsia="Times New Roman"/>
                <w:b/>
                <w:bCs/>
                <w:sz w:val="18"/>
                <w:szCs w:val="18"/>
                <w:bdr w:val="none" w:sz="0" w:space="0" w:color="auto"/>
                <w:lang w:eastAsia="es-ES"/>
              </w:rPr>
              <w:t>Traspasos</w:t>
            </w:r>
          </w:p>
        </w:tc>
        <w:tc>
          <w:tcPr>
            <w:tcW w:w="729" w:type="pct"/>
            <w:tcBorders>
              <w:top w:val="nil"/>
              <w:left w:val="nil"/>
              <w:bottom w:val="single" w:sz="4" w:space="0" w:color="auto"/>
              <w:right w:val="nil"/>
            </w:tcBorders>
            <w:shd w:val="clear" w:color="auto" w:fill="auto"/>
            <w:vAlign w:val="bottom"/>
            <w:hideMark/>
          </w:tcPr>
          <w:p w14:paraId="61963EFC"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C41C7">
              <w:rPr>
                <w:rFonts w:eastAsia="Times New Roman"/>
                <w:b/>
                <w:bCs/>
                <w:sz w:val="18"/>
                <w:szCs w:val="18"/>
                <w:bdr w:val="none" w:sz="0" w:space="0" w:color="auto"/>
                <w:lang w:eastAsia="es-ES"/>
              </w:rPr>
              <w:t>Saldo al 31/12/2018</w:t>
            </w:r>
          </w:p>
        </w:tc>
      </w:tr>
      <w:tr w:rsidR="001C41C7" w:rsidRPr="00900988" w14:paraId="19E03069" w14:textId="77777777" w:rsidTr="00FF35D6">
        <w:trPr>
          <w:trHeight w:val="238"/>
          <w:jc w:val="center"/>
        </w:trPr>
        <w:tc>
          <w:tcPr>
            <w:tcW w:w="2086" w:type="pct"/>
            <w:tcBorders>
              <w:top w:val="nil"/>
              <w:left w:val="nil"/>
              <w:bottom w:val="nil"/>
              <w:right w:val="nil"/>
            </w:tcBorders>
            <w:shd w:val="clear" w:color="auto" w:fill="auto"/>
            <w:vAlign w:val="center"/>
            <w:hideMark/>
          </w:tcPr>
          <w:p w14:paraId="516EA640"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1C41C7">
              <w:rPr>
                <w:rFonts w:eastAsia="Times New Roman"/>
                <w:b/>
                <w:bCs/>
                <w:sz w:val="18"/>
                <w:szCs w:val="18"/>
                <w:bdr w:val="none" w:sz="0" w:space="0" w:color="auto"/>
                <w:lang w:eastAsia="es-ES"/>
              </w:rPr>
              <w:t>Coste</w:t>
            </w:r>
          </w:p>
        </w:tc>
        <w:tc>
          <w:tcPr>
            <w:tcW w:w="728" w:type="pct"/>
            <w:tcBorders>
              <w:top w:val="nil"/>
              <w:left w:val="nil"/>
              <w:bottom w:val="nil"/>
              <w:right w:val="nil"/>
            </w:tcBorders>
            <w:shd w:val="clear" w:color="auto" w:fill="auto"/>
            <w:vAlign w:val="center"/>
            <w:hideMark/>
          </w:tcPr>
          <w:p w14:paraId="1CECC4F0"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728" w:type="pct"/>
            <w:tcBorders>
              <w:top w:val="nil"/>
              <w:left w:val="nil"/>
              <w:bottom w:val="nil"/>
              <w:right w:val="nil"/>
            </w:tcBorders>
            <w:shd w:val="clear" w:color="auto" w:fill="auto"/>
            <w:vAlign w:val="center"/>
            <w:hideMark/>
          </w:tcPr>
          <w:p w14:paraId="424BDCF1"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p>
        </w:tc>
        <w:tc>
          <w:tcPr>
            <w:tcW w:w="728" w:type="pct"/>
            <w:tcBorders>
              <w:top w:val="nil"/>
              <w:left w:val="nil"/>
              <w:bottom w:val="nil"/>
              <w:right w:val="nil"/>
            </w:tcBorders>
            <w:shd w:val="clear" w:color="auto" w:fill="auto"/>
            <w:vAlign w:val="center"/>
            <w:hideMark/>
          </w:tcPr>
          <w:p w14:paraId="7367D467"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p>
        </w:tc>
        <w:tc>
          <w:tcPr>
            <w:tcW w:w="729" w:type="pct"/>
            <w:tcBorders>
              <w:top w:val="nil"/>
              <w:left w:val="nil"/>
              <w:bottom w:val="nil"/>
              <w:right w:val="nil"/>
            </w:tcBorders>
            <w:shd w:val="clear" w:color="auto" w:fill="auto"/>
            <w:vAlign w:val="center"/>
            <w:hideMark/>
          </w:tcPr>
          <w:p w14:paraId="714C5EDD"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p>
        </w:tc>
      </w:tr>
      <w:tr w:rsidR="001C41C7" w:rsidRPr="00900988" w14:paraId="09FD61F8" w14:textId="77777777" w:rsidTr="00FF35D6">
        <w:trPr>
          <w:trHeight w:val="238"/>
          <w:jc w:val="center"/>
        </w:trPr>
        <w:tc>
          <w:tcPr>
            <w:tcW w:w="2086" w:type="pct"/>
            <w:tcBorders>
              <w:top w:val="nil"/>
              <w:left w:val="nil"/>
              <w:bottom w:val="nil"/>
              <w:right w:val="nil"/>
            </w:tcBorders>
            <w:shd w:val="clear" w:color="auto" w:fill="auto"/>
            <w:vAlign w:val="center"/>
            <w:hideMark/>
          </w:tcPr>
          <w:p w14:paraId="48ADE3D1"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Construcciones</w:t>
            </w:r>
          </w:p>
        </w:tc>
        <w:tc>
          <w:tcPr>
            <w:tcW w:w="728" w:type="pct"/>
            <w:tcBorders>
              <w:top w:val="nil"/>
              <w:left w:val="nil"/>
              <w:bottom w:val="nil"/>
              <w:right w:val="nil"/>
            </w:tcBorders>
            <w:shd w:val="clear" w:color="auto" w:fill="auto"/>
            <w:vAlign w:val="center"/>
            <w:hideMark/>
          </w:tcPr>
          <w:p w14:paraId="5209A131"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535.043,54</w:t>
            </w:r>
          </w:p>
        </w:tc>
        <w:tc>
          <w:tcPr>
            <w:tcW w:w="728" w:type="pct"/>
            <w:tcBorders>
              <w:top w:val="nil"/>
              <w:left w:val="nil"/>
              <w:bottom w:val="nil"/>
              <w:right w:val="nil"/>
            </w:tcBorders>
            <w:shd w:val="clear" w:color="auto" w:fill="auto"/>
            <w:vAlign w:val="center"/>
            <w:hideMark/>
          </w:tcPr>
          <w:p w14:paraId="5679AD97"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 xml:space="preserve"> -</w:t>
            </w:r>
          </w:p>
        </w:tc>
        <w:tc>
          <w:tcPr>
            <w:tcW w:w="728" w:type="pct"/>
            <w:tcBorders>
              <w:top w:val="nil"/>
              <w:left w:val="nil"/>
              <w:bottom w:val="nil"/>
              <w:right w:val="nil"/>
            </w:tcBorders>
            <w:shd w:val="clear" w:color="auto" w:fill="auto"/>
            <w:vAlign w:val="center"/>
            <w:hideMark/>
          </w:tcPr>
          <w:p w14:paraId="15055D10"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1.079,10</w:t>
            </w:r>
          </w:p>
        </w:tc>
        <w:tc>
          <w:tcPr>
            <w:tcW w:w="729" w:type="pct"/>
            <w:tcBorders>
              <w:top w:val="nil"/>
              <w:left w:val="nil"/>
              <w:bottom w:val="nil"/>
              <w:right w:val="nil"/>
            </w:tcBorders>
            <w:shd w:val="clear" w:color="auto" w:fill="auto"/>
            <w:vAlign w:val="center"/>
            <w:hideMark/>
          </w:tcPr>
          <w:p w14:paraId="09CFF52C"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536.122,64</w:t>
            </w:r>
          </w:p>
        </w:tc>
      </w:tr>
      <w:tr w:rsidR="001C41C7" w:rsidRPr="00900988" w14:paraId="3140CC2D" w14:textId="77777777" w:rsidTr="00FF35D6">
        <w:trPr>
          <w:trHeight w:val="238"/>
          <w:jc w:val="center"/>
        </w:trPr>
        <w:tc>
          <w:tcPr>
            <w:tcW w:w="2086" w:type="pct"/>
            <w:tcBorders>
              <w:top w:val="nil"/>
              <w:left w:val="nil"/>
              <w:bottom w:val="nil"/>
              <w:right w:val="nil"/>
            </w:tcBorders>
            <w:shd w:val="clear" w:color="auto" w:fill="auto"/>
            <w:vAlign w:val="center"/>
            <w:hideMark/>
          </w:tcPr>
          <w:p w14:paraId="58A4176C"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Instalaciones técnicas</w:t>
            </w:r>
          </w:p>
        </w:tc>
        <w:tc>
          <w:tcPr>
            <w:tcW w:w="728" w:type="pct"/>
            <w:tcBorders>
              <w:top w:val="nil"/>
              <w:left w:val="nil"/>
              <w:bottom w:val="nil"/>
              <w:right w:val="nil"/>
            </w:tcBorders>
            <w:shd w:val="clear" w:color="auto" w:fill="auto"/>
            <w:vAlign w:val="center"/>
            <w:hideMark/>
          </w:tcPr>
          <w:p w14:paraId="2A236A25"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31.551,32</w:t>
            </w:r>
          </w:p>
        </w:tc>
        <w:tc>
          <w:tcPr>
            <w:tcW w:w="728" w:type="pct"/>
            <w:tcBorders>
              <w:top w:val="nil"/>
              <w:left w:val="nil"/>
              <w:bottom w:val="nil"/>
              <w:right w:val="nil"/>
            </w:tcBorders>
            <w:shd w:val="clear" w:color="auto" w:fill="auto"/>
            <w:vAlign w:val="center"/>
            <w:hideMark/>
          </w:tcPr>
          <w:p w14:paraId="2BABD41A"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 xml:space="preserve"> -</w:t>
            </w:r>
          </w:p>
        </w:tc>
        <w:tc>
          <w:tcPr>
            <w:tcW w:w="728" w:type="pct"/>
            <w:tcBorders>
              <w:top w:val="nil"/>
              <w:left w:val="nil"/>
              <w:bottom w:val="nil"/>
              <w:right w:val="nil"/>
            </w:tcBorders>
            <w:shd w:val="clear" w:color="auto" w:fill="auto"/>
            <w:vAlign w:val="center"/>
            <w:hideMark/>
          </w:tcPr>
          <w:p w14:paraId="79F4A7EF"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 xml:space="preserve"> -</w:t>
            </w:r>
          </w:p>
        </w:tc>
        <w:tc>
          <w:tcPr>
            <w:tcW w:w="729" w:type="pct"/>
            <w:tcBorders>
              <w:top w:val="nil"/>
              <w:left w:val="nil"/>
              <w:bottom w:val="nil"/>
              <w:right w:val="nil"/>
            </w:tcBorders>
            <w:shd w:val="clear" w:color="auto" w:fill="auto"/>
            <w:vAlign w:val="center"/>
            <w:hideMark/>
          </w:tcPr>
          <w:p w14:paraId="39DB6865"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31.551,32</w:t>
            </w:r>
          </w:p>
        </w:tc>
      </w:tr>
      <w:tr w:rsidR="001C41C7" w:rsidRPr="00900988" w14:paraId="1FC14949" w14:textId="77777777" w:rsidTr="00FF35D6">
        <w:trPr>
          <w:trHeight w:val="238"/>
          <w:jc w:val="center"/>
        </w:trPr>
        <w:tc>
          <w:tcPr>
            <w:tcW w:w="2086" w:type="pct"/>
            <w:tcBorders>
              <w:top w:val="nil"/>
              <w:left w:val="nil"/>
              <w:bottom w:val="nil"/>
              <w:right w:val="nil"/>
            </w:tcBorders>
            <w:shd w:val="clear" w:color="auto" w:fill="auto"/>
            <w:vAlign w:val="center"/>
            <w:hideMark/>
          </w:tcPr>
          <w:p w14:paraId="1DE599E4"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Mobiliario</w:t>
            </w:r>
          </w:p>
        </w:tc>
        <w:tc>
          <w:tcPr>
            <w:tcW w:w="728" w:type="pct"/>
            <w:tcBorders>
              <w:top w:val="nil"/>
              <w:left w:val="nil"/>
              <w:bottom w:val="nil"/>
              <w:right w:val="nil"/>
            </w:tcBorders>
            <w:shd w:val="clear" w:color="auto" w:fill="auto"/>
            <w:vAlign w:val="center"/>
            <w:hideMark/>
          </w:tcPr>
          <w:p w14:paraId="0C4D7482"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285.317,25</w:t>
            </w:r>
          </w:p>
        </w:tc>
        <w:tc>
          <w:tcPr>
            <w:tcW w:w="728" w:type="pct"/>
            <w:tcBorders>
              <w:top w:val="nil"/>
              <w:left w:val="nil"/>
              <w:bottom w:val="nil"/>
              <w:right w:val="nil"/>
            </w:tcBorders>
            <w:shd w:val="clear" w:color="auto" w:fill="auto"/>
            <w:vAlign w:val="center"/>
            <w:hideMark/>
          </w:tcPr>
          <w:p w14:paraId="127B46F1"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958,84</w:t>
            </w:r>
          </w:p>
        </w:tc>
        <w:tc>
          <w:tcPr>
            <w:tcW w:w="728" w:type="pct"/>
            <w:tcBorders>
              <w:top w:val="nil"/>
              <w:left w:val="nil"/>
              <w:bottom w:val="nil"/>
              <w:right w:val="nil"/>
            </w:tcBorders>
            <w:shd w:val="clear" w:color="auto" w:fill="auto"/>
            <w:vAlign w:val="center"/>
            <w:hideMark/>
          </w:tcPr>
          <w:p w14:paraId="1E5D495E"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23.316,58</w:t>
            </w:r>
          </w:p>
        </w:tc>
        <w:tc>
          <w:tcPr>
            <w:tcW w:w="729" w:type="pct"/>
            <w:tcBorders>
              <w:top w:val="nil"/>
              <w:left w:val="nil"/>
              <w:bottom w:val="nil"/>
              <w:right w:val="nil"/>
            </w:tcBorders>
            <w:shd w:val="clear" w:color="auto" w:fill="auto"/>
            <w:vAlign w:val="center"/>
            <w:hideMark/>
          </w:tcPr>
          <w:p w14:paraId="7BD46F5D"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309.592,67</w:t>
            </w:r>
          </w:p>
        </w:tc>
      </w:tr>
      <w:tr w:rsidR="001C41C7" w:rsidRPr="00900988" w14:paraId="60C672D5" w14:textId="77777777" w:rsidTr="00FF35D6">
        <w:trPr>
          <w:trHeight w:val="238"/>
          <w:jc w:val="center"/>
        </w:trPr>
        <w:tc>
          <w:tcPr>
            <w:tcW w:w="2086" w:type="pct"/>
            <w:tcBorders>
              <w:top w:val="nil"/>
              <w:left w:val="nil"/>
              <w:bottom w:val="nil"/>
              <w:right w:val="nil"/>
            </w:tcBorders>
            <w:shd w:val="clear" w:color="auto" w:fill="auto"/>
            <w:vAlign w:val="center"/>
            <w:hideMark/>
          </w:tcPr>
          <w:p w14:paraId="55252ACB"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Otro inmovilizado</w:t>
            </w:r>
          </w:p>
        </w:tc>
        <w:tc>
          <w:tcPr>
            <w:tcW w:w="728" w:type="pct"/>
            <w:tcBorders>
              <w:top w:val="nil"/>
              <w:left w:val="nil"/>
              <w:bottom w:val="nil"/>
              <w:right w:val="nil"/>
            </w:tcBorders>
            <w:shd w:val="clear" w:color="auto" w:fill="auto"/>
            <w:vAlign w:val="center"/>
            <w:hideMark/>
          </w:tcPr>
          <w:p w14:paraId="0DE78D35"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256.648,62</w:t>
            </w:r>
          </w:p>
        </w:tc>
        <w:tc>
          <w:tcPr>
            <w:tcW w:w="728" w:type="pct"/>
            <w:tcBorders>
              <w:top w:val="nil"/>
              <w:left w:val="nil"/>
              <w:bottom w:val="nil"/>
              <w:right w:val="nil"/>
            </w:tcBorders>
            <w:shd w:val="clear" w:color="auto" w:fill="auto"/>
            <w:vAlign w:val="center"/>
            <w:hideMark/>
          </w:tcPr>
          <w:p w14:paraId="0720ED78"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909,98</w:t>
            </w:r>
          </w:p>
        </w:tc>
        <w:tc>
          <w:tcPr>
            <w:tcW w:w="728" w:type="pct"/>
            <w:tcBorders>
              <w:top w:val="nil"/>
              <w:left w:val="nil"/>
              <w:bottom w:val="nil"/>
              <w:right w:val="nil"/>
            </w:tcBorders>
            <w:shd w:val="clear" w:color="auto" w:fill="auto"/>
            <w:vAlign w:val="center"/>
            <w:hideMark/>
          </w:tcPr>
          <w:p w14:paraId="1542C573"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 xml:space="preserve"> -</w:t>
            </w:r>
          </w:p>
        </w:tc>
        <w:tc>
          <w:tcPr>
            <w:tcW w:w="729" w:type="pct"/>
            <w:tcBorders>
              <w:top w:val="nil"/>
              <w:left w:val="nil"/>
              <w:bottom w:val="nil"/>
              <w:right w:val="nil"/>
            </w:tcBorders>
            <w:shd w:val="clear" w:color="auto" w:fill="auto"/>
            <w:vAlign w:val="center"/>
            <w:hideMark/>
          </w:tcPr>
          <w:p w14:paraId="3D9D90BD"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257.558,60</w:t>
            </w:r>
          </w:p>
        </w:tc>
      </w:tr>
      <w:tr w:rsidR="001C41C7" w:rsidRPr="00900988" w14:paraId="0D685CE6" w14:textId="77777777" w:rsidTr="00FF35D6">
        <w:trPr>
          <w:trHeight w:val="238"/>
          <w:jc w:val="center"/>
        </w:trPr>
        <w:tc>
          <w:tcPr>
            <w:tcW w:w="2086" w:type="pct"/>
            <w:tcBorders>
              <w:top w:val="nil"/>
              <w:left w:val="nil"/>
              <w:bottom w:val="nil"/>
              <w:right w:val="nil"/>
            </w:tcBorders>
            <w:shd w:val="clear" w:color="auto" w:fill="auto"/>
            <w:vAlign w:val="center"/>
            <w:hideMark/>
          </w:tcPr>
          <w:p w14:paraId="38303CDB"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Inmovilizado en curso</w:t>
            </w:r>
          </w:p>
        </w:tc>
        <w:tc>
          <w:tcPr>
            <w:tcW w:w="728" w:type="pct"/>
            <w:tcBorders>
              <w:top w:val="nil"/>
              <w:left w:val="nil"/>
              <w:bottom w:val="nil"/>
              <w:right w:val="nil"/>
            </w:tcBorders>
            <w:shd w:val="clear" w:color="auto" w:fill="auto"/>
            <w:vAlign w:val="center"/>
            <w:hideMark/>
          </w:tcPr>
          <w:p w14:paraId="2D9B717B"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21.051,07</w:t>
            </w:r>
          </w:p>
        </w:tc>
        <w:tc>
          <w:tcPr>
            <w:tcW w:w="728" w:type="pct"/>
            <w:tcBorders>
              <w:top w:val="nil"/>
              <w:left w:val="nil"/>
              <w:bottom w:val="nil"/>
              <w:right w:val="nil"/>
            </w:tcBorders>
            <w:shd w:val="clear" w:color="auto" w:fill="auto"/>
            <w:vAlign w:val="center"/>
            <w:hideMark/>
          </w:tcPr>
          <w:p w14:paraId="3F5D3FF2"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7.667,09</w:t>
            </w:r>
          </w:p>
        </w:tc>
        <w:tc>
          <w:tcPr>
            <w:tcW w:w="728" w:type="pct"/>
            <w:tcBorders>
              <w:top w:val="nil"/>
              <w:left w:val="nil"/>
              <w:bottom w:val="nil"/>
              <w:right w:val="nil"/>
            </w:tcBorders>
            <w:shd w:val="clear" w:color="auto" w:fill="auto"/>
            <w:vAlign w:val="center"/>
            <w:hideMark/>
          </w:tcPr>
          <w:p w14:paraId="776AEC98"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(24.395,68)</w:t>
            </w:r>
          </w:p>
        </w:tc>
        <w:tc>
          <w:tcPr>
            <w:tcW w:w="729" w:type="pct"/>
            <w:tcBorders>
              <w:top w:val="nil"/>
              <w:left w:val="nil"/>
              <w:bottom w:val="nil"/>
              <w:right w:val="nil"/>
            </w:tcBorders>
            <w:shd w:val="clear" w:color="auto" w:fill="auto"/>
            <w:vAlign w:val="center"/>
            <w:hideMark/>
          </w:tcPr>
          <w:p w14:paraId="5C038093"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4.322,48</w:t>
            </w:r>
          </w:p>
        </w:tc>
      </w:tr>
      <w:tr w:rsidR="001C41C7" w:rsidRPr="00900988" w14:paraId="57DB6E49" w14:textId="77777777" w:rsidTr="00FF35D6">
        <w:trPr>
          <w:trHeight w:val="283"/>
          <w:jc w:val="center"/>
        </w:trPr>
        <w:tc>
          <w:tcPr>
            <w:tcW w:w="2086" w:type="pct"/>
            <w:tcBorders>
              <w:top w:val="nil"/>
              <w:left w:val="nil"/>
              <w:bottom w:val="nil"/>
              <w:right w:val="nil"/>
            </w:tcBorders>
            <w:shd w:val="clear" w:color="auto" w:fill="auto"/>
            <w:vAlign w:val="center"/>
            <w:hideMark/>
          </w:tcPr>
          <w:p w14:paraId="77C0A0B1"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p>
        </w:tc>
        <w:tc>
          <w:tcPr>
            <w:tcW w:w="728" w:type="pct"/>
            <w:tcBorders>
              <w:top w:val="single" w:sz="4" w:space="0" w:color="auto"/>
              <w:left w:val="nil"/>
              <w:bottom w:val="single" w:sz="4" w:space="0" w:color="auto"/>
              <w:right w:val="nil"/>
            </w:tcBorders>
            <w:shd w:val="clear" w:color="auto" w:fill="auto"/>
            <w:vAlign w:val="center"/>
            <w:hideMark/>
          </w:tcPr>
          <w:p w14:paraId="33E1AEE5"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1C41C7">
              <w:rPr>
                <w:rFonts w:eastAsia="Times New Roman"/>
                <w:b/>
                <w:bCs/>
                <w:sz w:val="18"/>
                <w:szCs w:val="18"/>
                <w:bdr w:val="none" w:sz="0" w:space="0" w:color="auto"/>
                <w:lang w:eastAsia="es-ES"/>
              </w:rPr>
              <w:t>1.129.611,80</w:t>
            </w:r>
          </w:p>
        </w:tc>
        <w:tc>
          <w:tcPr>
            <w:tcW w:w="728" w:type="pct"/>
            <w:tcBorders>
              <w:top w:val="single" w:sz="4" w:space="0" w:color="auto"/>
              <w:left w:val="nil"/>
              <w:bottom w:val="single" w:sz="4" w:space="0" w:color="auto"/>
              <w:right w:val="nil"/>
            </w:tcBorders>
            <w:shd w:val="clear" w:color="auto" w:fill="auto"/>
            <w:vAlign w:val="center"/>
            <w:hideMark/>
          </w:tcPr>
          <w:p w14:paraId="73FF661F"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1C41C7">
              <w:rPr>
                <w:rFonts w:eastAsia="Times New Roman"/>
                <w:b/>
                <w:bCs/>
                <w:sz w:val="18"/>
                <w:szCs w:val="18"/>
                <w:bdr w:val="none" w:sz="0" w:space="0" w:color="auto"/>
                <w:lang w:eastAsia="es-ES"/>
              </w:rPr>
              <w:t>9.535,91</w:t>
            </w:r>
          </w:p>
        </w:tc>
        <w:tc>
          <w:tcPr>
            <w:tcW w:w="728" w:type="pct"/>
            <w:tcBorders>
              <w:top w:val="single" w:sz="4" w:space="0" w:color="auto"/>
              <w:left w:val="nil"/>
              <w:bottom w:val="single" w:sz="4" w:space="0" w:color="auto"/>
              <w:right w:val="nil"/>
            </w:tcBorders>
            <w:shd w:val="clear" w:color="auto" w:fill="auto"/>
            <w:vAlign w:val="center"/>
            <w:hideMark/>
          </w:tcPr>
          <w:p w14:paraId="27FDB8C9"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1C41C7">
              <w:rPr>
                <w:rFonts w:eastAsia="Times New Roman"/>
                <w:b/>
                <w:bCs/>
                <w:sz w:val="18"/>
                <w:szCs w:val="18"/>
                <w:bdr w:val="none" w:sz="0" w:space="0" w:color="auto"/>
                <w:lang w:eastAsia="es-ES"/>
              </w:rPr>
              <w:t xml:space="preserve"> -</w:t>
            </w:r>
          </w:p>
        </w:tc>
        <w:tc>
          <w:tcPr>
            <w:tcW w:w="729" w:type="pct"/>
            <w:tcBorders>
              <w:top w:val="single" w:sz="4" w:space="0" w:color="auto"/>
              <w:left w:val="nil"/>
              <w:bottom w:val="single" w:sz="4" w:space="0" w:color="auto"/>
              <w:right w:val="nil"/>
            </w:tcBorders>
            <w:shd w:val="clear" w:color="auto" w:fill="auto"/>
            <w:vAlign w:val="center"/>
            <w:hideMark/>
          </w:tcPr>
          <w:p w14:paraId="4BA6C4DF"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1C41C7">
              <w:rPr>
                <w:rFonts w:eastAsia="Times New Roman"/>
                <w:b/>
                <w:bCs/>
                <w:sz w:val="18"/>
                <w:szCs w:val="18"/>
                <w:bdr w:val="none" w:sz="0" w:space="0" w:color="auto"/>
                <w:lang w:eastAsia="es-ES"/>
              </w:rPr>
              <w:t>1.139.147,71</w:t>
            </w:r>
          </w:p>
        </w:tc>
      </w:tr>
      <w:tr w:rsidR="001C41C7" w:rsidRPr="00900988" w14:paraId="49471FD5" w14:textId="77777777" w:rsidTr="00FF35D6">
        <w:trPr>
          <w:trHeight w:val="238"/>
          <w:jc w:val="center"/>
        </w:trPr>
        <w:tc>
          <w:tcPr>
            <w:tcW w:w="2086" w:type="pct"/>
            <w:tcBorders>
              <w:top w:val="nil"/>
              <w:left w:val="nil"/>
              <w:bottom w:val="nil"/>
              <w:right w:val="nil"/>
            </w:tcBorders>
            <w:shd w:val="clear" w:color="auto" w:fill="auto"/>
            <w:vAlign w:val="center"/>
            <w:hideMark/>
          </w:tcPr>
          <w:p w14:paraId="1822C71B"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1C41C7">
              <w:rPr>
                <w:rFonts w:eastAsia="Times New Roman"/>
                <w:b/>
                <w:bCs/>
                <w:sz w:val="18"/>
                <w:szCs w:val="18"/>
                <w:bdr w:val="none" w:sz="0" w:space="0" w:color="auto"/>
                <w:lang w:eastAsia="es-ES"/>
              </w:rPr>
              <w:t>Amortización</w:t>
            </w:r>
          </w:p>
        </w:tc>
        <w:tc>
          <w:tcPr>
            <w:tcW w:w="728" w:type="pct"/>
            <w:tcBorders>
              <w:top w:val="nil"/>
              <w:left w:val="nil"/>
              <w:bottom w:val="nil"/>
              <w:right w:val="nil"/>
            </w:tcBorders>
            <w:shd w:val="clear" w:color="auto" w:fill="auto"/>
            <w:vAlign w:val="center"/>
            <w:hideMark/>
          </w:tcPr>
          <w:p w14:paraId="093D0F75"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728" w:type="pct"/>
            <w:tcBorders>
              <w:top w:val="nil"/>
              <w:left w:val="nil"/>
              <w:bottom w:val="nil"/>
              <w:right w:val="nil"/>
            </w:tcBorders>
            <w:shd w:val="clear" w:color="auto" w:fill="auto"/>
            <w:vAlign w:val="center"/>
            <w:hideMark/>
          </w:tcPr>
          <w:p w14:paraId="0686BB46"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p>
        </w:tc>
        <w:tc>
          <w:tcPr>
            <w:tcW w:w="728" w:type="pct"/>
            <w:tcBorders>
              <w:top w:val="nil"/>
              <w:left w:val="nil"/>
              <w:bottom w:val="nil"/>
              <w:right w:val="nil"/>
            </w:tcBorders>
            <w:shd w:val="clear" w:color="auto" w:fill="auto"/>
            <w:vAlign w:val="center"/>
            <w:hideMark/>
          </w:tcPr>
          <w:p w14:paraId="79CB0FA5"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p>
        </w:tc>
        <w:tc>
          <w:tcPr>
            <w:tcW w:w="729" w:type="pct"/>
            <w:tcBorders>
              <w:top w:val="nil"/>
              <w:left w:val="nil"/>
              <w:bottom w:val="nil"/>
              <w:right w:val="nil"/>
            </w:tcBorders>
            <w:shd w:val="clear" w:color="auto" w:fill="auto"/>
            <w:vAlign w:val="center"/>
            <w:hideMark/>
          </w:tcPr>
          <w:p w14:paraId="7E241503"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p>
        </w:tc>
      </w:tr>
      <w:tr w:rsidR="001C41C7" w:rsidRPr="00900988" w14:paraId="361F8E01" w14:textId="77777777" w:rsidTr="00FF35D6">
        <w:trPr>
          <w:trHeight w:val="238"/>
          <w:jc w:val="center"/>
        </w:trPr>
        <w:tc>
          <w:tcPr>
            <w:tcW w:w="2086" w:type="pct"/>
            <w:tcBorders>
              <w:top w:val="nil"/>
              <w:left w:val="nil"/>
              <w:bottom w:val="nil"/>
              <w:right w:val="nil"/>
            </w:tcBorders>
            <w:shd w:val="clear" w:color="auto" w:fill="auto"/>
            <w:vAlign w:val="center"/>
            <w:hideMark/>
          </w:tcPr>
          <w:p w14:paraId="489CFF14"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Construcciones</w:t>
            </w:r>
          </w:p>
        </w:tc>
        <w:tc>
          <w:tcPr>
            <w:tcW w:w="728" w:type="pct"/>
            <w:tcBorders>
              <w:top w:val="nil"/>
              <w:left w:val="nil"/>
              <w:bottom w:val="nil"/>
              <w:right w:val="nil"/>
            </w:tcBorders>
            <w:shd w:val="clear" w:color="auto" w:fill="auto"/>
            <w:vAlign w:val="center"/>
            <w:hideMark/>
          </w:tcPr>
          <w:p w14:paraId="49F26DCB"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(207.646,63)</w:t>
            </w:r>
          </w:p>
        </w:tc>
        <w:tc>
          <w:tcPr>
            <w:tcW w:w="728" w:type="pct"/>
            <w:tcBorders>
              <w:top w:val="nil"/>
              <w:left w:val="nil"/>
              <w:bottom w:val="nil"/>
              <w:right w:val="nil"/>
            </w:tcBorders>
            <w:shd w:val="clear" w:color="auto" w:fill="auto"/>
            <w:vAlign w:val="center"/>
            <w:hideMark/>
          </w:tcPr>
          <w:p w14:paraId="746AE22E"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(18.090,98)</w:t>
            </w:r>
          </w:p>
        </w:tc>
        <w:tc>
          <w:tcPr>
            <w:tcW w:w="728" w:type="pct"/>
            <w:tcBorders>
              <w:top w:val="nil"/>
              <w:left w:val="nil"/>
              <w:bottom w:val="nil"/>
              <w:right w:val="nil"/>
            </w:tcBorders>
            <w:shd w:val="clear" w:color="auto" w:fill="auto"/>
            <w:vAlign w:val="center"/>
            <w:hideMark/>
          </w:tcPr>
          <w:p w14:paraId="4373EBF5"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 xml:space="preserve"> -</w:t>
            </w:r>
          </w:p>
        </w:tc>
        <w:tc>
          <w:tcPr>
            <w:tcW w:w="729" w:type="pct"/>
            <w:tcBorders>
              <w:top w:val="nil"/>
              <w:left w:val="nil"/>
              <w:bottom w:val="nil"/>
              <w:right w:val="nil"/>
            </w:tcBorders>
            <w:shd w:val="clear" w:color="auto" w:fill="auto"/>
            <w:vAlign w:val="center"/>
            <w:hideMark/>
          </w:tcPr>
          <w:p w14:paraId="512FE98C"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(225.737,61)</w:t>
            </w:r>
          </w:p>
        </w:tc>
      </w:tr>
      <w:tr w:rsidR="001C41C7" w:rsidRPr="00900988" w14:paraId="30BDC496" w14:textId="77777777" w:rsidTr="00FF35D6">
        <w:trPr>
          <w:trHeight w:val="238"/>
          <w:jc w:val="center"/>
        </w:trPr>
        <w:tc>
          <w:tcPr>
            <w:tcW w:w="2086" w:type="pct"/>
            <w:tcBorders>
              <w:top w:val="nil"/>
              <w:left w:val="nil"/>
              <w:bottom w:val="nil"/>
              <w:right w:val="nil"/>
            </w:tcBorders>
            <w:shd w:val="clear" w:color="auto" w:fill="auto"/>
            <w:vAlign w:val="center"/>
            <w:hideMark/>
          </w:tcPr>
          <w:p w14:paraId="739796A6"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Instalaciones técnicas</w:t>
            </w:r>
          </w:p>
        </w:tc>
        <w:tc>
          <w:tcPr>
            <w:tcW w:w="728" w:type="pct"/>
            <w:tcBorders>
              <w:top w:val="nil"/>
              <w:left w:val="nil"/>
              <w:bottom w:val="nil"/>
              <w:right w:val="nil"/>
            </w:tcBorders>
            <w:shd w:val="clear" w:color="auto" w:fill="auto"/>
            <w:vAlign w:val="center"/>
            <w:hideMark/>
          </w:tcPr>
          <w:p w14:paraId="197B59CA"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(23.757,68)</w:t>
            </w:r>
          </w:p>
        </w:tc>
        <w:tc>
          <w:tcPr>
            <w:tcW w:w="728" w:type="pct"/>
            <w:tcBorders>
              <w:top w:val="nil"/>
              <w:left w:val="nil"/>
              <w:bottom w:val="nil"/>
              <w:right w:val="nil"/>
            </w:tcBorders>
            <w:shd w:val="clear" w:color="auto" w:fill="auto"/>
            <w:vAlign w:val="center"/>
            <w:hideMark/>
          </w:tcPr>
          <w:p w14:paraId="2C305B0C"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(2.634,68)</w:t>
            </w:r>
          </w:p>
        </w:tc>
        <w:tc>
          <w:tcPr>
            <w:tcW w:w="728" w:type="pct"/>
            <w:tcBorders>
              <w:top w:val="nil"/>
              <w:left w:val="nil"/>
              <w:bottom w:val="nil"/>
              <w:right w:val="nil"/>
            </w:tcBorders>
            <w:shd w:val="clear" w:color="auto" w:fill="auto"/>
            <w:vAlign w:val="center"/>
            <w:hideMark/>
          </w:tcPr>
          <w:p w14:paraId="5621ABD5"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 xml:space="preserve"> -</w:t>
            </w:r>
          </w:p>
        </w:tc>
        <w:tc>
          <w:tcPr>
            <w:tcW w:w="729" w:type="pct"/>
            <w:tcBorders>
              <w:top w:val="nil"/>
              <w:left w:val="nil"/>
              <w:bottom w:val="nil"/>
              <w:right w:val="nil"/>
            </w:tcBorders>
            <w:shd w:val="clear" w:color="auto" w:fill="auto"/>
            <w:vAlign w:val="center"/>
            <w:hideMark/>
          </w:tcPr>
          <w:p w14:paraId="64C9E75D"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(26.392,36)</w:t>
            </w:r>
          </w:p>
        </w:tc>
      </w:tr>
      <w:tr w:rsidR="001C41C7" w:rsidRPr="00900988" w14:paraId="57182D2D" w14:textId="77777777" w:rsidTr="00FF35D6">
        <w:trPr>
          <w:trHeight w:val="238"/>
          <w:jc w:val="center"/>
        </w:trPr>
        <w:tc>
          <w:tcPr>
            <w:tcW w:w="2086" w:type="pct"/>
            <w:tcBorders>
              <w:top w:val="nil"/>
              <w:left w:val="nil"/>
              <w:bottom w:val="nil"/>
              <w:right w:val="nil"/>
            </w:tcBorders>
            <w:shd w:val="clear" w:color="auto" w:fill="auto"/>
            <w:vAlign w:val="center"/>
            <w:hideMark/>
          </w:tcPr>
          <w:p w14:paraId="7B2B743F"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Mobiliario</w:t>
            </w:r>
          </w:p>
        </w:tc>
        <w:tc>
          <w:tcPr>
            <w:tcW w:w="728" w:type="pct"/>
            <w:tcBorders>
              <w:top w:val="nil"/>
              <w:left w:val="nil"/>
              <w:bottom w:val="nil"/>
              <w:right w:val="nil"/>
            </w:tcBorders>
            <w:shd w:val="clear" w:color="auto" w:fill="auto"/>
            <w:vAlign w:val="center"/>
            <w:hideMark/>
          </w:tcPr>
          <w:p w14:paraId="4D179936"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(254.659,79)</w:t>
            </w:r>
          </w:p>
        </w:tc>
        <w:tc>
          <w:tcPr>
            <w:tcW w:w="728" w:type="pct"/>
            <w:tcBorders>
              <w:top w:val="nil"/>
              <w:left w:val="nil"/>
              <w:bottom w:val="nil"/>
              <w:right w:val="nil"/>
            </w:tcBorders>
            <w:shd w:val="clear" w:color="auto" w:fill="auto"/>
            <w:vAlign w:val="center"/>
            <w:hideMark/>
          </w:tcPr>
          <w:p w14:paraId="1D5D7E11"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(19.875,65)</w:t>
            </w:r>
          </w:p>
        </w:tc>
        <w:tc>
          <w:tcPr>
            <w:tcW w:w="728" w:type="pct"/>
            <w:tcBorders>
              <w:top w:val="nil"/>
              <w:left w:val="nil"/>
              <w:bottom w:val="nil"/>
              <w:right w:val="nil"/>
            </w:tcBorders>
            <w:shd w:val="clear" w:color="auto" w:fill="auto"/>
            <w:vAlign w:val="center"/>
            <w:hideMark/>
          </w:tcPr>
          <w:p w14:paraId="26BA16AA"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 xml:space="preserve"> -</w:t>
            </w:r>
          </w:p>
        </w:tc>
        <w:tc>
          <w:tcPr>
            <w:tcW w:w="729" w:type="pct"/>
            <w:tcBorders>
              <w:top w:val="nil"/>
              <w:left w:val="nil"/>
              <w:bottom w:val="nil"/>
              <w:right w:val="nil"/>
            </w:tcBorders>
            <w:shd w:val="clear" w:color="auto" w:fill="auto"/>
            <w:vAlign w:val="center"/>
            <w:hideMark/>
          </w:tcPr>
          <w:p w14:paraId="4C042BFC"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(274.535,44)</w:t>
            </w:r>
          </w:p>
        </w:tc>
      </w:tr>
      <w:tr w:rsidR="001C41C7" w:rsidRPr="00900988" w14:paraId="083BFE90" w14:textId="77777777" w:rsidTr="00FF35D6">
        <w:trPr>
          <w:trHeight w:val="238"/>
          <w:jc w:val="center"/>
        </w:trPr>
        <w:tc>
          <w:tcPr>
            <w:tcW w:w="2086" w:type="pct"/>
            <w:tcBorders>
              <w:top w:val="nil"/>
              <w:left w:val="nil"/>
              <w:bottom w:val="nil"/>
              <w:right w:val="nil"/>
            </w:tcBorders>
            <w:shd w:val="clear" w:color="auto" w:fill="auto"/>
            <w:vAlign w:val="center"/>
            <w:hideMark/>
          </w:tcPr>
          <w:p w14:paraId="5589EDE4"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Otro inmovilizado</w:t>
            </w:r>
          </w:p>
        </w:tc>
        <w:tc>
          <w:tcPr>
            <w:tcW w:w="728" w:type="pct"/>
            <w:tcBorders>
              <w:top w:val="nil"/>
              <w:left w:val="nil"/>
              <w:bottom w:val="nil"/>
              <w:right w:val="nil"/>
            </w:tcBorders>
            <w:shd w:val="clear" w:color="auto" w:fill="auto"/>
            <w:vAlign w:val="center"/>
            <w:hideMark/>
          </w:tcPr>
          <w:p w14:paraId="277815CD"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(226.008,30)</w:t>
            </w:r>
          </w:p>
        </w:tc>
        <w:tc>
          <w:tcPr>
            <w:tcW w:w="728" w:type="pct"/>
            <w:tcBorders>
              <w:top w:val="nil"/>
              <w:left w:val="nil"/>
              <w:bottom w:val="nil"/>
              <w:right w:val="nil"/>
            </w:tcBorders>
            <w:shd w:val="clear" w:color="auto" w:fill="auto"/>
            <w:vAlign w:val="center"/>
            <w:hideMark/>
          </w:tcPr>
          <w:p w14:paraId="44E9285F"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(16.657,13)</w:t>
            </w:r>
          </w:p>
        </w:tc>
        <w:tc>
          <w:tcPr>
            <w:tcW w:w="728" w:type="pct"/>
            <w:tcBorders>
              <w:top w:val="nil"/>
              <w:left w:val="nil"/>
              <w:bottom w:val="nil"/>
              <w:right w:val="nil"/>
            </w:tcBorders>
            <w:shd w:val="clear" w:color="auto" w:fill="auto"/>
            <w:vAlign w:val="center"/>
            <w:hideMark/>
          </w:tcPr>
          <w:p w14:paraId="3FBEA89E"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 xml:space="preserve"> -</w:t>
            </w:r>
          </w:p>
        </w:tc>
        <w:tc>
          <w:tcPr>
            <w:tcW w:w="729" w:type="pct"/>
            <w:tcBorders>
              <w:top w:val="nil"/>
              <w:left w:val="nil"/>
              <w:bottom w:val="nil"/>
              <w:right w:val="nil"/>
            </w:tcBorders>
            <w:shd w:val="clear" w:color="auto" w:fill="auto"/>
            <w:vAlign w:val="center"/>
            <w:hideMark/>
          </w:tcPr>
          <w:p w14:paraId="105782A7"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(242.665,43)</w:t>
            </w:r>
          </w:p>
        </w:tc>
      </w:tr>
      <w:tr w:rsidR="001C41C7" w:rsidRPr="00900988" w14:paraId="3F9E8E9A" w14:textId="77777777" w:rsidTr="00FF35D6">
        <w:trPr>
          <w:trHeight w:val="283"/>
          <w:jc w:val="center"/>
        </w:trPr>
        <w:tc>
          <w:tcPr>
            <w:tcW w:w="2086" w:type="pct"/>
            <w:tcBorders>
              <w:top w:val="nil"/>
              <w:left w:val="nil"/>
              <w:bottom w:val="nil"/>
              <w:right w:val="nil"/>
            </w:tcBorders>
            <w:shd w:val="clear" w:color="auto" w:fill="auto"/>
            <w:vAlign w:val="center"/>
            <w:hideMark/>
          </w:tcPr>
          <w:p w14:paraId="00A18F24"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p>
        </w:tc>
        <w:tc>
          <w:tcPr>
            <w:tcW w:w="728" w:type="pct"/>
            <w:tcBorders>
              <w:top w:val="single" w:sz="4" w:space="0" w:color="auto"/>
              <w:left w:val="nil"/>
              <w:bottom w:val="nil"/>
              <w:right w:val="nil"/>
            </w:tcBorders>
            <w:shd w:val="clear" w:color="auto" w:fill="auto"/>
            <w:vAlign w:val="center"/>
            <w:hideMark/>
          </w:tcPr>
          <w:p w14:paraId="50FD0DBA"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1C41C7">
              <w:rPr>
                <w:rFonts w:eastAsia="Times New Roman"/>
                <w:b/>
                <w:bCs/>
                <w:sz w:val="18"/>
                <w:szCs w:val="18"/>
                <w:bdr w:val="none" w:sz="0" w:space="0" w:color="auto"/>
                <w:lang w:eastAsia="es-ES"/>
              </w:rPr>
              <w:t>(712.072,40)</w:t>
            </w:r>
          </w:p>
        </w:tc>
        <w:tc>
          <w:tcPr>
            <w:tcW w:w="728" w:type="pct"/>
            <w:tcBorders>
              <w:top w:val="single" w:sz="4" w:space="0" w:color="auto"/>
              <w:left w:val="nil"/>
              <w:bottom w:val="single" w:sz="4" w:space="0" w:color="auto"/>
              <w:right w:val="nil"/>
            </w:tcBorders>
            <w:shd w:val="clear" w:color="auto" w:fill="auto"/>
            <w:vAlign w:val="center"/>
            <w:hideMark/>
          </w:tcPr>
          <w:p w14:paraId="17047483"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1C41C7">
              <w:rPr>
                <w:rFonts w:eastAsia="Times New Roman"/>
                <w:b/>
                <w:bCs/>
                <w:sz w:val="18"/>
                <w:szCs w:val="18"/>
                <w:bdr w:val="none" w:sz="0" w:space="0" w:color="auto"/>
                <w:lang w:eastAsia="es-ES"/>
              </w:rPr>
              <w:t>(57.258,44)</w:t>
            </w:r>
          </w:p>
        </w:tc>
        <w:tc>
          <w:tcPr>
            <w:tcW w:w="728" w:type="pct"/>
            <w:tcBorders>
              <w:top w:val="single" w:sz="4" w:space="0" w:color="auto"/>
              <w:left w:val="nil"/>
              <w:bottom w:val="single" w:sz="4" w:space="0" w:color="auto"/>
              <w:right w:val="nil"/>
            </w:tcBorders>
            <w:shd w:val="clear" w:color="auto" w:fill="auto"/>
            <w:vAlign w:val="center"/>
            <w:hideMark/>
          </w:tcPr>
          <w:p w14:paraId="20F67FA9"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C41C7">
              <w:rPr>
                <w:rFonts w:eastAsia="Times New Roman"/>
                <w:sz w:val="18"/>
                <w:szCs w:val="18"/>
                <w:bdr w:val="none" w:sz="0" w:space="0" w:color="auto"/>
                <w:lang w:eastAsia="es-ES"/>
              </w:rPr>
              <w:t xml:space="preserve"> -</w:t>
            </w:r>
          </w:p>
        </w:tc>
        <w:tc>
          <w:tcPr>
            <w:tcW w:w="729" w:type="pct"/>
            <w:tcBorders>
              <w:top w:val="single" w:sz="4" w:space="0" w:color="auto"/>
              <w:left w:val="nil"/>
              <w:bottom w:val="single" w:sz="4" w:space="0" w:color="auto"/>
              <w:right w:val="nil"/>
            </w:tcBorders>
            <w:shd w:val="clear" w:color="auto" w:fill="auto"/>
            <w:vAlign w:val="center"/>
            <w:hideMark/>
          </w:tcPr>
          <w:p w14:paraId="2B8C4778"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1C41C7">
              <w:rPr>
                <w:rFonts w:eastAsia="Times New Roman"/>
                <w:b/>
                <w:bCs/>
                <w:sz w:val="18"/>
                <w:szCs w:val="18"/>
                <w:bdr w:val="none" w:sz="0" w:space="0" w:color="auto"/>
                <w:lang w:eastAsia="es-ES"/>
              </w:rPr>
              <w:t>(769.330,84)</w:t>
            </w:r>
          </w:p>
        </w:tc>
      </w:tr>
      <w:tr w:rsidR="001C41C7" w:rsidRPr="00900988" w14:paraId="250B3E54" w14:textId="77777777" w:rsidTr="00FF35D6">
        <w:trPr>
          <w:trHeight w:val="283"/>
          <w:jc w:val="center"/>
        </w:trPr>
        <w:tc>
          <w:tcPr>
            <w:tcW w:w="2086" w:type="pct"/>
            <w:tcBorders>
              <w:top w:val="single" w:sz="4" w:space="0" w:color="auto"/>
              <w:left w:val="nil"/>
              <w:bottom w:val="single" w:sz="4" w:space="0" w:color="auto"/>
              <w:right w:val="nil"/>
            </w:tcBorders>
            <w:shd w:val="clear" w:color="auto" w:fill="auto"/>
            <w:vAlign w:val="center"/>
            <w:hideMark/>
          </w:tcPr>
          <w:p w14:paraId="40D172C7"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1C41C7">
              <w:rPr>
                <w:rFonts w:eastAsia="Times New Roman"/>
                <w:b/>
                <w:bCs/>
                <w:sz w:val="18"/>
                <w:szCs w:val="18"/>
                <w:bdr w:val="none" w:sz="0" w:space="0" w:color="auto"/>
                <w:lang w:eastAsia="es-ES"/>
              </w:rPr>
              <w:t>Valor neto contable</w:t>
            </w:r>
          </w:p>
        </w:tc>
        <w:tc>
          <w:tcPr>
            <w:tcW w:w="728" w:type="pct"/>
            <w:tcBorders>
              <w:top w:val="single" w:sz="4" w:space="0" w:color="auto"/>
              <w:left w:val="nil"/>
              <w:bottom w:val="single" w:sz="4" w:space="0" w:color="auto"/>
              <w:right w:val="nil"/>
            </w:tcBorders>
            <w:shd w:val="clear" w:color="auto" w:fill="auto"/>
            <w:vAlign w:val="center"/>
            <w:hideMark/>
          </w:tcPr>
          <w:p w14:paraId="3E2D050C"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1C41C7">
              <w:rPr>
                <w:rFonts w:eastAsia="Times New Roman"/>
                <w:b/>
                <w:bCs/>
                <w:sz w:val="18"/>
                <w:szCs w:val="18"/>
                <w:bdr w:val="none" w:sz="0" w:space="0" w:color="auto"/>
                <w:lang w:eastAsia="es-ES"/>
              </w:rPr>
              <w:t>417.539,40</w:t>
            </w:r>
          </w:p>
        </w:tc>
        <w:tc>
          <w:tcPr>
            <w:tcW w:w="728" w:type="pct"/>
            <w:tcBorders>
              <w:top w:val="nil"/>
              <w:left w:val="nil"/>
              <w:bottom w:val="single" w:sz="4" w:space="0" w:color="auto"/>
              <w:right w:val="nil"/>
            </w:tcBorders>
            <w:shd w:val="clear" w:color="auto" w:fill="auto"/>
            <w:vAlign w:val="center"/>
            <w:hideMark/>
          </w:tcPr>
          <w:p w14:paraId="60278582"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1C41C7">
              <w:rPr>
                <w:rFonts w:eastAsia="Times New Roman"/>
                <w:b/>
                <w:bCs/>
                <w:sz w:val="18"/>
                <w:szCs w:val="18"/>
                <w:bdr w:val="none" w:sz="0" w:space="0" w:color="auto"/>
                <w:lang w:eastAsia="es-ES"/>
              </w:rPr>
              <w:t> </w:t>
            </w:r>
          </w:p>
        </w:tc>
        <w:tc>
          <w:tcPr>
            <w:tcW w:w="728" w:type="pct"/>
            <w:tcBorders>
              <w:top w:val="nil"/>
              <w:left w:val="nil"/>
              <w:bottom w:val="single" w:sz="4" w:space="0" w:color="auto"/>
              <w:right w:val="nil"/>
            </w:tcBorders>
            <w:shd w:val="clear" w:color="auto" w:fill="auto"/>
            <w:vAlign w:val="center"/>
            <w:hideMark/>
          </w:tcPr>
          <w:p w14:paraId="6739B87F"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1C41C7">
              <w:rPr>
                <w:rFonts w:eastAsia="Times New Roman"/>
                <w:b/>
                <w:bCs/>
                <w:sz w:val="18"/>
                <w:szCs w:val="18"/>
                <w:bdr w:val="none" w:sz="0" w:space="0" w:color="auto"/>
                <w:lang w:eastAsia="es-ES"/>
              </w:rPr>
              <w:t> </w:t>
            </w:r>
          </w:p>
        </w:tc>
        <w:tc>
          <w:tcPr>
            <w:tcW w:w="729" w:type="pct"/>
            <w:tcBorders>
              <w:top w:val="nil"/>
              <w:left w:val="nil"/>
              <w:bottom w:val="single" w:sz="4" w:space="0" w:color="auto"/>
              <w:right w:val="nil"/>
            </w:tcBorders>
            <w:shd w:val="clear" w:color="auto" w:fill="auto"/>
            <w:vAlign w:val="center"/>
            <w:hideMark/>
          </w:tcPr>
          <w:p w14:paraId="2C67CC09" w14:textId="77777777" w:rsidR="001C41C7" w:rsidRPr="001C41C7" w:rsidRDefault="001C41C7" w:rsidP="001C41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1C41C7">
              <w:rPr>
                <w:rFonts w:eastAsia="Times New Roman"/>
                <w:b/>
                <w:bCs/>
                <w:sz w:val="18"/>
                <w:szCs w:val="18"/>
                <w:bdr w:val="none" w:sz="0" w:space="0" w:color="auto"/>
                <w:lang w:eastAsia="es-ES"/>
              </w:rPr>
              <w:t>369.816,87</w:t>
            </w:r>
          </w:p>
        </w:tc>
      </w:tr>
    </w:tbl>
    <w:p w14:paraId="3B62D3D0" w14:textId="77777777" w:rsidR="006220A2" w:rsidRDefault="006220A2" w:rsidP="00900988">
      <w:pPr>
        <w:keepNext/>
        <w:keepLines/>
        <w:widowControl w:val="0"/>
        <w:spacing w:before="200" w:after="120"/>
        <w:jc w:val="both"/>
        <w:rPr>
          <w:sz w:val="20"/>
          <w:szCs w:val="22"/>
        </w:rPr>
      </w:pPr>
      <w:r w:rsidRPr="00BA60DB">
        <w:rPr>
          <w:sz w:val="20"/>
          <w:szCs w:val="22"/>
        </w:rPr>
        <w:t>El detalle y movimiento de las partidas incluidas en “Inmovilizado material” en el ejercicio 201</w:t>
      </w:r>
      <w:r w:rsidR="00D36170">
        <w:rPr>
          <w:sz w:val="20"/>
          <w:szCs w:val="22"/>
        </w:rPr>
        <w:t>7</w:t>
      </w:r>
      <w:r>
        <w:rPr>
          <w:sz w:val="20"/>
          <w:szCs w:val="22"/>
        </w:rPr>
        <w:t xml:space="preserve"> </w:t>
      </w:r>
      <w:r w:rsidRPr="00BA60DB">
        <w:rPr>
          <w:sz w:val="20"/>
          <w:szCs w:val="22"/>
        </w:rPr>
        <w:t>es el siguiente:</w:t>
      </w:r>
    </w:p>
    <w:tbl>
      <w:tblPr>
        <w:tblW w:w="5000" w:type="pct"/>
        <w:tblCellMar>
          <w:left w:w="70" w:type="dxa"/>
          <w:right w:w="70" w:type="dxa"/>
        </w:tblCellMar>
        <w:tblLook w:val="04A0" w:firstRow="1" w:lastRow="0" w:firstColumn="1" w:lastColumn="0" w:noHBand="0" w:noVBand="1"/>
      </w:tblPr>
      <w:tblGrid>
        <w:gridCol w:w="3725"/>
        <w:gridCol w:w="1299"/>
        <w:gridCol w:w="1299"/>
        <w:gridCol w:w="1299"/>
        <w:gridCol w:w="1299"/>
      </w:tblGrid>
      <w:tr w:rsidR="00D36170" w:rsidRPr="00D36170" w14:paraId="3027B5E7" w14:textId="77777777" w:rsidTr="00900988">
        <w:trPr>
          <w:trHeight w:val="20"/>
        </w:trPr>
        <w:tc>
          <w:tcPr>
            <w:tcW w:w="2088" w:type="pct"/>
            <w:tcBorders>
              <w:top w:val="single" w:sz="4" w:space="0" w:color="auto"/>
              <w:left w:val="nil"/>
              <w:bottom w:val="nil"/>
              <w:right w:val="nil"/>
            </w:tcBorders>
            <w:shd w:val="clear" w:color="auto" w:fill="auto"/>
            <w:vAlign w:val="bottom"/>
            <w:hideMark/>
          </w:tcPr>
          <w:p w14:paraId="5964AE59" w14:textId="77777777" w:rsidR="00D36170" w:rsidRPr="00D36170" w:rsidRDefault="00D36170" w:rsidP="0090098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D36170">
              <w:rPr>
                <w:rFonts w:eastAsia="Times New Roman"/>
                <w:sz w:val="18"/>
                <w:szCs w:val="18"/>
                <w:bdr w:val="none" w:sz="0" w:space="0" w:color="auto"/>
                <w:lang w:eastAsia="es-ES"/>
              </w:rPr>
              <w:t> </w:t>
            </w:r>
          </w:p>
        </w:tc>
        <w:tc>
          <w:tcPr>
            <w:tcW w:w="2912" w:type="pct"/>
            <w:gridSpan w:val="4"/>
            <w:tcBorders>
              <w:top w:val="single" w:sz="4" w:space="0" w:color="auto"/>
              <w:left w:val="nil"/>
              <w:bottom w:val="single" w:sz="4" w:space="0" w:color="auto"/>
              <w:right w:val="nil"/>
            </w:tcBorders>
            <w:shd w:val="clear" w:color="auto" w:fill="auto"/>
            <w:vAlign w:val="bottom"/>
            <w:hideMark/>
          </w:tcPr>
          <w:p w14:paraId="068179BB" w14:textId="77777777" w:rsidR="00D36170" w:rsidRPr="00D36170" w:rsidRDefault="00D36170" w:rsidP="0090098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D36170">
              <w:rPr>
                <w:rFonts w:eastAsia="Times New Roman"/>
                <w:b/>
                <w:bCs/>
                <w:sz w:val="18"/>
                <w:szCs w:val="18"/>
                <w:bdr w:val="none" w:sz="0" w:space="0" w:color="auto"/>
                <w:lang w:eastAsia="es-ES"/>
              </w:rPr>
              <w:t>Euros</w:t>
            </w:r>
          </w:p>
        </w:tc>
      </w:tr>
      <w:tr w:rsidR="00D36170" w:rsidRPr="00D36170" w14:paraId="7D5CC025" w14:textId="77777777" w:rsidTr="00900988">
        <w:trPr>
          <w:trHeight w:val="20"/>
        </w:trPr>
        <w:tc>
          <w:tcPr>
            <w:tcW w:w="2088" w:type="pct"/>
            <w:tcBorders>
              <w:top w:val="nil"/>
              <w:left w:val="nil"/>
              <w:bottom w:val="single" w:sz="4" w:space="0" w:color="auto"/>
              <w:right w:val="nil"/>
            </w:tcBorders>
            <w:shd w:val="clear" w:color="auto" w:fill="auto"/>
            <w:vAlign w:val="bottom"/>
            <w:hideMark/>
          </w:tcPr>
          <w:p w14:paraId="7E7A36E1" w14:textId="77777777" w:rsidR="00D36170" w:rsidRPr="00D36170" w:rsidRDefault="00D36170" w:rsidP="0090098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D36170">
              <w:rPr>
                <w:rFonts w:eastAsia="Times New Roman"/>
                <w:sz w:val="18"/>
                <w:szCs w:val="18"/>
                <w:bdr w:val="none" w:sz="0" w:space="0" w:color="auto"/>
                <w:lang w:eastAsia="es-ES"/>
              </w:rPr>
              <w:t> </w:t>
            </w:r>
          </w:p>
        </w:tc>
        <w:tc>
          <w:tcPr>
            <w:tcW w:w="728" w:type="pct"/>
            <w:tcBorders>
              <w:top w:val="nil"/>
              <w:left w:val="nil"/>
              <w:bottom w:val="single" w:sz="4" w:space="0" w:color="auto"/>
              <w:right w:val="nil"/>
            </w:tcBorders>
            <w:shd w:val="clear" w:color="auto" w:fill="auto"/>
            <w:vAlign w:val="bottom"/>
            <w:hideMark/>
          </w:tcPr>
          <w:p w14:paraId="31985F62" w14:textId="77777777" w:rsidR="00D36170" w:rsidRPr="00D36170" w:rsidRDefault="00D36170" w:rsidP="0090098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D36170">
              <w:rPr>
                <w:rFonts w:eastAsia="Times New Roman"/>
                <w:b/>
                <w:bCs/>
                <w:sz w:val="18"/>
                <w:szCs w:val="18"/>
                <w:bdr w:val="none" w:sz="0" w:space="0" w:color="auto"/>
                <w:lang w:eastAsia="es-ES"/>
              </w:rPr>
              <w:t>Saldo al 31/12/2016</w:t>
            </w:r>
          </w:p>
        </w:tc>
        <w:tc>
          <w:tcPr>
            <w:tcW w:w="728" w:type="pct"/>
            <w:tcBorders>
              <w:top w:val="nil"/>
              <w:left w:val="nil"/>
              <w:bottom w:val="single" w:sz="4" w:space="0" w:color="auto"/>
              <w:right w:val="nil"/>
            </w:tcBorders>
            <w:shd w:val="clear" w:color="auto" w:fill="auto"/>
            <w:vAlign w:val="bottom"/>
            <w:hideMark/>
          </w:tcPr>
          <w:p w14:paraId="3D900001" w14:textId="77777777" w:rsidR="00D36170" w:rsidRPr="00D36170" w:rsidRDefault="00D36170" w:rsidP="0090098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D36170">
              <w:rPr>
                <w:rFonts w:eastAsia="Times New Roman"/>
                <w:b/>
                <w:bCs/>
                <w:sz w:val="18"/>
                <w:szCs w:val="18"/>
                <w:bdr w:val="none" w:sz="0" w:space="0" w:color="auto"/>
                <w:lang w:eastAsia="es-ES"/>
              </w:rPr>
              <w:t>Altas</w:t>
            </w:r>
          </w:p>
        </w:tc>
        <w:tc>
          <w:tcPr>
            <w:tcW w:w="728" w:type="pct"/>
            <w:tcBorders>
              <w:top w:val="nil"/>
              <w:left w:val="nil"/>
              <w:bottom w:val="single" w:sz="4" w:space="0" w:color="auto"/>
              <w:right w:val="nil"/>
            </w:tcBorders>
            <w:shd w:val="clear" w:color="auto" w:fill="auto"/>
            <w:vAlign w:val="bottom"/>
            <w:hideMark/>
          </w:tcPr>
          <w:p w14:paraId="585CF231" w14:textId="77777777" w:rsidR="00D36170" w:rsidRPr="00D36170" w:rsidRDefault="00D36170" w:rsidP="0090098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D36170">
              <w:rPr>
                <w:rFonts w:eastAsia="Times New Roman"/>
                <w:b/>
                <w:bCs/>
                <w:sz w:val="18"/>
                <w:szCs w:val="18"/>
                <w:bdr w:val="none" w:sz="0" w:space="0" w:color="auto"/>
                <w:lang w:eastAsia="es-ES"/>
              </w:rPr>
              <w:t>Bajas</w:t>
            </w:r>
          </w:p>
        </w:tc>
        <w:tc>
          <w:tcPr>
            <w:tcW w:w="728" w:type="pct"/>
            <w:tcBorders>
              <w:top w:val="nil"/>
              <w:left w:val="nil"/>
              <w:bottom w:val="single" w:sz="4" w:space="0" w:color="auto"/>
              <w:right w:val="nil"/>
            </w:tcBorders>
            <w:shd w:val="clear" w:color="auto" w:fill="auto"/>
            <w:vAlign w:val="bottom"/>
            <w:hideMark/>
          </w:tcPr>
          <w:p w14:paraId="00C414C0" w14:textId="77777777" w:rsidR="00D36170" w:rsidRPr="00D36170" w:rsidRDefault="00D36170" w:rsidP="0090098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D36170">
              <w:rPr>
                <w:rFonts w:eastAsia="Times New Roman"/>
                <w:b/>
                <w:bCs/>
                <w:sz w:val="18"/>
                <w:szCs w:val="18"/>
                <w:bdr w:val="none" w:sz="0" w:space="0" w:color="auto"/>
                <w:lang w:eastAsia="es-ES"/>
              </w:rPr>
              <w:t>Saldo al 31/12/2017</w:t>
            </w:r>
          </w:p>
        </w:tc>
      </w:tr>
      <w:tr w:rsidR="00D36170" w:rsidRPr="00D36170" w14:paraId="0E512F00" w14:textId="77777777" w:rsidTr="0071126B">
        <w:trPr>
          <w:trHeight w:val="240"/>
        </w:trPr>
        <w:tc>
          <w:tcPr>
            <w:tcW w:w="2088" w:type="pct"/>
            <w:tcBorders>
              <w:top w:val="nil"/>
              <w:left w:val="nil"/>
              <w:bottom w:val="nil"/>
              <w:right w:val="nil"/>
            </w:tcBorders>
            <w:shd w:val="clear" w:color="auto" w:fill="auto"/>
            <w:vAlign w:val="center"/>
            <w:hideMark/>
          </w:tcPr>
          <w:p w14:paraId="6A4446B3" w14:textId="77777777" w:rsidR="00D36170" w:rsidRPr="00D36170" w:rsidRDefault="00D36170" w:rsidP="0090098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D36170">
              <w:rPr>
                <w:rFonts w:eastAsia="Times New Roman"/>
                <w:b/>
                <w:bCs/>
                <w:sz w:val="18"/>
                <w:szCs w:val="18"/>
                <w:bdr w:val="none" w:sz="0" w:space="0" w:color="auto"/>
                <w:lang w:eastAsia="es-ES"/>
              </w:rPr>
              <w:t>Coste</w:t>
            </w:r>
          </w:p>
        </w:tc>
        <w:tc>
          <w:tcPr>
            <w:tcW w:w="728" w:type="pct"/>
            <w:tcBorders>
              <w:top w:val="nil"/>
              <w:left w:val="nil"/>
              <w:bottom w:val="nil"/>
              <w:right w:val="nil"/>
            </w:tcBorders>
            <w:shd w:val="clear" w:color="auto" w:fill="auto"/>
            <w:vAlign w:val="center"/>
            <w:hideMark/>
          </w:tcPr>
          <w:p w14:paraId="58591EC3" w14:textId="77777777" w:rsidR="00D36170" w:rsidRPr="00D36170" w:rsidRDefault="00D36170" w:rsidP="0090098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728" w:type="pct"/>
            <w:tcBorders>
              <w:top w:val="nil"/>
              <w:left w:val="nil"/>
              <w:bottom w:val="nil"/>
              <w:right w:val="nil"/>
            </w:tcBorders>
            <w:shd w:val="clear" w:color="auto" w:fill="auto"/>
            <w:vAlign w:val="center"/>
            <w:hideMark/>
          </w:tcPr>
          <w:p w14:paraId="6DFE0198" w14:textId="77777777" w:rsidR="00D36170" w:rsidRPr="00D36170" w:rsidRDefault="00D36170" w:rsidP="0090098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c>
          <w:tcPr>
            <w:tcW w:w="728" w:type="pct"/>
            <w:tcBorders>
              <w:top w:val="nil"/>
              <w:left w:val="nil"/>
              <w:bottom w:val="nil"/>
              <w:right w:val="nil"/>
            </w:tcBorders>
            <w:shd w:val="clear" w:color="auto" w:fill="auto"/>
            <w:vAlign w:val="center"/>
            <w:hideMark/>
          </w:tcPr>
          <w:p w14:paraId="44900D7E" w14:textId="77777777" w:rsidR="00D36170" w:rsidRPr="00D36170" w:rsidRDefault="00D36170" w:rsidP="0090098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c>
          <w:tcPr>
            <w:tcW w:w="728" w:type="pct"/>
            <w:tcBorders>
              <w:top w:val="nil"/>
              <w:left w:val="nil"/>
              <w:bottom w:val="nil"/>
              <w:right w:val="nil"/>
            </w:tcBorders>
            <w:shd w:val="clear" w:color="auto" w:fill="auto"/>
            <w:vAlign w:val="center"/>
            <w:hideMark/>
          </w:tcPr>
          <w:p w14:paraId="65627C8E" w14:textId="77777777" w:rsidR="00D36170" w:rsidRPr="00D36170" w:rsidRDefault="00D36170" w:rsidP="0090098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r>
      <w:tr w:rsidR="00D36170" w:rsidRPr="00D36170" w14:paraId="14FDCB23" w14:textId="77777777" w:rsidTr="0071126B">
        <w:trPr>
          <w:trHeight w:val="240"/>
        </w:trPr>
        <w:tc>
          <w:tcPr>
            <w:tcW w:w="2088" w:type="pct"/>
            <w:tcBorders>
              <w:top w:val="nil"/>
              <w:left w:val="nil"/>
              <w:bottom w:val="nil"/>
              <w:right w:val="nil"/>
            </w:tcBorders>
            <w:shd w:val="clear" w:color="auto" w:fill="auto"/>
            <w:vAlign w:val="center"/>
            <w:hideMark/>
          </w:tcPr>
          <w:p w14:paraId="5B84DD8D" w14:textId="77777777" w:rsidR="00D36170" w:rsidRPr="00D36170" w:rsidRDefault="00D36170" w:rsidP="0090098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D36170">
              <w:rPr>
                <w:rFonts w:eastAsia="Times New Roman"/>
                <w:sz w:val="18"/>
                <w:szCs w:val="18"/>
                <w:bdr w:val="none" w:sz="0" w:space="0" w:color="auto"/>
                <w:lang w:eastAsia="es-ES"/>
              </w:rPr>
              <w:t>Construcciones</w:t>
            </w:r>
          </w:p>
        </w:tc>
        <w:tc>
          <w:tcPr>
            <w:tcW w:w="728" w:type="pct"/>
            <w:tcBorders>
              <w:top w:val="nil"/>
              <w:left w:val="nil"/>
              <w:bottom w:val="nil"/>
              <w:right w:val="nil"/>
            </w:tcBorders>
            <w:shd w:val="clear" w:color="auto" w:fill="auto"/>
            <w:vAlign w:val="center"/>
            <w:hideMark/>
          </w:tcPr>
          <w:p w14:paraId="1334602A" w14:textId="77777777" w:rsidR="00D36170" w:rsidRPr="00D36170" w:rsidRDefault="00D36170" w:rsidP="0090098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36170">
              <w:rPr>
                <w:rFonts w:eastAsia="Times New Roman"/>
                <w:sz w:val="18"/>
                <w:szCs w:val="18"/>
                <w:bdr w:val="none" w:sz="0" w:space="0" w:color="auto"/>
                <w:lang w:eastAsia="es-ES"/>
              </w:rPr>
              <w:t>535.043,54</w:t>
            </w:r>
          </w:p>
        </w:tc>
        <w:tc>
          <w:tcPr>
            <w:tcW w:w="728" w:type="pct"/>
            <w:tcBorders>
              <w:top w:val="nil"/>
              <w:left w:val="nil"/>
              <w:bottom w:val="nil"/>
              <w:right w:val="nil"/>
            </w:tcBorders>
            <w:shd w:val="clear" w:color="auto" w:fill="auto"/>
            <w:vAlign w:val="center"/>
            <w:hideMark/>
          </w:tcPr>
          <w:p w14:paraId="5B59DAFC" w14:textId="77777777" w:rsidR="00D36170" w:rsidRPr="00D36170" w:rsidRDefault="00D36170" w:rsidP="0090098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36170">
              <w:rPr>
                <w:rFonts w:eastAsia="Times New Roman"/>
                <w:sz w:val="18"/>
                <w:szCs w:val="18"/>
                <w:bdr w:val="none" w:sz="0" w:space="0" w:color="auto"/>
                <w:lang w:eastAsia="es-ES"/>
              </w:rPr>
              <w:t xml:space="preserve"> -</w:t>
            </w:r>
          </w:p>
        </w:tc>
        <w:tc>
          <w:tcPr>
            <w:tcW w:w="728" w:type="pct"/>
            <w:tcBorders>
              <w:top w:val="nil"/>
              <w:left w:val="nil"/>
              <w:bottom w:val="nil"/>
              <w:right w:val="nil"/>
            </w:tcBorders>
            <w:shd w:val="clear" w:color="auto" w:fill="auto"/>
            <w:vAlign w:val="center"/>
            <w:hideMark/>
          </w:tcPr>
          <w:p w14:paraId="2132EA70" w14:textId="77777777" w:rsidR="00D36170" w:rsidRPr="00D36170" w:rsidRDefault="00D36170" w:rsidP="0090098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36170">
              <w:rPr>
                <w:rFonts w:eastAsia="Times New Roman"/>
                <w:sz w:val="18"/>
                <w:szCs w:val="18"/>
                <w:bdr w:val="none" w:sz="0" w:space="0" w:color="auto"/>
                <w:lang w:eastAsia="es-ES"/>
              </w:rPr>
              <w:t xml:space="preserve"> -</w:t>
            </w:r>
          </w:p>
        </w:tc>
        <w:tc>
          <w:tcPr>
            <w:tcW w:w="728" w:type="pct"/>
            <w:tcBorders>
              <w:top w:val="nil"/>
              <w:left w:val="nil"/>
              <w:bottom w:val="nil"/>
              <w:right w:val="nil"/>
            </w:tcBorders>
            <w:shd w:val="clear" w:color="auto" w:fill="auto"/>
            <w:vAlign w:val="center"/>
            <w:hideMark/>
          </w:tcPr>
          <w:p w14:paraId="39588BF3" w14:textId="77777777" w:rsidR="00D36170" w:rsidRPr="00D36170" w:rsidRDefault="00D36170" w:rsidP="0090098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36170">
              <w:rPr>
                <w:rFonts w:eastAsia="Times New Roman"/>
                <w:sz w:val="18"/>
                <w:szCs w:val="18"/>
                <w:bdr w:val="none" w:sz="0" w:space="0" w:color="auto"/>
                <w:lang w:eastAsia="es-ES"/>
              </w:rPr>
              <w:t>535.043,54</w:t>
            </w:r>
          </w:p>
        </w:tc>
      </w:tr>
      <w:tr w:rsidR="00D36170" w:rsidRPr="00D36170" w14:paraId="0DAC3099" w14:textId="77777777" w:rsidTr="0071126B">
        <w:trPr>
          <w:trHeight w:val="240"/>
        </w:trPr>
        <w:tc>
          <w:tcPr>
            <w:tcW w:w="2088" w:type="pct"/>
            <w:tcBorders>
              <w:top w:val="nil"/>
              <w:left w:val="nil"/>
              <w:bottom w:val="nil"/>
              <w:right w:val="nil"/>
            </w:tcBorders>
            <w:shd w:val="clear" w:color="auto" w:fill="auto"/>
            <w:vAlign w:val="center"/>
            <w:hideMark/>
          </w:tcPr>
          <w:p w14:paraId="6766B9BB" w14:textId="77777777" w:rsidR="00D36170" w:rsidRPr="00D36170" w:rsidRDefault="00D36170" w:rsidP="0090098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D36170">
              <w:rPr>
                <w:rFonts w:eastAsia="Times New Roman"/>
                <w:sz w:val="18"/>
                <w:szCs w:val="18"/>
                <w:bdr w:val="none" w:sz="0" w:space="0" w:color="auto"/>
                <w:lang w:eastAsia="es-ES"/>
              </w:rPr>
              <w:t>Instalaciones técnicas</w:t>
            </w:r>
          </w:p>
        </w:tc>
        <w:tc>
          <w:tcPr>
            <w:tcW w:w="728" w:type="pct"/>
            <w:tcBorders>
              <w:top w:val="nil"/>
              <w:left w:val="nil"/>
              <w:bottom w:val="nil"/>
              <w:right w:val="nil"/>
            </w:tcBorders>
            <w:shd w:val="clear" w:color="auto" w:fill="auto"/>
            <w:vAlign w:val="center"/>
            <w:hideMark/>
          </w:tcPr>
          <w:p w14:paraId="6AF027BA" w14:textId="77777777" w:rsidR="00D36170" w:rsidRPr="00D36170" w:rsidRDefault="00D36170" w:rsidP="0090098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36170">
              <w:rPr>
                <w:rFonts w:eastAsia="Times New Roman"/>
                <w:sz w:val="18"/>
                <w:szCs w:val="18"/>
                <w:bdr w:val="none" w:sz="0" w:space="0" w:color="auto"/>
                <w:lang w:eastAsia="es-ES"/>
              </w:rPr>
              <w:t>26.457,06</w:t>
            </w:r>
          </w:p>
        </w:tc>
        <w:tc>
          <w:tcPr>
            <w:tcW w:w="728" w:type="pct"/>
            <w:tcBorders>
              <w:top w:val="nil"/>
              <w:left w:val="nil"/>
              <w:bottom w:val="nil"/>
              <w:right w:val="nil"/>
            </w:tcBorders>
            <w:shd w:val="clear" w:color="auto" w:fill="auto"/>
            <w:vAlign w:val="center"/>
            <w:hideMark/>
          </w:tcPr>
          <w:p w14:paraId="1A3100E2" w14:textId="77777777" w:rsidR="00D36170" w:rsidRPr="00D36170" w:rsidRDefault="00D36170" w:rsidP="0090098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36170">
              <w:rPr>
                <w:rFonts w:eastAsia="Times New Roman"/>
                <w:sz w:val="18"/>
                <w:szCs w:val="18"/>
                <w:bdr w:val="none" w:sz="0" w:space="0" w:color="auto"/>
                <w:lang w:eastAsia="es-ES"/>
              </w:rPr>
              <w:t>7.904,86</w:t>
            </w:r>
          </w:p>
        </w:tc>
        <w:tc>
          <w:tcPr>
            <w:tcW w:w="728" w:type="pct"/>
            <w:tcBorders>
              <w:top w:val="nil"/>
              <w:left w:val="nil"/>
              <w:bottom w:val="nil"/>
              <w:right w:val="nil"/>
            </w:tcBorders>
            <w:shd w:val="clear" w:color="auto" w:fill="auto"/>
            <w:vAlign w:val="center"/>
            <w:hideMark/>
          </w:tcPr>
          <w:p w14:paraId="64FBB0BF" w14:textId="77777777" w:rsidR="00D36170" w:rsidRPr="00D36170" w:rsidRDefault="00D36170" w:rsidP="0090098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36170">
              <w:rPr>
                <w:rFonts w:eastAsia="Times New Roman"/>
                <w:sz w:val="18"/>
                <w:szCs w:val="18"/>
                <w:bdr w:val="none" w:sz="0" w:space="0" w:color="auto"/>
                <w:lang w:eastAsia="es-ES"/>
              </w:rPr>
              <w:t>(2.810,60)</w:t>
            </w:r>
          </w:p>
        </w:tc>
        <w:tc>
          <w:tcPr>
            <w:tcW w:w="728" w:type="pct"/>
            <w:tcBorders>
              <w:top w:val="nil"/>
              <w:left w:val="nil"/>
              <w:bottom w:val="nil"/>
              <w:right w:val="nil"/>
            </w:tcBorders>
            <w:shd w:val="clear" w:color="auto" w:fill="auto"/>
            <w:vAlign w:val="center"/>
            <w:hideMark/>
          </w:tcPr>
          <w:p w14:paraId="26B876A4" w14:textId="77777777" w:rsidR="00D36170" w:rsidRPr="00D36170" w:rsidRDefault="00D36170" w:rsidP="0090098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36170">
              <w:rPr>
                <w:rFonts w:eastAsia="Times New Roman"/>
                <w:sz w:val="18"/>
                <w:szCs w:val="18"/>
                <w:bdr w:val="none" w:sz="0" w:space="0" w:color="auto"/>
                <w:lang w:eastAsia="es-ES"/>
              </w:rPr>
              <w:t>31.551,32</w:t>
            </w:r>
          </w:p>
        </w:tc>
      </w:tr>
      <w:tr w:rsidR="00D36170" w:rsidRPr="00D36170" w14:paraId="2F0C722F" w14:textId="77777777" w:rsidTr="0071126B">
        <w:trPr>
          <w:trHeight w:val="240"/>
        </w:trPr>
        <w:tc>
          <w:tcPr>
            <w:tcW w:w="2088" w:type="pct"/>
            <w:tcBorders>
              <w:top w:val="nil"/>
              <w:left w:val="nil"/>
              <w:bottom w:val="nil"/>
              <w:right w:val="nil"/>
            </w:tcBorders>
            <w:shd w:val="clear" w:color="auto" w:fill="auto"/>
            <w:vAlign w:val="center"/>
            <w:hideMark/>
          </w:tcPr>
          <w:p w14:paraId="21D107D8" w14:textId="77777777" w:rsidR="00D36170" w:rsidRPr="00D36170" w:rsidRDefault="00D36170" w:rsidP="0090098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D36170">
              <w:rPr>
                <w:rFonts w:eastAsia="Times New Roman"/>
                <w:sz w:val="18"/>
                <w:szCs w:val="18"/>
                <w:bdr w:val="none" w:sz="0" w:space="0" w:color="auto"/>
                <w:lang w:eastAsia="es-ES"/>
              </w:rPr>
              <w:t>Mobiliario</w:t>
            </w:r>
          </w:p>
        </w:tc>
        <w:tc>
          <w:tcPr>
            <w:tcW w:w="728" w:type="pct"/>
            <w:tcBorders>
              <w:top w:val="nil"/>
              <w:left w:val="nil"/>
              <w:bottom w:val="nil"/>
              <w:right w:val="nil"/>
            </w:tcBorders>
            <w:shd w:val="clear" w:color="auto" w:fill="auto"/>
            <w:vAlign w:val="center"/>
            <w:hideMark/>
          </w:tcPr>
          <w:p w14:paraId="6B26AE07" w14:textId="77777777" w:rsidR="00D36170" w:rsidRPr="00D36170" w:rsidRDefault="00D36170" w:rsidP="0090098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36170">
              <w:rPr>
                <w:rFonts w:eastAsia="Times New Roman"/>
                <w:sz w:val="18"/>
                <w:szCs w:val="18"/>
                <w:bdr w:val="none" w:sz="0" w:space="0" w:color="auto"/>
                <w:lang w:eastAsia="es-ES"/>
              </w:rPr>
              <w:t>285.784,40</w:t>
            </w:r>
          </w:p>
        </w:tc>
        <w:tc>
          <w:tcPr>
            <w:tcW w:w="728" w:type="pct"/>
            <w:tcBorders>
              <w:top w:val="nil"/>
              <w:left w:val="nil"/>
              <w:bottom w:val="nil"/>
              <w:right w:val="nil"/>
            </w:tcBorders>
            <w:shd w:val="clear" w:color="auto" w:fill="auto"/>
            <w:vAlign w:val="center"/>
            <w:hideMark/>
          </w:tcPr>
          <w:p w14:paraId="45EF2419" w14:textId="77777777" w:rsidR="00D36170" w:rsidRPr="00D36170" w:rsidRDefault="00D36170" w:rsidP="0090098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36170">
              <w:rPr>
                <w:rFonts w:eastAsia="Times New Roman"/>
                <w:sz w:val="18"/>
                <w:szCs w:val="18"/>
                <w:bdr w:val="none" w:sz="0" w:space="0" w:color="auto"/>
                <w:lang w:eastAsia="es-ES"/>
              </w:rPr>
              <w:t>3.424,00</w:t>
            </w:r>
          </w:p>
        </w:tc>
        <w:tc>
          <w:tcPr>
            <w:tcW w:w="728" w:type="pct"/>
            <w:tcBorders>
              <w:top w:val="nil"/>
              <w:left w:val="nil"/>
              <w:bottom w:val="nil"/>
              <w:right w:val="nil"/>
            </w:tcBorders>
            <w:shd w:val="clear" w:color="auto" w:fill="auto"/>
            <w:vAlign w:val="center"/>
            <w:hideMark/>
          </w:tcPr>
          <w:p w14:paraId="0248C01B" w14:textId="77777777" w:rsidR="00D36170" w:rsidRPr="00D36170" w:rsidRDefault="00D36170" w:rsidP="0090098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36170">
              <w:rPr>
                <w:rFonts w:eastAsia="Times New Roman"/>
                <w:sz w:val="18"/>
                <w:szCs w:val="18"/>
                <w:bdr w:val="none" w:sz="0" w:space="0" w:color="auto"/>
                <w:lang w:eastAsia="es-ES"/>
              </w:rPr>
              <w:t>(3.891,15)</w:t>
            </w:r>
          </w:p>
        </w:tc>
        <w:tc>
          <w:tcPr>
            <w:tcW w:w="728" w:type="pct"/>
            <w:tcBorders>
              <w:top w:val="nil"/>
              <w:left w:val="nil"/>
              <w:bottom w:val="nil"/>
              <w:right w:val="nil"/>
            </w:tcBorders>
            <w:shd w:val="clear" w:color="auto" w:fill="auto"/>
            <w:vAlign w:val="center"/>
            <w:hideMark/>
          </w:tcPr>
          <w:p w14:paraId="3BFE8A4D" w14:textId="77777777" w:rsidR="00D36170" w:rsidRPr="00D36170" w:rsidRDefault="00D36170" w:rsidP="0090098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36170">
              <w:rPr>
                <w:rFonts w:eastAsia="Times New Roman"/>
                <w:sz w:val="18"/>
                <w:szCs w:val="18"/>
                <w:bdr w:val="none" w:sz="0" w:space="0" w:color="auto"/>
                <w:lang w:eastAsia="es-ES"/>
              </w:rPr>
              <w:t>285.317,25</w:t>
            </w:r>
          </w:p>
        </w:tc>
      </w:tr>
      <w:tr w:rsidR="00D36170" w:rsidRPr="00D36170" w14:paraId="113AAD5F" w14:textId="77777777" w:rsidTr="0071126B">
        <w:trPr>
          <w:trHeight w:val="240"/>
        </w:trPr>
        <w:tc>
          <w:tcPr>
            <w:tcW w:w="2088" w:type="pct"/>
            <w:tcBorders>
              <w:top w:val="nil"/>
              <w:left w:val="nil"/>
              <w:bottom w:val="nil"/>
              <w:right w:val="nil"/>
            </w:tcBorders>
            <w:shd w:val="clear" w:color="auto" w:fill="auto"/>
            <w:vAlign w:val="center"/>
            <w:hideMark/>
          </w:tcPr>
          <w:p w14:paraId="0B854720" w14:textId="77777777" w:rsidR="00D36170" w:rsidRPr="00D36170" w:rsidRDefault="00D36170" w:rsidP="0090098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D36170">
              <w:rPr>
                <w:rFonts w:eastAsia="Times New Roman"/>
                <w:sz w:val="18"/>
                <w:szCs w:val="18"/>
                <w:bdr w:val="none" w:sz="0" w:space="0" w:color="auto"/>
                <w:lang w:eastAsia="es-ES"/>
              </w:rPr>
              <w:t>Otro inmovilizado</w:t>
            </w:r>
          </w:p>
        </w:tc>
        <w:tc>
          <w:tcPr>
            <w:tcW w:w="728" w:type="pct"/>
            <w:tcBorders>
              <w:top w:val="nil"/>
              <w:left w:val="nil"/>
              <w:bottom w:val="nil"/>
              <w:right w:val="nil"/>
            </w:tcBorders>
            <w:shd w:val="clear" w:color="auto" w:fill="auto"/>
            <w:vAlign w:val="center"/>
            <w:hideMark/>
          </w:tcPr>
          <w:p w14:paraId="13064622" w14:textId="77777777" w:rsidR="00D36170" w:rsidRPr="00D36170" w:rsidRDefault="00D36170" w:rsidP="0090098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36170">
              <w:rPr>
                <w:rFonts w:eastAsia="Times New Roman"/>
                <w:sz w:val="18"/>
                <w:szCs w:val="18"/>
                <w:bdr w:val="none" w:sz="0" w:space="0" w:color="auto"/>
                <w:lang w:eastAsia="es-ES"/>
              </w:rPr>
              <w:t>279.048,43</w:t>
            </w:r>
          </w:p>
        </w:tc>
        <w:tc>
          <w:tcPr>
            <w:tcW w:w="728" w:type="pct"/>
            <w:tcBorders>
              <w:top w:val="nil"/>
              <w:left w:val="nil"/>
              <w:bottom w:val="nil"/>
              <w:right w:val="nil"/>
            </w:tcBorders>
            <w:shd w:val="clear" w:color="auto" w:fill="auto"/>
            <w:vAlign w:val="center"/>
            <w:hideMark/>
          </w:tcPr>
          <w:p w14:paraId="72BD3FF8" w14:textId="77777777" w:rsidR="00D36170" w:rsidRPr="00D36170" w:rsidRDefault="00D36170" w:rsidP="0090098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36170">
              <w:rPr>
                <w:rFonts w:eastAsia="Times New Roman"/>
                <w:sz w:val="18"/>
                <w:szCs w:val="18"/>
                <w:bdr w:val="none" w:sz="0" w:space="0" w:color="auto"/>
                <w:lang w:eastAsia="es-ES"/>
              </w:rPr>
              <w:t>6.678,17</w:t>
            </w:r>
          </w:p>
        </w:tc>
        <w:tc>
          <w:tcPr>
            <w:tcW w:w="728" w:type="pct"/>
            <w:tcBorders>
              <w:top w:val="nil"/>
              <w:left w:val="nil"/>
              <w:bottom w:val="nil"/>
              <w:right w:val="nil"/>
            </w:tcBorders>
            <w:shd w:val="clear" w:color="auto" w:fill="auto"/>
            <w:vAlign w:val="center"/>
            <w:hideMark/>
          </w:tcPr>
          <w:p w14:paraId="614C0115" w14:textId="77777777" w:rsidR="00D36170" w:rsidRPr="00D36170" w:rsidRDefault="00D36170" w:rsidP="0090098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36170">
              <w:rPr>
                <w:rFonts w:eastAsia="Times New Roman"/>
                <w:sz w:val="18"/>
                <w:szCs w:val="18"/>
                <w:bdr w:val="none" w:sz="0" w:space="0" w:color="auto"/>
                <w:lang w:eastAsia="es-ES"/>
              </w:rPr>
              <w:t>(29.077,98)</w:t>
            </w:r>
          </w:p>
        </w:tc>
        <w:tc>
          <w:tcPr>
            <w:tcW w:w="728" w:type="pct"/>
            <w:tcBorders>
              <w:top w:val="nil"/>
              <w:left w:val="nil"/>
              <w:bottom w:val="nil"/>
              <w:right w:val="nil"/>
            </w:tcBorders>
            <w:shd w:val="clear" w:color="auto" w:fill="auto"/>
            <w:vAlign w:val="center"/>
            <w:hideMark/>
          </w:tcPr>
          <w:p w14:paraId="3BD2635D" w14:textId="77777777" w:rsidR="00D36170" w:rsidRPr="00D36170" w:rsidRDefault="00D36170" w:rsidP="0090098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36170">
              <w:rPr>
                <w:rFonts w:eastAsia="Times New Roman"/>
                <w:sz w:val="18"/>
                <w:szCs w:val="18"/>
                <w:bdr w:val="none" w:sz="0" w:space="0" w:color="auto"/>
                <w:lang w:eastAsia="es-ES"/>
              </w:rPr>
              <w:t>256.648,62</w:t>
            </w:r>
          </w:p>
        </w:tc>
      </w:tr>
      <w:tr w:rsidR="00D36170" w:rsidRPr="00D36170" w14:paraId="1A5CF02D" w14:textId="77777777" w:rsidTr="0071126B">
        <w:trPr>
          <w:trHeight w:val="240"/>
        </w:trPr>
        <w:tc>
          <w:tcPr>
            <w:tcW w:w="2088" w:type="pct"/>
            <w:tcBorders>
              <w:top w:val="nil"/>
              <w:left w:val="nil"/>
              <w:bottom w:val="nil"/>
              <w:right w:val="nil"/>
            </w:tcBorders>
            <w:shd w:val="clear" w:color="auto" w:fill="auto"/>
            <w:vAlign w:val="center"/>
            <w:hideMark/>
          </w:tcPr>
          <w:p w14:paraId="1319CD09" w14:textId="77777777" w:rsidR="00D36170" w:rsidRPr="00D36170" w:rsidRDefault="00D36170" w:rsidP="0090098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D36170">
              <w:rPr>
                <w:rFonts w:eastAsia="Times New Roman"/>
                <w:sz w:val="18"/>
                <w:szCs w:val="18"/>
                <w:bdr w:val="none" w:sz="0" w:space="0" w:color="auto"/>
                <w:lang w:eastAsia="es-ES"/>
              </w:rPr>
              <w:t>Inmovilizado en curso</w:t>
            </w:r>
          </w:p>
        </w:tc>
        <w:tc>
          <w:tcPr>
            <w:tcW w:w="728" w:type="pct"/>
            <w:tcBorders>
              <w:top w:val="nil"/>
              <w:left w:val="nil"/>
              <w:bottom w:val="nil"/>
              <w:right w:val="nil"/>
            </w:tcBorders>
            <w:shd w:val="clear" w:color="auto" w:fill="auto"/>
            <w:vAlign w:val="center"/>
            <w:hideMark/>
          </w:tcPr>
          <w:p w14:paraId="5FDB9C99" w14:textId="77777777" w:rsidR="00D36170" w:rsidRPr="00D36170" w:rsidRDefault="00D36170" w:rsidP="0090098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36170">
              <w:rPr>
                <w:rFonts w:eastAsia="Times New Roman"/>
                <w:sz w:val="18"/>
                <w:szCs w:val="18"/>
                <w:bdr w:val="none" w:sz="0" w:space="0" w:color="auto"/>
                <w:lang w:eastAsia="es-ES"/>
              </w:rPr>
              <w:t xml:space="preserve"> -</w:t>
            </w:r>
          </w:p>
        </w:tc>
        <w:tc>
          <w:tcPr>
            <w:tcW w:w="728" w:type="pct"/>
            <w:tcBorders>
              <w:top w:val="nil"/>
              <w:left w:val="nil"/>
              <w:bottom w:val="nil"/>
              <w:right w:val="nil"/>
            </w:tcBorders>
            <w:shd w:val="clear" w:color="auto" w:fill="auto"/>
            <w:vAlign w:val="center"/>
            <w:hideMark/>
          </w:tcPr>
          <w:p w14:paraId="07137A9E" w14:textId="77777777" w:rsidR="00D36170" w:rsidRPr="00D36170" w:rsidRDefault="00D36170" w:rsidP="0090098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36170">
              <w:rPr>
                <w:rFonts w:eastAsia="Times New Roman"/>
                <w:sz w:val="18"/>
                <w:szCs w:val="18"/>
                <w:bdr w:val="none" w:sz="0" w:space="0" w:color="auto"/>
                <w:lang w:eastAsia="es-ES"/>
              </w:rPr>
              <w:t>21.051,07</w:t>
            </w:r>
          </w:p>
        </w:tc>
        <w:tc>
          <w:tcPr>
            <w:tcW w:w="728" w:type="pct"/>
            <w:tcBorders>
              <w:top w:val="nil"/>
              <w:left w:val="nil"/>
              <w:bottom w:val="nil"/>
              <w:right w:val="nil"/>
            </w:tcBorders>
            <w:shd w:val="clear" w:color="auto" w:fill="auto"/>
            <w:vAlign w:val="center"/>
            <w:hideMark/>
          </w:tcPr>
          <w:p w14:paraId="1153BB7E" w14:textId="77777777" w:rsidR="00D36170" w:rsidRPr="00D36170" w:rsidRDefault="00D36170" w:rsidP="0090098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36170">
              <w:rPr>
                <w:rFonts w:eastAsia="Times New Roman"/>
                <w:sz w:val="18"/>
                <w:szCs w:val="18"/>
                <w:bdr w:val="none" w:sz="0" w:space="0" w:color="auto"/>
                <w:lang w:eastAsia="es-ES"/>
              </w:rPr>
              <w:t xml:space="preserve"> -</w:t>
            </w:r>
          </w:p>
        </w:tc>
        <w:tc>
          <w:tcPr>
            <w:tcW w:w="728" w:type="pct"/>
            <w:tcBorders>
              <w:top w:val="nil"/>
              <w:left w:val="nil"/>
              <w:bottom w:val="nil"/>
              <w:right w:val="nil"/>
            </w:tcBorders>
            <w:shd w:val="clear" w:color="auto" w:fill="auto"/>
            <w:vAlign w:val="center"/>
            <w:hideMark/>
          </w:tcPr>
          <w:p w14:paraId="544C9E2C" w14:textId="77777777" w:rsidR="00D36170" w:rsidRPr="00D36170" w:rsidRDefault="00D36170" w:rsidP="0090098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36170">
              <w:rPr>
                <w:rFonts w:eastAsia="Times New Roman"/>
                <w:sz w:val="18"/>
                <w:szCs w:val="18"/>
                <w:bdr w:val="none" w:sz="0" w:space="0" w:color="auto"/>
                <w:lang w:eastAsia="es-ES"/>
              </w:rPr>
              <w:t>21.051,07</w:t>
            </w:r>
          </w:p>
        </w:tc>
      </w:tr>
      <w:tr w:rsidR="00D36170" w:rsidRPr="00D36170" w14:paraId="3ACF1E75" w14:textId="77777777" w:rsidTr="00FF35D6">
        <w:tblPrEx>
          <w:jc w:val="center"/>
        </w:tblPrEx>
        <w:trPr>
          <w:trHeight w:val="283"/>
          <w:jc w:val="center"/>
        </w:trPr>
        <w:tc>
          <w:tcPr>
            <w:tcW w:w="2088" w:type="pct"/>
            <w:tcBorders>
              <w:top w:val="nil"/>
              <w:left w:val="nil"/>
              <w:bottom w:val="nil"/>
              <w:right w:val="nil"/>
            </w:tcBorders>
            <w:shd w:val="clear" w:color="auto" w:fill="auto"/>
            <w:vAlign w:val="center"/>
            <w:hideMark/>
          </w:tcPr>
          <w:p w14:paraId="7A76C14A" w14:textId="77777777" w:rsidR="00D36170" w:rsidRPr="00D36170" w:rsidRDefault="00D36170" w:rsidP="0090098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p>
        </w:tc>
        <w:tc>
          <w:tcPr>
            <w:tcW w:w="728" w:type="pct"/>
            <w:tcBorders>
              <w:top w:val="single" w:sz="4" w:space="0" w:color="auto"/>
              <w:left w:val="nil"/>
              <w:bottom w:val="single" w:sz="4" w:space="0" w:color="auto"/>
              <w:right w:val="nil"/>
            </w:tcBorders>
            <w:shd w:val="clear" w:color="auto" w:fill="auto"/>
            <w:vAlign w:val="center"/>
            <w:hideMark/>
          </w:tcPr>
          <w:p w14:paraId="38E23702" w14:textId="77777777" w:rsidR="00D36170" w:rsidRPr="00D36170" w:rsidRDefault="00D36170" w:rsidP="0090098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D36170">
              <w:rPr>
                <w:rFonts w:eastAsia="Times New Roman"/>
                <w:b/>
                <w:bCs/>
                <w:sz w:val="18"/>
                <w:szCs w:val="18"/>
                <w:bdr w:val="none" w:sz="0" w:space="0" w:color="auto"/>
                <w:lang w:eastAsia="es-ES"/>
              </w:rPr>
              <w:t>1.126.333,43</w:t>
            </w:r>
          </w:p>
        </w:tc>
        <w:tc>
          <w:tcPr>
            <w:tcW w:w="728" w:type="pct"/>
            <w:tcBorders>
              <w:top w:val="single" w:sz="4" w:space="0" w:color="auto"/>
              <w:left w:val="nil"/>
              <w:bottom w:val="single" w:sz="4" w:space="0" w:color="auto"/>
              <w:right w:val="nil"/>
            </w:tcBorders>
            <w:shd w:val="clear" w:color="auto" w:fill="auto"/>
            <w:vAlign w:val="center"/>
            <w:hideMark/>
          </w:tcPr>
          <w:p w14:paraId="59651CC5" w14:textId="77777777" w:rsidR="00D36170" w:rsidRPr="00D36170" w:rsidRDefault="00D36170" w:rsidP="0090098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D36170">
              <w:rPr>
                <w:rFonts w:eastAsia="Times New Roman"/>
                <w:b/>
                <w:bCs/>
                <w:sz w:val="18"/>
                <w:szCs w:val="18"/>
                <w:bdr w:val="none" w:sz="0" w:space="0" w:color="auto"/>
                <w:lang w:eastAsia="es-ES"/>
              </w:rPr>
              <w:t>39.058,10</w:t>
            </w:r>
          </w:p>
        </w:tc>
        <w:tc>
          <w:tcPr>
            <w:tcW w:w="728" w:type="pct"/>
            <w:tcBorders>
              <w:top w:val="single" w:sz="4" w:space="0" w:color="auto"/>
              <w:left w:val="nil"/>
              <w:bottom w:val="single" w:sz="4" w:space="0" w:color="auto"/>
              <w:right w:val="nil"/>
            </w:tcBorders>
            <w:shd w:val="clear" w:color="auto" w:fill="auto"/>
            <w:vAlign w:val="center"/>
            <w:hideMark/>
          </w:tcPr>
          <w:p w14:paraId="170D91A1" w14:textId="77777777" w:rsidR="00D36170" w:rsidRPr="00D36170" w:rsidRDefault="00D36170" w:rsidP="0090098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D36170">
              <w:rPr>
                <w:rFonts w:eastAsia="Times New Roman"/>
                <w:b/>
                <w:bCs/>
                <w:sz w:val="18"/>
                <w:szCs w:val="18"/>
                <w:bdr w:val="none" w:sz="0" w:space="0" w:color="auto"/>
                <w:lang w:eastAsia="es-ES"/>
              </w:rPr>
              <w:t>(35.779,73)</w:t>
            </w:r>
          </w:p>
        </w:tc>
        <w:tc>
          <w:tcPr>
            <w:tcW w:w="728" w:type="pct"/>
            <w:tcBorders>
              <w:top w:val="single" w:sz="4" w:space="0" w:color="auto"/>
              <w:left w:val="nil"/>
              <w:bottom w:val="single" w:sz="4" w:space="0" w:color="auto"/>
              <w:right w:val="nil"/>
            </w:tcBorders>
            <w:shd w:val="clear" w:color="auto" w:fill="auto"/>
            <w:vAlign w:val="center"/>
            <w:hideMark/>
          </w:tcPr>
          <w:p w14:paraId="7E987BB7" w14:textId="77777777" w:rsidR="00D36170" w:rsidRPr="00D36170" w:rsidRDefault="00D36170" w:rsidP="0090098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D36170">
              <w:rPr>
                <w:rFonts w:eastAsia="Times New Roman"/>
                <w:b/>
                <w:bCs/>
                <w:sz w:val="18"/>
                <w:szCs w:val="18"/>
                <w:bdr w:val="none" w:sz="0" w:space="0" w:color="auto"/>
                <w:lang w:eastAsia="es-ES"/>
              </w:rPr>
              <w:t>1.129.611,80</w:t>
            </w:r>
          </w:p>
        </w:tc>
      </w:tr>
      <w:tr w:rsidR="00D36170" w:rsidRPr="00D36170" w14:paraId="3EBC1BF1" w14:textId="77777777" w:rsidTr="0071126B">
        <w:trPr>
          <w:trHeight w:val="240"/>
        </w:trPr>
        <w:tc>
          <w:tcPr>
            <w:tcW w:w="2088" w:type="pct"/>
            <w:tcBorders>
              <w:top w:val="nil"/>
              <w:left w:val="nil"/>
              <w:bottom w:val="nil"/>
              <w:right w:val="nil"/>
            </w:tcBorders>
            <w:shd w:val="clear" w:color="auto" w:fill="auto"/>
            <w:vAlign w:val="center"/>
            <w:hideMark/>
          </w:tcPr>
          <w:p w14:paraId="36D03576" w14:textId="77777777" w:rsidR="00D36170" w:rsidRPr="00D36170" w:rsidRDefault="00D36170" w:rsidP="0090098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D36170">
              <w:rPr>
                <w:rFonts w:eastAsia="Times New Roman"/>
                <w:b/>
                <w:bCs/>
                <w:sz w:val="18"/>
                <w:szCs w:val="18"/>
                <w:bdr w:val="none" w:sz="0" w:space="0" w:color="auto"/>
                <w:lang w:eastAsia="es-ES"/>
              </w:rPr>
              <w:t>Amortización</w:t>
            </w:r>
          </w:p>
        </w:tc>
        <w:tc>
          <w:tcPr>
            <w:tcW w:w="728" w:type="pct"/>
            <w:tcBorders>
              <w:top w:val="nil"/>
              <w:left w:val="nil"/>
              <w:bottom w:val="nil"/>
              <w:right w:val="nil"/>
            </w:tcBorders>
            <w:shd w:val="clear" w:color="auto" w:fill="auto"/>
            <w:vAlign w:val="center"/>
            <w:hideMark/>
          </w:tcPr>
          <w:p w14:paraId="6C9FCA3A" w14:textId="77777777" w:rsidR="00D36170" w:rsidRPr="00D36170" w:rsidRDefault="00D36170" w:rsidP="0090098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728" w:type="pct"/>
            <w:tcBorders>
              <w:top w:val="nil"/>
              <w:left w:val="nil"/>
              <w:bottom w:val="nil"/>
              <w:right w:val="nil"/>
            </w:tcBorders>
            <w:shd w:val="clear" w:color="auto" w:fill="auto"/>
            <w:vAlign w:val="center"/>
            <w:hideMark/>
          </w:tcPr>
          <w:p w14:paraId="491E1585" w14:textId="77777777" w:rsidR="00D36170" w:rsidRPr="00D36170" w:rsidRDefault="00D36170" w:rsidP="0090098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c>
          <w:tcPr>
            <w:tcW w:w="728" w:type="pct"/>
            <w:tcBorders>
              <w:top w:val="nil"/>
              <w:left w:val="nil"/>
              <w:bottom w:val="nil"/>
              <w:right w:val="nil"/>
            </w:tcBorders>
            <w:shd w:val="clear" w:color="auto" w:fill="auto"/>
            <w:vAlign w:val="center"/>
            <w:hideMark/>
          </w:tcPr>
          <w:p w14:paraId="222C724C" w14:textId="77777777" w:rsidR="00D36170" w:rsidRPr="00D36170" w:rsidRDefault="00D36170" w:rsidP="0090098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c>
          <w:tcPr>
            <w:tcW w:w="728" w:type="pct"/>
            <w:tcBorders>
              <w:top w:val="nil"/>
              <w:left w:val="nil"/>
              <w:bottom w:val="nil"/>
              <w:right w:val="nil"/>
            </w:tcBorders>
            <w:shd w:val="clear" w:color="auto" w:fill="auto"/>
            <w:vAlign w:val="center"/>
            <w:hideMark/>
          </w:tcPr>
          <w:p w14:paraId="1E29A56D" w14:textId="77777777" w:rsidR="00D36170" w:rsidRPr="00D36170" w:rsidRDefault="00D36170" w:rsidP="0090098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r>
      <w:tr w:rsidR="00D36170" w:rsidRPr="00D36170" w14:paraId="67E029EA" w14:textId="77777777" w:rsidTr="0071126B">
        <w:trPr>
          <w:trHeight w:val="240"/>
        </w:trPr>
        <w:tc>
          <w:tcPr>
            <w:tcW w:w="2088" w:type="pct"/>
            <w:tcBorders>
              <w:top w:val="nil"/>
              <w:left w:val="nil"/>
              <w:bottom w:val="nil"/>
              <w:right w:val="nil"/>
            </w:tcBorders>
            <w:shd w:val="clear" w:color="auto" w:fill="auto"/>
            <w:vAlign w:val="center"/>
            <w:hideMark/>
          </w:tcPr>
          <w:p w14:paraId="5188C21E" w14:textId="77777777" w:rsidR="00D36170" w:rsidRPr="00D36170" w:rsidRDefault="00D36170" w:rsidP="00D3617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D36170">
              <w:rPr>
                <w:rFonts w:eastAsia="Times New Roman"/>
                <w:sz w:val="18"/>
                <w:szCs w:val="18"/>
                <w:bdr w:val="none" w:sz="0" w:space="0" w:color="auto"/>
                <w:lang w:eastAsia="es-ES"/>
              </w:rPr>
              <w:t>Construcciones</w:t>
            </w:r>
          </w:p>
        </w:tc>
        <w:tc>
          <w:tcPr>
            <w:tcW w:w="728" w:type="pct"/>
            <w:tcBorders>
              <w:top w:val="nil"/>
              <w:left w:val="nil"/>
              <w:bottom w:val="nil"/>
              <w:right w:val="nil"/>
            </w:tcBorders>
            <w:shd w:val="clear" w:color="auto" w:fill="auto"/>
            <w:vAlign w:val="center"/>
            <w:hideMark/>
          </w:tcPr>
          <w:p w14:paraId="068BE360" w14:textId="77777777" w:rsidR="00D36170" w:rsidRPr="00D36170" w:rsidRDefault="00D36170" w:rsidP="00D361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36170">
              <w:rPr>
                <w:rFonts w:eastAsia="Times New Roman"/>
                <w:sz w:val="18"/>
                <w:szCs w:val="18"/>
                <w:bdr w:val="none" w:sz="0" w:space="0" w:color="auto"/>
                <w:lang w:eastAsia="es-ES"/>
              </w:rPr>
              <w:t>(190.062,68)</w:t>
            </w:r>
          </w:p>
        </w:tc>
        <w:tc>
          <w:tcPr>
            <w:tcW w:w="728" w:type="pct"/>
            <w:tcBorders>
              <w:top w:val="nil"/>
              <w:left w:val="nil"/>
              <w:bottom w:val="nil"/>
              <w:right w:val="nil"/>
            </w:tcBorders>
            <w:shd w:val="clear" w:color="auto" w:fill="auto"/>
            <w:vAlign w:val="center"/>
            <w:hideMark/>
          </w:tcPr>
          <w:p w14:paraId="3F9E919F" w14:textId="77777777" w:rsidR="00D36170" w:rsidRPr="00D36170" w:rsidRDefault="00D36170" w:rsidP="00D361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36170">
              <w:rPr>
                <w:rFonts w:eastAsia="Times New Roman"/>
                <w:sz w:val="18"/>
                <w:szCs w:val="18"/>
                <w:bdr w:val="none" w:sz="0" w:space="0" w:color="auto"/>
                <w:lang w:eastAsia="es-ES"/>
              </w:rPr>
              <w:t>(17.583,95)</w:t>
            </w:r>
          </w:p>
        </w:tc>
        <w:tc>
          <w:tcPr>
            <w:tcW w:w="728" w:type="pct"/>
            <w:tcBorders>
              <w:top w:val="nil"/>
              <w:left w:val="nil"/>
              <w:bottom w:val="nil"/>
              <w:right w:val="nil"/>
            </w:tcBorders>
            <w:shd w:val="clear" w:color="auto" w:fill="auto"/>
            <w:vAlign w:val="center"/>
            <w:hideMark/>
          </w:tcPr>
          <w:p w14:paraId="41455FFF" w14:textId="77777777" w:rsidR="00D36170" w:rsidRPr="00D36170" w:rsidRDefault="00D36170" w:rsidP="00D361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36170">
              <w:rPr>
                <w:rFonts w:eastAsia="Times New Roman"/>
                <w:sz w:val="18"/>
                <w:szCs w:val="18"/>
                <w:bdr w:val="none" w:sz="0" w:space="0" w:color="auto"/>
                <w:lang w:eastAsia="es-ES"/>
              </w:rPr>
              <w:t xml:space="preserve"> -</w:t>
            </w:r>
          </w:p>
        </w:tc>
        <w:tc>
          <w:tcPr>
            <w:tcW w:w="728" w:type="pct"/>
            <w:tcBorders>
              <w:top w:val="nil"/>
              <w:left w:val="nil"/>
              <w:bottom w:val="nil"/>
              <w:right w:val="nil"/>
            </w:tcBorders>
            <w:shd w:val="clear" w:color="auto" w:fill="auto"/>
            <w:vAlign w:val="center"/>
            <w:hideMark/>
          </w:tcPr>
          <w:p w14:paraId="1D808E4F" w14:textId="77777777" w:rsidR="00D36170" w:rsidRPr="00D36170" w:rsidRDefault="00D36170" w:rsidP="00D361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36170">
              <w:rPr>
                <w:rFonts w:eastAsia="Times New Roman"/>
                <w:sz w:val="18"/>
                <w:szCs w:val="18"/>
                <w:bdr w:val="none" w:sz="0" w:space="0" w:color="auto"/>
                <w:lang w:eastAsia="es-ES"/>
              </w:rPr>
              <w:t>(207.646,63)</w:t>
            </w:r>
          </w:p>
        </w:tc>
      </w:tr>
      <w:tr w:rsidR="00D36170" w:rsidRPr="00D36170" w14:paraId="7EC550B7" w14:textId="77777777" w:rsidTr="0071126B">
        <w:trPr>
          <w:trHeight w:val="240"/>
        </w:trPr>
        <w:tc>
          <w:tcPr>
            <w:tcW w:w="2088" w:type="pct"/>
            <w:tcBorders>
              <w:top w:val="nil"/>
              <w:left w:val="nil"/>
              <w:bottom w:val="nil"/>
              <w:right w:val="nil"/>
            </w:tcBorders>
            <w:shd w:val="clear" w:color="auto" w:fill="auto"/>
            <w:vAlign w:val="center"/>
            <w:hideMark/>
          </w:tcPr>
          <w:p w14:paraId="1DB4DF36" w14:textId="77777777" w:rsidR="00D36170" w:rsidRPr="00D36170" w:rsidRDefault="00D36170" w:rsidP="00D3617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D36170">
              <w:rPr>
                <w:rFonts w:eastAsia="Times New Roman"/>
                <w:sz w:val="18"/>
                <w:szCs w:val="18"/>
                <w:bdr w:val="none" w:sz="0" w:space="0" w:color="auto"/>
                <w:lang w:eastAsia="es-ES"/>
              </w:rPr>
              <w:t>Instalaciones técnicas</w:t>
            </w:r>
          </w:p>
        </w:tc>
        <w:tc>
          <w:tcPr>
            <w:tcW w:w="728" w:type="pct"/>
            <w:tcBorders>
              <w:top w:val="nil"/>
              <w:left w:val="nil"/>
              <w:bottom w:val="nil"/>
              <w:right w:val="nil"/>
            </w:tcBorders>
            <w:shd w:val="clear" w:color="auto" w:fill="auto"/>
            <w:vAlign w:val="center"/>
            <w:hideMark/>
          </w:tcPr>
          <w:p w14:paraId="3EE3CEFE" w14:textId="77777777" w:rsidR="00D36170" w:rsidRPr="00D36170" w:rsidRDefault="00D36170" w:rsidP="00D361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36170">
              <w:rPr>
                <w:rFonts w:eastAsia="Times New Roman"/>
                <w:sz w:val="18"/>
                <w:szCs w:val="18"/>
                <w:bdr w:val="none" w:sz="0" w:space="0" w:color="auto"/>
                <w:lang w:eastAsia="es-ES"/>
              </w:rPr>
              <w:t>(26.457,06)</w:t>
            </w:r>
          </w:p>
        </w:tc>
        <w:tc>
          <w:tcPr>
            <w:tcW w:w="728" w:type="pct"/>
            <w:tcBorders>
              <w:top w:val="nil"/>
              <w:left w:val="nil"/>
              <w:bottom w:val="nil"/>
              <w:right w:val="nil"/>
            </w:tcBorders>
            <w:shd w:val="clear" w:color="auto" w:fill="auto"/>
            <w:vAlign w:val="center"/>
            <w:hideMark/>
          </w:tcPr>
          <w:p w14:paraId="4488BED7" w14:textId="77777777" w:rsidR="00D36170" w:rsidRPr="00D36170" w:rsidRDefault="00D36170" w:rsidP="00D361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36170">
              <w:rPr>
                <w:rFonts w:eastAsia="Times New Roman"/>
                <w:sz w:val="18"/>
                <w:szCs w:val="18"/>
                <w:bdr w:val="none" w:sz="0" w:space="0" w:color="auto"/>
                <w:lang w:eastAsia="es-ES"/>
              </w:rPr>
              <w:t>(111,22)</w:t>
            </w:r>
          </w:p>
        </w:tc>
        <w:tc>
          <w:tcPr>
            <w:tcW w:w="728" w:type="pct"/>
            <w:tcBorders>
              <w:top w:val="nil"/>
              <w:left w:val="nil"/>
              <w:bottom w:val="nil"/>
              <w:right w:val="nil"/>
            </w:tcBorders>
            <w:shd w:val="clear" w:color="auto" w:fill="auto"/>
            <w:vAlign w:val="center"/>
            <w:hideMark/>
          </w:tcPr>
          <w:p w14:paraId="4D0E0C68" w14:textId="77777777" w:rsidR="00D36170" w:rsidRPr="00D36170" w:rsidRDefault="00D36170" w:rsidP="00D361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36170">
              <w:rPr>
                <w:rFonts w:eastAsia="Times New Roman"/>
                <w:sz w:val="18"/>
                <w:szCs w:val="18"/>
                <w:bdr w:val="none" w:sz="0" w:space="0" w:color="auto"/>
                <w:lang w:eastAsia="es-ES"/>
              </w:rPr>
              <w:t>2.810,60</w:t>
            </w:r>
          </w:p>
        </w:tc>
        <w:tc>
          <w:tcPr>
            <w:tcW w:w="728" w:type="pct"/>
            <w:tcBorders>
              <w:top w:val="nil"/>
              <w:left w:val="nil"/>
              <w:bottom w:val="nil"/>
              <w:right w:val="nil"/>
            </w:tcBorders>
            <w:shd w:val="clear" w:color="auto" w:fill="auto"/>
            <w:vAlign w:val="center"/>
            <w:hideMark/>
          </w:tcPr>
          <w:p w14:paraId="2EFEC481" w14:textId="77777777" w:rsidR="00D36170" w:rsidRPr="00D36170" w:rsidRDefault="00D36170" w:rsidP="00D361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36170">
              <w:rPr>
                <w:rFonts w:eastAsia="Times New Roman"/>
                <w:sz w:val="18"/>
                <w:szCs w:val="18"/>
                <w:bdr w:val="none" w:sz="0" w:space="0" w:color="auto"/>
                <w:lang w:eastAsia="es-ES"/>
              </w:rPr>
              <w:t>(23.757,68)</w:t>
            </w:r>
          </w:p>
        </w:tc>
      </w:tr>
      <w:tr w:rsidR="00D36170" w:rsidRPr="00D36170" w14:paraId="51E9C5B2" w14:textId="77777777" w:rsidTr="0071126B">
        <w:trPr>
          <w:trHeight w:val="240"/>
        </w:trPr>
        <w:tc>
          <w:tcPr>
            <w:tcW w:w="2088" w:type="pct"/>
            <w:tcBorders>
              <w:top w:val="nil"/>
              <w:left w:val="nil"/>
              <w:bottom w:val="nil"/>
              <w:right w:val="nil"/>
            </w:tcBorders>
            <w:shd w:val="clear" w:color="auto" w:fill="auto"/>
            <w:vAlign w:val="center"/>
            <w:hideMark/>
          </w:tcPr>
          <w:p w14:paraId="72B68419" w14:textId="77777777" w:rsidR="00D36170" w:rsidRPr="00D36170" w:rsidRDefault="00D36170" w:rsidP="00D3617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D36170">
              <w:rPr>
                <w:rFonts w:eastAsia="Times New Roman"/>
                <w:sz w:val="18"/>
                <w:szCs w:val="18"/>
                <w:bdr w:val="none" w:sz="0" w:space="0" w:color="auto"/>
                <w:lang w:eastAsia="es-ES"/>
              </w:rPr>
              <w:t>Mobiliario</w:t>
            </w:r>
          </w:p>
        </w:tc>
        <w:tc>
          <w:tcPr>
            <w:tcW w:w="728" w:type="pct"/>
            <w:tcBorders>
              <w:top w:val="nil"/>
              <w:left w:val="nil"/>
              <w:bottom w:val="nil"/>
              <w:right w:val="nil"/>
            </w:tcBorders>
            <w:shd w:val="clear" w:color="auto" w:fill="auto"/>
            <w:vAlign w:val="center"/>
            <w:hideMark/>
          </w:tcPr>
          <w:p w14:paraId="5EF6AA97" w14:textId="77777777" w:rsidR="00D36170" w:rsidRPr="00D36170" w:rsidRDefault="00D36170" w:rsidP="00D361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36170">
              <w:rPr>
                <w:rFonts w:eastAsia="Times New Roman"/>
                <w:sz w:val="18"/>
                <w:szCs w:val="18"/>
                <w:bdr w:val="none" w:sz="0" w:space="0" w:color="auto"/>
                <w:lang w:eastAsia="es-ES"/>
              </w:rPr>
              <w:t>(237.469,06)</w:t>
            </w:r>
          </w:p>
        </w:tc>
        <w:tc>
          <w:tcPr>
            <w:tcW w:w="728" w:type="pct"/>
            <w:tcBorders>
              <w:top w:val="nil"/>
              <w:left w:val="nil"/>
              <w:bottom w:val="nil"/>
              <w:right w:val="nil"/>
            </w:tcBorders>
            <w:shd w:val="clear" w:color="auto" w:fill="auto"/>
            <w:vAlign w:val="center"/>
            <w:hideMark/>
          </w:tcPr>
          <w:p w14:paraId="37FB5845" w14:textId="77777777" w:rsidR="00D36170" w:rsidRPr="00D36170" w:rsidRDefault="00D36170" w:rsidP="00D361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36170">
              <w:rPr>
                <w:rFonts w:eastAsia="Times New Roman"/>
                <w:sz w:val="18"/>
                <w:szCs w:val="18"/>
                <w:bdr w:val="none" w:sz="0" w:space="0" w:color="auto"/>
                <w:lang w:eastAsia="es-ES"/>
              </w:rPr>
              <w:t>(20.942,83)</w:t>
            </w:r>
          </w:p>
        </w:tc>
        <w:tc>
          <w:tcPr>
            <w:tcW w:w="728" w:type="pct"/>
            <w:tcBorders>
              <w:top w:val="nil"/>
              <w:left w:val="nil"/>
              <w:bottom w:val="nil"/>
              <w:right w:val="nil"/>
            </w:tcBorders>
            <w:shd w:val="clear" w:color="auto" w:fill="auto"/>
            <w:vAlign w:val="center"/>
            <w:hideMark/>
          </w:tcPr>
          <w:p w14:paraId="40761ABF" w14:textId="77777777" w:rsidR="00D36170" w:rsidRPr="00D36170" w:rsidRDefault="00D36170" w:rsidP="00D361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36170">
              <w:rPr>
                <w:rFonts w:eastAsia="Times New Roman"/>
                <w:sz w:val="18"/>
                <w:szCs w:val="18"/>
                <w:bdr w:val="none" w:sz="0" w:space="0" w:color="auto"/>
                <w:lang w:eastAsia="es-ES"/>
              </w:rPr>
              <w:t>3.752,10</w:t>
            </w:r>
          </w:p>
        </w:tc>
        <w:tc>
          <w:tcPr>
            <w:tcW w:w="728" w:type="pct"/>
            <w:tcBorders>
              <w:top w:val="nil"/>
              <w:left w:val="nil"/>
              <w:bottom w:val="nil"/>
              <w:right w:val="nil"/>
            </w:tcBorders>
            <w:shd w:val="clear" w:color="auto" w:fill="auto"/>
            <w:vAlign w:val="center"/>
            <w:hideMark/>
          </w:tcPr>
          <w:p w14:paraId="0DECD666" w14:textId="77777777" w:rsidR="00D36170" w:rsidRPr="00D36170" w:rsidRDefault="00D36170" w:rsidP="00D361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36170">
              <w:rPr>
                <w:rFonts w:eastAsia="Times New Roman"/>
                <w:sz w:val="18"/>
                <w:szCs w:val="18"/>
                <w:bdr w:val="none" w:sz="0" w:space="0" w:color="auto"/>
                <w:lang w:eastAsia="es-ES"/>
              </w:rPr>
              <w:t>(254.659,79)</w:t>
            </w:r>
          </w:p>
        </w:tc>
      </w:tr>
      <w:tr w:rsidR="00D36170" w:rsidRPr="00D36170" w14:paraId="7EF0968A" w14:textId="77777777" w:rsidTr="0071126B">
        <w:trPr>
          <w:trHeight w:val="240"/>
        </w:trPr>
        <w:tc>
          <w:tcPr>
            <w:tcW w:w="2088" w:type="pct"/>
            <w:tcBorders>
              <w:top w:val="nil"/>
              <w:left w:val="nil"/>
              <w:bottom w:val="nil"/>
              <w:right w:val="nil"/>
            </w:tcBorders>
            <w:shd w:val="clear" w:color="auto" w:fill="auto"/>
            <w:vAlign w:val="center"/>
            <w:hideMark/>
          </w:tcPr>
          <w:p w14:paraId="105211D0" w14:textId="77777777" w:rsidR="00D36170" w:rsidRPr="00D36170" w:rsidRDefault="00D36170" w:rsidP="00D3617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D36170">
              <w:rPr>
                <w:rFonts w:eastAsia="Times New Roman"/>
                <w:sz w:val="18"/>
                <w:szCs w:val="18"/>
                <w:bdr w:val="none" w:sz="0" w:space="0" w:color="auto"/>
                <w:lang w:eastAsia="es-ES"/>
              </w:rPr>
              <w:t>Otro inmovilizado</w:t>
            </w:r>
          </w:p>
        </w:tc>
        <w:tc>
          <w:tcPr>
            <w:tcW w:w="728" w:type="pct"/>
            <w:tcBorders>
              <w:top w:val="nil"/>
              <w:left w:val="nil"/>
              <w:bottom w:val="nil"/>
              <w:right w:val="nil"/>
            </w:tcBorders>
            <w:shd w:val="clear" w:color="auto" w:fill="auto"/>
            <w:vAlign w:val="center"/>
            <w:hideMark/>
          </w:tcPr>
          <w:p w14:paraId="37820B5D" w14:textId="77777777" w:rsidR="00D36170" w:rsidRPr="00D36170" w:rsidRDefault="00D36170" w:rsidP="00D361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36170">
              <w:rPr>
                <w:rFonts w:eastAsia="Times New Roman"/>
                <w:sz w:val="18"/>
                <w:szCs w:val="18"/>
                <w:bdr w:val="none" w:sz="0" w:space="0" w:color="auto"/>
                <w:lang w:eastAsia="es-ES"/>
              </w:rPr>
              <w:t>(238.298,30)</w:t>
            </w:r>
          </w:p>
        </w:tc>
        <w:tc>
          <w:tcPr>
            <w:tcW w:w="728" w:type="pct"/>
            <w:tcBorders>
              <w:top w:val="nil"/>
              <w:left w:val="nil"/>
              <w:bottom w:val="nil"/>
              <w:right w:val="nil"/>
            </w:tcBorders>
            <w:shd w:val="clear" w:color="auto" w:fill="auto"/>
            <w:vAlign w:val="center"/>
            <w:hideMark/>
          </w:tcPr>
          <w:p w14:paraId="12FACE79" w14:textId="77777777" w:rsidR="00D36170" w:rsidRPr="00D36170" w:rsidRDefault="00D36170" w:rsidP="00D361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36170">
              <w:rPr>
                <w:rFonts w:eastAsia="Times New Roman"/>
                <w:sz w:val="18"/>
                <w:szCs w:val="18"/>
                <w:bdr w:val="none" w:sz="0" w:space="0" w:color="auto"/>
                <w:lang w:eastAsia="es-ES"/>
              </w:rPr>
              <w:t>(16.787,98)</w:t>
            </w:r>
          </w:p>
        </w:tc>
        <w:tc>
          <w:tcPr>
            <w:tcW w:w="728" w:type="pct"/>
            <w:tcBorders>
              <w:top w:val="nil"/>
              <w:left w:val="nil"/>
              <w:bottom w:val="nil"/>
              <w:right w:val="nil"/>
            </w:tcBorders>
            <w:shd w:val="clear" w:color="auto" w:fill="auto"/>
            <w:vAlign w:val="center"/>
            <w:hideMark/>
          </w:tcPr>
          <w:p w14:paraId="3ACFA9B6" w14:textId="77777777" w:rsidR="00D36170" w:rsidRPr="00D36170" w:rsidRDefault="00D36170" w:rsidP="00D361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36170">
              <w:rPr>
                <w:rFonts w:eastAsia="Times New Roman"/>
                <w:sz w:val="18"/>
                <w:szCs w:val="18"/>
                <w:bdr w:val="none" w:sz="0" w:space="0" w:color="auto"/>
                <w:lang w:eastAsia="es-ES"/>
              </w:rPr>
              <w:t>29.077,98</w:t>
            </w:r>
          </w:p>
        </w:tc>
        <w:tc>
          <w:tcPr>
            <w:tcW w:w="728" w:type="pct"/>
            <w:tcBorders>
              <w:top w:val="nil"/>
              <w:left w:val="nil"/>
              <w:bottom w:val="nil"/>
              <w:right w:val="nil"/>
            </w:tcBorders>
            <w:shd w:val="clear" w:color="auto" w:fill="auto"/>
            <w:vAlign w:val="center"/>
            <w:hideMark/>
          </w:tcPr>
          <w:p w14:paraId="4BAE75F8" w14:textId="77777777" w:rsidR="00D36170" w:rsidRPr="00D36170" w:rsidRDefault="00D36170" w:rsidP="00D361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36170">
              <w:rPr>
                <w:rFonts w:eastAsia="Times New Roman"/>
                <w:sz w:val="18"/>
                <w:szCs w:val="18"/>
                <w:bdr w:val="none" w:sz="0" w:space="0" w:color="auto"/>
                <w:lang w:eastAsia="es-ES"/>
              </w:rPr>
              <w:t>(226.008,30)</w:t>
            </w:r>
          </w:p>
        </w:tc>
      </w:tr>
      <w:tr w:rsidR="00D36170" w:rsidRPr="00D36170" w14:paraId="0776BF75" w14:textId="77777777" w:rsidTr="0071126B">
        <w:trPr>
          <w:trHeight w:val="240"/>
        </w:trPr>
        <w:tc>
          <w:tcPr>
            <w:tcW w:w="2088" w:type="pct"/>
            <w:tcBorders>
              <w:top w:val="nil"/>
              <w:left w:val="nil"/>
              <w:bottom w:val="nil"/>
              <w:right w:val="nil"/>
            </w:tcBorders>
            <w:shd w:val="clear" w:color="auto" w:fill="auto"/>
            <w:vAlign w:val="center"/>
            <w:hideMark/>
          </w:tcPr>
          <w:p w14:paraId="6ECC181A" w14:textId="77777777" w:rsidR="00D36170" w:rsidRPr="00D36170" w:rsidRDefault="00D36170" w:rsidP="00D361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p>
        </w:tc>
        <w:tc>
          <w:tcPr>
            <w:tcW w:w="728" w:type="pct"/>
            <w:tcBorders>
              <w:top w:val="single" w:sz="4" w:space="0" w:color="auto"/>
              <w:left w:val="nil"/>
              <w:bottom w:val="nil"/>
              <w:right w:val="nil"/>
            </w:tcBorders>
            <w:shd w:val="clear" w:color="auto" w:fill="auto"/>
            <w:vAlign w:val="center"/>
            <w:hideMark/>
          </w:tcPr>
          <w:p w14:paraId="26C593E9" w14:textId="77777777" w:rsidR="00D36170" w:rsidRPr="00D36170" w:rsidRDefault="00D36170" w:rsidP="00D361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D36170">
              <w:rPr>
                <w:rFonts w:eastAsia="Times New Roman"/>
                <w:b/>
                <w:bCs/>
                <w:sz w:val="18"/>
                <w:szCs w:val="18"/>
                <w:bdr w:val="none" w:sz="0" w:space="0" w:color="auto"/>
                <w:lang w:eastAsia="es-ES"/>
              </w:rPr>
              <w:t>(692.287,10)</w:t>
            </w:r>
          </w:p>
        </w:tc>
        <w:tc>
          <w:tcPr>
            <w:tcW w:w="728" w:type="pct"/>
            <w:tcBorders>
              <w:top w:val="single" w:sz="4" w:space="0" w:color="auto"/>
              <w:left w:val="nil"/>
              <w:bottom w:val="single" w:sz="4" w:space="0" w:color="auto"/>
              <w:right w:val="nil"/>
            </w:tcBorders>
            <w:shd w:val="clear" w:color="auto" w:fill="auto"/>
            <w:vAlign w:val="center"/>
            <w:hideMark/>
          </w:tcPr>
          <w:p w14:paraId="04C80BDE" w14:textId="77777777" w:rsidR="00D36170" w:rsidRPr="00D36170" w:rsidRDefault="00D36170" w:rsidP="00D361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D36170">
              <w:rPr>
                <w:rFonts w:eastAsia="Times New Roman"/>
                <w:b/>
                <w:bCs/>
                <w:sz w:val="18"/>
                <w:szCs w:val="18"/>
                <w:bdr w:val="none" w:sz="0" w:space="0" w:color="auto"/>
                <w:lang w:eastAsia="es-ES"/>
              </w:rPr>
              <w:t>(55.425,98)</w:t>
            </w:r>
          </w:p>
        </w:tc>
        <w:tc>
          <w:tcPr>
            <w:tcW w:w="728" w:type="pct"/>
            <w:tcBorders>
              <w:top w:val="single" w:sz="4" w:space="0" w:color="auto"/>
              <w:left w:val="nil"/>
              <w:bottom w:val="single" w:sz="4" w:space="0" w:color="auto"/>
              <w:right w:val="nil"/>
            </w:tcBorders>
            <w:shd w:val="clear" w:color="auto" w:fill="auto"/>
            <w:vAlign w:val="center"/>
            <w:hideMark/>
          </w:tcPr>
          <w:p w14:paraId="097BFC4C" w14:textId="77777777" w:rsidR="00D36170" w:rsidRPr="00D36170" w:rsidRDefault="00D36170" w:rsidP="00D361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D36170">
              <w:rPr>
                <w:rFonts w:eastAsia="Times New Roman"/>
                <w:b/>
                <w:bCs/>
                <w:sz w:val="18"/>
                <w:szCs w:val="18"/>
                <w:bdr w:val="none" w:sz="0" w:space="0" w:color="auto"/>
                <w:lang w:eastAsia="es-ES"/>
              </w:rPr>
              <w:t>35.640,68</w:t>
            </w:r>
          </w:p>
        </w:tc>
        <w:tc>
          <w:tcPr>
            <w:tcW w:w="728" w:type="pct"/>
            <w:tcBorders>
              <w:top w:val="single" w:sz="4" w:space="0" w:color="auto"/>
              <w:left w:val="nil"/>
              <w:bottom w:val="single" w:sz="4" w:space="0" w:color="auto"/>
              <w:right w:val="nil"/>
            </w:tcBorders>
            <w:shd w:val="clear" w:color="auto" w:fill="auto"/>
            <w:vAlign w:val="center"/>
            <w:hideMark/>
          </w:tcPr>
          <w:p w14:paraId="748AAF5F" w14:textId="77777777" w:rsidR="00D36170" w:rsidRPr="00D36170" w:rsidRDefault="00D36170" w:rsidP="00D361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D36170">
              <w:rPr>
                <w:rFonts w:eastAsia="Times New Roman"/>
                <w:b/>
                <w:bCs/>
                <w:sz w:val="18"/>
                <w:szCs w:val="18"/>
                <w:bdr w:val="none" w:sz="0" w:space="0" w:color="auto"/>
                <w:lang w:eastAsia="es-ES"/>
              </w:rPr>
              <w:t>(712.072,40)</w:t>
            </w:r>
          </w:p>
        </w:tc>
      </w:tr>
      <w:tr w:rsidR="00D36170" w:rsidRPr="00D36170" w14:paraId="5E59AFB5" w14:textId="77777777" w:rsidTr="00FF35D6">
        <w:tblPrEx>
          <w:jc w:val="center"/>
        </w:tblPrEx>
        <w:trPr>
          <w:trHeight w:val="283"/>
          <w:jc w:val="center"/>
        </w:trPr>
        <w:tc>
          <w:tcPr>
            <w:tcW w:w="2088" w:type="pct"/>
            <w:tcBorders>
              <w:top w:val="single" w:sz="4" w:space="0" w:color="auto"/>
              <w:left w:val="nil"/>
              <w:bottom w:val="single" w:sz="4" w:space="0" w:color="auto"/>
              <w:right w:val="nil"/>
            </w:tcBorders>
            <w:shd w:val="clear" w:color="auto" w:fill="auto"/>
            <w:vAlign w:val="center"/>
            <w:hideMark/>
          </w:tcPr>
          <w:p w14:paraId="719BAD5D" w14:textId="77777777" w:rsidR="00D36170" w:rsidRPr="00D36170" w:rsidRDefault="00D36170" w:rsidP="00D3617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D36170">
              <w:rPr>
                <w:rFonts w:eastAsia="Times New Roman"/>
                <w:b/>
                <w:bCs/>
                <w:sz w:val="18"/>
                <w:szCs w:val="18"/>
                <w:bdr w:val="none" w:sz="0" w:space="0" w:color="auto"/>
                <w:lang w:eastAsia="es-ES"/>
              </w:rPr>
              <w:t>Valor neto contable</w:t>
            </w:r>
          </w:p>
        </w:tc>
        <w:tc>
          <w:tcPr>
            <w:tcW w:w="728" w:type="pct"/>
            <w:tcBorders>
              <w:top w:val="single" w:sz="4" w:space="0" w:color="auto"/>
              <w:left w:val="nil"/>
              <w:bottom w:val="single" w:sz="4" w:space="0" w:color="auto"/>
              <w:right w:val="nil"/>
            </w:tcBorders>
            <w:shd w:val="clear" w:color="auto" w:fill="auto"/>
            <w:vAlign w:val="center"/>
            <w:hideMark/>
          </w:tcPr>
          <w:p w14:paraId="7C56BC06" w14:textId="77777777" w:rsidR="00D36170" w:rsidRPr="00D36170" w:rsidRDefault="00D36170" w:rsidP="00D361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D36170">
              <w:rPr>
                <w:rFonts w:eastAsia="Times New Roman"/>
                <w:b/>
                <w:bCs/>
                <w:sz w:val="18"/>
                <w:szCs w:val="18"/>
                <w:bdr w:val="none" w:sz="0" w:space="0" w:color="auto"/>
                <w:lang w:eastAsia="es-ES"/>
              </w:rPr>
              <w:t>434.046,33</w:t>
            </w:r>
          </w:p>
        </w:tc>
        <w:tc>
          <w:tcPr>
            <w:tcW w:w="728" w:type="pct"/>
            <w:tcBorders>
              <w:top w:val="nil"/>
              <w:left w:val="nil"/>
              <w:bottom w:val="single" w:sz="4" w:space="0" w:color="auto"/>
              <w:right w:val="nil"/>
            </w:tcBorders>
            <w:shd w:val="clear" w:color="auto" w:fill="auto"/>
            <w:vAlign w:val="center"/>
            <w:hideMark/>
          </w:tcPr>
          <w:p w14:paraId="26781A1B" w14:textId="77777777" w:rsidR="00D36170" w:rsidRPr="00D36170" w:rsidRDefault="00D36170" w:rsidP="00D361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D36170">
              <w:rPr>
                <w:rFonts w:eastAsia="Times New Roman"/>
                <w:b/>
                <w:bCs/>
                <w:sz w:val="18"/>
                <w:szCs w:val="18"/>
                <w:bdr w:val="none" w:sz="0" w:space="0" w:color="auto"/>
                <w:lang w:eastAsia="es-ES"/>
              </w:rPr>
              <w:t> </w:t>
            </w:r>
          </w:p>
        </w:tc>
        <w:tc>
          <w:tcPr>
            <w:tcW w:w="728" w:type="pct"/>
            <w:tcBorders>
              <w:top w:val="nil"/>
              <w:left w:val="nil"/>
              <w:bottom w:val="single" w:sz="4" w:space="0" w:color="auto"/>
              <w:right w:val="nil"/>
            </w:tcBorders>
            <w:shd w:val="clear" w:color="auto" w:fill="auto"/>
            <w:vAlign w:val="center"/>
            <w:hideMark/>
          </w:tcPr>
          <w:p w14:paraId="688E553F" w14:textId="77777777" w:rsidR="00D36170" w:rsidRPr="00D36170" w:rsidRDefault="00D36170" w:rsidP="00D361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D36170">
              <w:rPr>
                <w:rFonts w:eastAsia="Times New Roman"/>
                <w:b/>
                <w:bCs/>
                <w:sz w:val="18"/>
                <w:szCs w:val="18"/>
                <w:bdr w:val="none" w:sz="0" w:space="0" w:color="auto"/>
                <w:lang w:eastAsia="es-ES"/>
              </w:rPr>
              <w:t> </w:t>
            </w:r>
          </w:p>
        </w:tc>
        <w:tc>
          <w:tcPr>
            <w:tcW w:w="728" w:type="pct"/>
            <w:tcBorders>
              <w:top w:val="nil"/>
              <w:left w:val="nil"/>
              <w:bottom w:val="single" w:sz="4" w:space="0" w:color="auto"/>
              <w:right w:val="nil"/>
            </w:tcBorders>
            <w:shd w:val="clear" w:color="auto" w:fill="auto"/>
            <w:vAlign w:val="center"/>
            <w:hideMark/>
          </w:tcPr>
          <w:p w14:paraId="3769511E" w14:textId="77777777" w:rsidR="00D36170" w:rsidRPr="00D36170" w:rsidRDefault="00D36170" w:rsidP="00D361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D36170">
              <w:rPr>
                <w:rFonts w:eastAsia="Times New Roman"/>
                <w:b/>
                <w:bCs/>
                <w:sz w:val="18"/>
                <w:szCs w:val="18"/>
                <w:bdr w:val="none" w:sz="0" w:space="0" w:color="auto"/>
                <w:lang w:eastAsia="es-ES"/>
              </w:rPr>
              <w:t>417.539,40</w:t>
            </w:r>
          </w:p>
        </w:tc>
      </w:tr>
    </w:tbl>
    <w:p w14:paraId="31B69B5B" w14:textId="77777777" w:rsidR="006220A2" w:rsidRPr="00BA60DB" w:rsidRDefault="006220A2" w:rsidP="006220A2">
      <w:pPr>
        <w:keepNext/>
        <w:keepLines/>
        <w:widowControl w:val="0"/>
        <w:tabs>
          <w:tab w:val="left" w:pos="284"/>
        </w:tabs>
        <w:spacing w:before="200"/>
        <w:rPr>
          <w:sz w:val="20"/>
          <w:szCs w:val="22"/>
        </w:rPr>
      </w:pPr>
      <w:r w:rsidRPr="00BA60DB">
        <w:rPr>
          <w:sz w:val="20"/>
          <w:szCs w:val="22"/>
        </w:rPr>
        <w:t>a)</w:t>
      </w:r>
      <w:r w:rsidRPr="00BA60DB">
        <w:rPr>
          <w:sz w:val="20"/>
          <w:szCs w:val="22"/>
        </w:rPr>
        <w:tab/>
      </w:r>
      <w:r w:rsidRPr="00BA60DB">
        <w:rPr>
          <w:sz w:val="20"/>
          <w:szCs w:val="22"/>
          <w:u w:val="single"/>
        </w:rPr>
        <w:t>Construcciones</w:t>
      </w:r>
    </w:p>
    <w:p w14:paraId="4572BB6A" w14:textId="77777777" w:rsidR="006220A2" w:rsidRPr="00BA60DB" w:rsidRDefault="006220A2" w:rsidP="006220A2">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snapToGrid w:val="0"/>
          <w:sz w:val="20"/>
          <w:szCs w:val="22"/>
        </w:rPr>
      </w:pPr>
      <w:r w:rsidRPr="00900988">
        <w:rPr>
          <w:snapToGrid w:val="0"/>
          <w:sz w:val="20"/>
          <w:szCs w:val="22"/>
        </w:rPr>
        <w:t xml:space="preserve">Este epígrafe incluye 528.046,64 euros que se corresponde con el permiso de ocupación temporal sobre bienes inmuebles que le ha concedido la Consejería de Turismo del Gobierno de Canarias a la Sociedad, para la ocupación del almacén y las oficinas que sirven en la actualidad como sede social a la misma y que están en </w:t>
      </w:r>
      <w:smartTag w:uri="urn:schemas-microsoft-com:office:smarttags" w:element="PersonName">
        <w:smartTagPr>
          <w:attr w:name="ProductID" w:val="la Calle Concepci￳n Arenal"/>
        </w:smartTagPr>
        <w:r w:rsidRPr="00900988">
          <w:rPr>
            <w:snapToGrid w:val="0"/>
            <w:sz w:val="20"/>
            <w:szCs w:val="22"/>
          </w:rPr>
          <w:t>la Calle Concepción Arenal</w:t>
        </w:r>
      </w:smartTag>
      <w:r w:rsidRPr="00900988">
        <w:rPr>
          <w:snapToGrid w:val="0"/>
          <w:sz w:val="20"/>
          <w:szCs w:val="22"/>
        </w:rPr>
        <w:t xml:space="preserve">, nº 13 y 14 (entrada por </w:t>
      </w:r>
      <w:smartTag w:uri="urn:schemas-microsoft-com:office:smarttags" w:element="PersonName">
        <w:smartTagPr>
          <w:attr w:name="ProductID" w:val="la calle V￭ctor Hugo"/>
        </w:smartTagPr>
        <w:r w:rsidRPr="00900988">
          <w:rPr>
            <w:snapToGrid w:val="0"/>
            <w:sz w:val="20"/>
            <w:szCs w:val="22"/>
          </w:rPr>
          <w:t>la Calle Víctor Hugo</w:t>
        </w:r>
      </w:smartTag>
      <w:r w:rsidRPr="00900988">
        <w:rPr>
          <w:snapToGrid w:val="0"/>
          <w:sz w:val="20"/>
          <w:szCs w:val="22"/>
        </w:rPr>
        <w:t xml:space="preserve"> nº 60) de Las Palmas de Gran Canaria. Este permiso es renovable anualmente con una vigencia máxima de 30 años. (Nota 15.1)</w:t>
      </w:r>
    </w:p>
    <w:p w14:paraId="5D8CA4AD" w14:textId="77777777" w:rsidR="006220A2" w:rsidRDefault="006220A2" w:rsidP="006220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snapToGrid w:val="0"/>
          <w:sz w:val="20"/>
          <w:szCs w:val="22"/>
        </w:rPr>
      </w:pPr>
      <w:r w:rsidRPr="00BA60DB">
        <w:rPr>
          <w:snapToGrid w:val="0"/>
          <w:sz w:val="20"/>
          <w:szCs w:val="22"/>
        </w:rPr>
        <w:t>Estas construcciones se están amortizando al 3% anual.</w:t>
      </w:r>
    </w:p>
    <w:p w14:paraId="77967283" w14:textId="77777777" w:rsidR="006220A2" w:rsidRPr="00BA60DB" w:rsidRDefault="006220A2" w:rsidP="006220A2">
      <w:pPr>
        <w:widowControl w:val="0"/>
        <w:tabs>
          <w:tab w:val="left" w:pos="284"/>
        </w:tabs>
        <w:spacing w:before="200"/>
        <w:rPr>
          <w:snapToGrid w:val="0"/>
          <w:sz w:val="20"/>
          <w:szCs w:val="22"/>
        </w:rPr>
      </w:pPr>
      <w:r w:rsidRPr="00BA60DB">
        <w:rPr>
          <w:sz w:val="20"/>
          <w:szCs w:val="22"/>
        </w:rPr>
        <w:t>b)</w:t>
      </w:r>
      <w:r w:rsidRPr="00BA60DB">
        <w:rPr>
          <w:sz w:val="20"/>
          <w:szCs w:val="22"/>
        </w:rPr>
        <w:tab/>
      </w:r>
      <w:r w:rsidRPr="00BA60DB">
        <w:rPr>
          <w:sz w:val="20"/>
          <w:szCs w:val="22"/>
          <w:u w:val="single"/>
        </w:rPr>
        <w:t xml:space="preserve">Pérdidas por deterioro </w:t>
      </w:r>
    </w:p>
    <w:p w14:paraId="61B3FA7B" w14:textId="77777777" w:rsidR="006220A2" w:rsidRPr="00BA60DB" w:rsidRDefault="00403785" w:rsidP="006220A2">
      <w:pPr>
        <w:widowControl w:val="0"/>
        <w:spacing w:before="120"/>
        <w:jc w:val="both"/>
        <w:rPr>
          <w:snapToGrid w:val="0"/>
          <w:sz w:val="20"/>
          <w:szCs w:val="22"/>
        </w:rPr>
      </w:pPr>
      <w:r>
        <w:rPr>
          <w:sz w:val="20"/>
          <w:szCs w:val="22"/>
        </w:rPr>
        <w:t>Durante el ejercicio 2018</w:t>
      </w:r>
      <w:r w:rsidR="006220A2" w:rsidRPr="006543CB">
        <w:rPr>
          <w:sz w:val="20"/>
          <w:szCs w:val="22"/>
        </w:rPr>
        <w:t xml:space="preserve"> no se ha reconocido ni revertido correcciones valorativas por deterioro significativas para ningún inmovilizado material individual.</w:t>
      </w:r>
    </w:p>
    <w:p w14:paraId="509D3A4B" w14:textId="77777777" w:rsidR="006220A2" w:rsidRPr="00BA60DB" w:rsidRDefault="006220A2" w:rsidP="006220A2">
      <w:pPr>
        <w:widowControl w:val="0"/>
        <w:tabs>
          <w:tab w:val="left" w:pos="284"/>
        </w:tabs>
        <w:spacing w:before="200"/>
        <w:rPr>
          <w:sz w:val="20"/>
          <w:szCs w:val="22"/>
        </w:rPr>
      </w:pPr>
      <w:r w:rsidRPr="00BA60DB">
        <w:rPr>
          <w:snapToGrid w:val="0"/>
          <w:sz w:val="20"/>
          <w:szCs w:val="22"/>
        </w:rPr>
        <w:t>c)</w:t>
      </w:r>
      <w:r w:rsidRPr="00BA60DB">
        <w:rPr>
          <w:snapToGrid w:val="0"/>
          <w:sz w:val="20"/>
          <w:szCs w:val="22"/>
        </w:rPr>
        <w:tab/>
      </w:r>
      <w:r w:rsidRPr="00BA60DB">
        <w:rPr>
          <w:snapToGrid w:val="0"/>
          <w:sz w:val="20"/>
          <w:szCs w:val="22"/>
          <w:u w:val="single"/>
        </w:rPr>
        <w:t>Bienes totalmente amortizados</w:t>
      </w:r>
    </w:p>
    <w:p w14:paraId="3AD22185" w14:textId="77777777" w:rsidR="006220A2" w:rsidRDefault="006220A2" w:rsidP="006220A2">
      <w:pPr>
        <w:widowControl w:val="0"/>
        <w:tabs>
          <w:tab w:val="left" w:pos="-1446"/>
          <w:tab w:val="left" w:pos="-726"/>
          <w:tab w:val="left" w:pos="426"/>
        </w:tabs>
        <w:spacing w:before="120" w:after="120"/>
        <w:jc w:val="both"/>
        <w:rPr>
          <w:sz w:val="20"/>
          <w:szCs w:val="22"/>
        </w:rPr>
      </w:pPr>
      <w:bookmarkStart w:id="0" w:name="OLE_LINK3"/>
      <w:r w:rsidRPr="00BA60DB">
        <w:rPr>
          <w:sz w:val="20"/>
          <w:szCs w:val="22"/>
        </w:rPr>
        <w:t xml:space="preserve">El desglose del inmovilizado totalmente amortizado y </w:t>
      </w:r>
      <w:r w:rsidR="00403785">
        <w:rPr>
          <w:sz w:val="20"/>
          <w:szCs w:val="22"/>
        </w:rPr>
        <w:t>en uso a 31 de diciembre de 2018 y 2017</w:t>
      </w:r>
      <w:r w:rsidRPr="00BA60DB">
        <w:rPr>
          <w:sz w:val="20"/>
          <w:szCs w:val="22"/>
        </w:rPr>
        <w:t xml:space="preserve"> es el siguiente: </w:t>
      </w:r>
      <w:bookmarkEnd w:id="0"/>
    </w:p>
    <w:tbl>
      <w:tblPr>
        <w:tblW w:w="6804" w:type="dxa"/>
        <w:jc w:val="center"/>
        <w:tblCellMar>
          <w:left w:w="70" w:type="dxa"/>
          <w:right w:w="70" w:type="dxa"/>
        </w:tblCellMar>
        <w:tblLook w:val="04A0" w:firstRow="1" w:lastRow="0" w:firstColumn="1" w:lastColumn="0" w:noHBand="0" w:noVBand="1"/>
      </w:tblPr>
      <w:tblGrid>
        <w:gridCol w:w="3686"/>
        <w:gridCol w:w="1559"/>
        <w:gridCol w:w="1559"/>
      </w:tblGrid>
      <w:tr w:rsidR="006220A2" w:rsidRPr="009C7CF6" w14:paraId="4467948D" w14:textId="77777777" w:rsidTr="00FF35D6">
        <w:trPr>
          <w:trHeight w:val="240"/>
          <w:jc w:val="center"/>
        </w:trPr>
        <w:tc>
          <w:tcPr>
            <w:tcW w:w="3686" w:type="dxa"/>
            <w:tcBorders>
              <w:top w:val="single" w:sz="4" w:space="0" w:color="auto"/>
              <w:left w:val="nil"/>
              <w:bottom w:val="nil"/>
              <w:right w:val="nil"/>
            </w:tcBorders>
            <w:shd w:val="clear" w:color="auto" w:fill="auto"/>
            <w:noWrap/>
            <w:vAlign w:val="bottom"/>
            <w:hideMark/>
          </w:tcPr>
          <w:p w14:paraId="2A5CAFBA" w14:textId="77777777" w:rsidR="006220A2" w:rsidRPr="009C7CF6" w:rsidRDefault="006220A2" w:rsidP="00852114">
            <w:pPr>
              <w:jc w:val="center"/>
              <w:rPr>
                <w:rFonts w:eastAsia="Times New Roman"/>
                <w:sz w:val="18"/>
                <w:szCs w:val="18"/>
              </w:rPr>
            </w:pPr>
            <w:r w:rsidRPr="009C7CF6">
              <w:rPr>
                <w:rFonts w:eastAsia="Times New Roman"/>
                <w:sz w:val="18"/>
                <w:szCs w:val="18"/>
              </w:rPr>
              <w:t> </w:t>
            </w:r>
          </w:p>
        </w:tc>
        <w:tc>
          <w:tcPr>
            <w:tcW w:w="3118" w:type="dxa"/>
            <w:gridSpan w:val="2"/>
            <w:tcBorders>
              <w:top w:val="single" w:sz="4" w:space="0" w:color="auto"/>
              <w:left w:val="nil"/>
              <w:bottom w:val="single" w:sz="4" w:space="0" w:color="auto"/>
              <w:right w:val="nil"/>
            </w:tcBorders>
            <w:shd w:val="clear" w:color="auto" w:fill="auto"/>
            <w:noWrap/>
            <w:vAlign w:val="bottom"/>
            <w:hideMark/>
          </w:tcPr>
          <w:p w14:paraId="40CE4631" w14:textId="77777777" w:rsidR="006220A2" w:rsidRPr="009C7CF6" w:rsidRDefault="006220A2" w:rsidP="00852114">
            <w:pPr>
              <w:jc w:val="center"/>
              <w:rPr>
                <w:rFonts w:eastAsia="Times New Roman"/>
                <w:b/>
                <w:bCs/>
                <w:sz w:val="18"/>
                <w:szCs w:val="18"/>
              </w:rPr>
            </w:pPr>
            <w:r w:rsidRPr="009C7CF6">
              <w:rPr>
                <w:rFonts w:eastAsia="Times New Roman"/>
                <w:b/>
                <w:bCs/>
                <w:sz w:val="18"/>
                <w:szCs w:val="18"/>
              </w:rPr>
              <w:t>Euros</w:t>
            </w:r>
          </w:p>
        </w:tc>
      </w:tr>
      <w:tr w:rsidR="006220A2" w:rsidRPr="009C7CF6" w14:paraId="7BAC1CF9" w14:textId="77777777" w:rsidTr="00FF35D6">
        <w:trPr>
          <w:trHeight w:val="240"/>
          <w:jc w:val="center"/>
        </w:trPr>
        <w:tc>
          <w:tcPr>
            <w:tcW w:w="3686" w:type="dxa"/>
            <w:tcBorders>
              <w:top w:val="nil"/>
              <w:left w:val="nil"/>
              <w:bottom w:val="single" w:sz="4" w:space="0" w:color="auto"/>
              <w:right w:val="nil"/>
            </w:tcBorders>
            <w:shd w:val="clear" w:color="auto" w:fill="auto"/>
            <w:noWrap/>
            <w:vAlign w:val="bottom"/>
            <w:hideMark/>
          </w:tcPr>
          <w:p w14:paraId="54BABB64" w14:textId="77777777" w:rsidR="006220A2" w:rsidRPr="009C7CF6" w:rsidRDefault="006220A2" w:rsidP="00852114">
            <w:pPr>
              <w:jc w:val="center"/>
              <w:rPr>
                <w:rFonts w:eastAsia="Times New Roman"/>
                <w:sz w:val="18"/>
                <w:szCs w:val="18"/>
              </w:rPr>
            </w:pPr>
            <w:r w:rsidRPr="009C7CF6">
              <w:rPr>
                <w:rFonts w:eastAsia="Times New Roman"/>
                <w:sz w:val="18"/>
                <w:szCs w:val="18"/>
              </w:rPr>
              <w:t> </w:t>
            </w:r>
          </w:p>
        </w:tc>
        <w:tc>
          <w:tcPr>
            <w:tcW w:w="1559" w:type="dxa"/>
            <w:tcBorders>
              <w:top w:val="nil"/>
              <w:left w:val="nil"/>
              <w:bottom w:val="single" w:sz="4" w:space="0" w:color="auto"/>
              <w:right w:val="nil"/>
            </w:tcBorders>
            <w:shd w:val="clear" w:color="auto" w:fill="auto"/>
            <w:noWrap/>
            <w:vAlign w:val="bottom"/>
            <w:hideMark/>
          </w:tcPr>
          <w:p w14:paraId="1AB3C0D3" w14:textId="77777777" w:rsidR="006220A2" w:rsidRPr="009C7CF6" w:rsidRDefault="00403785" w:rsidP="00852114">
            <w:pPr>
              <w:jc w:val="center"/>
              <w:rPr>
                <w:rFonts w:eastAsia="Times New Roman"/>
                <w:b/>
                <w:bCs/>
                <w:sz w:val="18"/>
                <w:szCs w:val="18"/>
              </w:rPr>
            </w:pPr>
            <w:r>
              <w:rPr>
                <w:rFonts w:eastAsia="Times New Roman"/>
                <w:b/>
                <w:bCs/>
                <w:sz w:val="18"/>
                <w:szCs w:val="18"/>
              </w:rPr>
              <w:t>31/12/2018</w:t>
            </w:r>
          </w:p>
        </w:tc>
        <w:tc>
          <w:tcPr>
            <w:tcW w:w="1559" w:type="dxa"/>
            <w:tcBorders>
              <w:top w:val="nil"/>
              <w:left w:val="nil"/>
              <w:bottom w:val="single" w:sz="4" w:space="0" w:color="auto"/>
              <w:right w:val="nil"/>
            </w:tcBorders>
            <w:shd w:val="clear" w:color="auto" w:fill="auto"/>
            <w:noWrap/>
            <w:vAlign w:val="bottom"/>
            <w:hideMark/>
          </w:tcPr>
          <w:p w14:paraId="7CF91BCA" w14:textId="77777777" w:rsidR="006220A2" w:rsidRPr="009C7CF6" w:rsidRDefault="00403785" w:rsidP="00852114">
            <w:pPr>
              <w:jc w:val="center"/>
              <w:rPr>
                <w:rFonts w:eastAsia="Times New Roman"/>
                <w:b/>
                <w:bCs/>
                <w:sz w:val="18"/>
                <w:szCs w:val="18"/>
              </w:rPr>
            </w:pPr>
            <w:r>
              <w:rPr>
                <w:rFonts w:eastAsia="Times New Roman"/>
                <w:b/>
                <w:bCs/>
                <w:sz w:val="18"/>
                <w:szCs w:val="18"/>
              </w:rPr>
              <w:t>31/12/2017</w:t>
            </w:r>
          </w:p>
        </w:tc>
      </w:tr>
      <w:tr w:rsidR="00900988" w:rsidRPr="009C7CF6" w14:paraId="19CA6A95" w14:textId="77777777" w:rsidTr="00FF35D6">
        <w:trPr>
          <w:trHeight w:val="240"/>
          <w:jc w:val="center"/>
        </w:trPr>
        <w:tc>
          <w:tcPr>
            <w:tcW w:w="3686" w:type="dxa"/>
            <w:tcBorders>
              <w:top w:val="nil"/>
              <w:left w:val="nil"/>
              <w:bottom w:val="nil"/>
              <w:right w:val="nil"/>
            </w:tcBorders>
            <w:shd w:val="clear" w:color="auto" w:fill="auto"/>
            <w:vAlign w:val="center"/>
            <w:hideMark/>
          </w:tcPr>
          <w:p w14:paraId="14E081C2" w14:textId="77777777" w:rsidR="00900988" w:rsidRPr="009C7CF6" w:rsidRDefault="00900988" w:rsidP="00900988">
            <w:pPr>
              <w:rPr>
                <w:rFonts w:eastAsia="Times New Roman"/>
                <w:sz w:val="18"/>
                <w:szCs w:val="18"/>
              </w:rPr>
            </w:pPr>
            <w:r w:rsidRPr="009C7CF6">
              <w:rPr>
                <w:rFonts w:eastAsia="Times New Roman"/>
                <w:sz w:val="18"/>
                <w:szCs w:val="18"/>
              </w:rPr>
              <w:t>Construcciones</w:t>
            </w:r>
          </w:p>
        </w:tc>
        <w:tc>
          <w:tcPr>
            <w:tcW w:w="1559" w:type="dxa"/>
            <w:tcBorders>
              <w:top w:val="nil"/>
              <w:left w:val="nil"/>
              <w:bottom w:val="nil"/>
              <w:right w:val="nil"/>
            </w:tcBorders>
            <w:shd w:val="clear" w:color="auto" w:fill="auto"/>
            <w:noWrap/>
            <w:vAlign w:val="center"/>
          </w:tcPr>
          <w:p w14:paraId="03DEA85A" w14:textId="77777777" w:rsidR="00900988" w:rsidRDefault="00900988" w:rsidP="00FF35D6">
            <w:pPr>
              <w:pBdr>
                <w:top w:val="none" w:sz="0" w:space="0" w:color="auto"/>
                <w:left w:val="none" w:sz="0" w:space="0" w:color="auto"/>
                <w:bottom w:val="none" w:sz="0" w:space="0" w:color="auto"/>
                <w:right w:val="none" w:sz="0" w:space="0" w:color="auto"/>
                <w:between w:val="none" w:sz="0" w:space="0" w:color="auto"/>
                <w:bar w:val="none" w:sz="0" w:color="auto"/>
              </w:pBdr>
              <w:ind w:right="72"/>
              <w:jc w:val="right"/>
              <w:outlineLvl w:val="9"/>
              <w:rPr>
                <w:rFonts w:eastAsia="Times New Roman"/>
                <w:sz w:val="18"/>
                <w:szCs w:val="18"/>
                <w:bdr w:val="none" w:sz="0" w:space="0" w:color="auto"/>
                <w:lang w:eastAsia="es-ES"/>
              </w:rPr>
            </w:pPr>
            <w:r>
              <w:rPr>
                <w:sz w:val="18"/>
                <w:szCs w:val="18"/>
              </w:rPr>
              <w:t>6.996,90</w:t>
            </w:r>
          </w:p>
        </w:tc>
        <w:tc>
          <w:tcPr>
            <w:tcW w:w="1559" w:type="dxa"/>
            <w:tcBorders>
              <w:top w:val="nil"/>
              <w:left w:val="nil"/>
              <w:bottom w:val="nil"/>
              <w:right w:val="nil"/>
            </w:tcBorders>
            <w:shd w:val="clear" w:color="auto" w:fill="auto"/>
            <w:noWrap/>
            <w:vAlign w:val="center"/>
          </w:tcPr>
          <w:p w14:paraId="0FED3301" w14:textId="77777777" w:rsidR="00900988" w:rsidRPr="009C7CF6" w:rsidRDefault="00900988" w:rsidP="00FF35D6">
            <w:pPr>
              <w:ind w:right="72"/>
              <w:jc w:val="right"/>
              <w:rPr>
                <w:rFonts w:eastAsia="Times New Roman"/>
                <w:sz w:val="18"/>
                <w:szCs w:val="18"/>
              </w:rPr>
            </w:pPr>
            <w:r>
              <w:rPr>
                <w:rFonts w:eastAsia="Times New Roman"/>
                <w:sz w:val="18"/>
                <w:szCs w:val="18"/>
              </w:rPr>
              <w:t>6.996,90</w:t>
            </w:r>
          </w:p>
        </w:tc>
      </w:tr>
      <w:tr w:rsidR="00900988" w:rsidRPr="009C7CF6" w14:paraId="27913D59" w14:textId="77777777" w:rsidTr="00FF35D6">
        <w:trPr>
          <w:trHeight w:val="240"/>
          <w:jc w:val="center"/>
        </w:trPr>
        <w:tc>
          <w:tcPr>
            <w:tcW w:w="3686" w:type="dxa"/>
            <w:tcBorders>
              <w:top w:val="nil"/>
              <w:left w:val="nil"/>
              <w:bottom w:val="nil"/>
              <w:right w:val="nil"/>
            </w:tcBorders>
            <w:shd w:val="clear" w:color="auto" w:fill="auto"/>
            <w:vAlign w:val="center"/>
            <w:hideMark/>
          </w:tcPr>
          <w:p w14:paraId="056798F8" w14:textId="77777777" w:rsidR="00900988" w:rsidRPr="009C7CF6" w:rsidRDefault="00900988" w:rsidP="00900988">
            <w:pPr>
              <w:rPr>
                <w:rFonts w:eastAsia="Times New Roman"/>
                <w:sz w:val="18"/>
                <w:szCs w:val="18"/>
              </w:rPr>
            </w:pPr>
            <w:r w:rsidRPr="009C7CF6">
              <w:rPr>
                <w:rFonts w:eastAsia="Times New Roman"/>
                <w:sz w:val="18"/>
                <w:szCs w:val="18"/>
              </w:rPr>
              <w:t>Instalaciones técnicas</w:t>
            </w:r>
          </w:p>
        </w:tc>
        <w:tc>
          <w:tcPr>
            <w:tcW w:w="1559" w:type="dxa"/>
            <w:tcBorders>
              <w:top w:val="nil"/>
              <w:left w:val="nil"/>
              <w:bottom w:val="nil"/>
              <w:right w:val="nil"/>
            </w:tcBorders>
            <w:shd w:val="clear" w:color="auto" w:fill="auto"/>
            <w:noWrap/>
            <w:vAlign w:val="bottom"/>
          </w:tcPr>
          <w:p w14:paraId="72641677" w14:textId="77777777" w:rsidR="00900988" w:rsidRDefault="00900988" w:rsidP="00FF35D6">
            <w:pPr>
              <w:ind w:right="72"/>
              <w:jc w:val="right"/>
              <w:rPr>
                <w:sz w:val="18"/>
                <w:szCs w:val="18"/>
              </w:rPr>
            </w:pPr>
            <w:r>
              <w:rPr>
                <w:sz w:val="18"/>
                <w:szCs w:val="18"/>
              </w:rPr>
              <w:t>23.646,46</w:t>
            </w:r>
          </w:p>
        </w:tc>
        <w:tc>
          <w:tcPr>
            <w:tcW w:w="1559" w:type="dxa"/>
            <w:tcBorders>
              <w:top w:val="nil"/>
              <w:left w:val="nil"/>
              <w:bottom w:val="nil"/>
              <w:right w:val="nil"/>
            </w:tcBorders>
            <w:shd w:val="clear" w:color="auto" w:fill="auto"/>
            <w:noWrap/>
            <w:vAlign w:val="center"/>
          </w:tcPr>
          <w:p w14:paraId="04BED22A" w14:textId="77777777" w:rsidR="00900988" w:rsidRPr="00B10DE7" w:rsidRDefault="00FF5498" w:rsidP="00FF35D6">
            <w:pPr>
              <w:ind w:right="72"/>
              <w:jc w:val="right"/>
              <w:rPr>
                <w:rFonts w:eastAsia="Times New Roman"/>
                <w:sz w:val="18"/>
                <w:szCs w:val="18"/>
              </w:rPr>
            </w:pPr>
            <w:r w:rsidRPr="00B10DE7">
              <w:rPr>
                <w:rFonts w:eastAsia="Times New Roman"/>
                <w:sz w:val="18"/>
                <w:szCs w:val="18"/>
              </w:rPr>
              <w:t>23.646,46</w:t>
            </w:r>
          </w:p>
        </w:tc>
      </w:tr>
      <w:tr w:rsidR="00900988" w:rsidRPr="009C7CF6" w14:paraId="08347419" w14:textId="77777777" w:rsidTr="00FF35D6">
        <w:trPr>
          <w:trHeight w:val="240"/>
          <w:jc w:val="center"/>
        </w:trPr>
        <w:tc>
          <w:tcPr>
            <w:tcW w:w="3686" w:type="dxa"/>
            <w:tcBorders>
              <w:top w:val="nil"/>
              <w:left w:val="nil"/>
              <w:bottom w:val="nil"/>
              <w:right w:val="nil"/>
            </w:tcBorders>
            <w:shd w:val="clear" w:color="auto" w:fill="auto"/>
            <w:vAlign w:val="center"/>
            <w:hideMark/>
          </w:tcPr>
          <w:p w14:paraId="09EB39A1" w14:textId="77777777" w:rsidR="00900988" w:rsidRPr="009C7CF6" w:rsidRDefault="00900988" w:rsidP="00900988">
            <w:pPr>
              <w:rPr>
                <w:rFonts w:eastAsia="Times New Roman"/>
                <w:sz w:val="18"/>
                <w:szCs w:val="18"/>
              </w:rPr>
            </w:pPr>
            <w:r w:rsidRPr="009C7CF6">
              <w:rPr>
                <w:rFonts w:eastAsia="Times New Roman"/>
                <w:sz w:val="18"/>
                <w:szCs w:val="18"/>
              </w:rPr>
              <w:t>Mobiliario</w:t>
            </w:r>
          </w:p>
        </w:tc>
        <w:tc>
          <w:tcPr>
            <w:tcW w:w="1559" w:type="dxa"/>
            <w:tcBorders>
              <w:top w:val="nil"/>
              <w:left w:val="nil"/>
              <w:bottom w:val="nil"/>
              <w:right w:val="nil"/>
            </w:tcBorders>
            <w:shd w:val="clear" w:color="auto" w:fill="auto"/>
            <w:noWrap/>
            <w:vAlign w:val="center"/>
          </w:tcPr>
          <w:p w14:paraId="200E951B" w14:textId="77777777" w:rsidR="00900988" w:rsidRDefault="00900988" w:rsidP="00FF35D6">
            <w:pPr>
              <w:ind w:right="72"/>
              <w:jc w:val="right"/>
              <w:rPr>
                <w:sz w:val="18"/>
                <w:szCs w:val="18"/>
              </w:rPr>
            </w:pPr>
            <w:r>
              <w:rPr>
                <w:sz w:val="18"/>
                <w:szCs w:val="18"/>
              </w:rPr>
              <w:t>252.462,02</w:t>
            </w:r>
          </w:p>
        </w:tc>
        <w:tc>
          <w:tcPr>
            <w:tcW w:w="1559" w:type="dxa"/>
            <w:tcBorders>
              <w:top w:val="nil"/>
              <w:left w:val="nil"/>
              <w:bottom w:val="nil"/>
              <w:right w:val="nil"/>
            </w:tcBorders>
            <w:shd w:val="clear" w:color="auto" w:fill="auto"/>
            <w:noWrap/>
            <w:vAlign w:val="center"/>
          </w:tcPr>
          <w:p w14:paraId="6A7AE873" w14:textId="77777777" w:rsidR="00900988" w:rsidRPr="00B10DE7" w:rsidRDefault="00900988" w:rsidP="00FF35D6">
            <w:pPr>
              <w:ind w:right="72"/>
              <w:jc w:val="right"/>
              <w:rPr>
                <w:rFonts w:eastAsia="Times New Roman"/>
                <w:sz w:val="18"/>
                <w:szCs w:val="18"/>
              </w:rPr>
            </w:pPr>
            <w:r w:rsidRPr="00B10DE7">
              <w:rPr>
                <w:rFonts w:eastAsia="Times New Roman"/>
                <w:sz w:val="18"/>
                <w:szCs w:val="18"/>
              </w:rPr>
              <w:t>80.739,30</w:t>
            </w:r>
          </w:p>
        </w:tc>
      </w:tr>
      <w:tr w:rsidR="00900988" w:rsidRPr="009C7CF6" w14:paraId="7BFBB163" w14:textId="77777777" w:rsidTr="00FF35D6">
        <w:trPr>
          <w:trHeight w:val="240"/>
          <w:jc w:val="center"/>
        </w:trPr>
        <w:tc>
          <w:tcPr>
            <w:tcW w:w="3686" w:type="dxa"/>
            <w:tcBorders>
              <w:top w:val="nil"/>
              <w:left w:val="nil"/>
              <w:bottom w:val="single" w:sz="4" w:space="0" w:color="auto"/>
              <w:right w:val="nil"/>
            </w:tcBorders>
            <w:shd w:val="clear" w:color="auto" w:fill="auto"/>
            <w:vAlign w:val="center"/>
            <w:hideMark/>
          </w:tcPr>
          <w:p w14:paraId="5F56A145" w14:textId="77777777" w:rsidR="00900988" w:rsidRPr="009C7CF6" w:rsidRDefault="00900988" w:rsidP="00900988">
            <w:pPr>
              <w:rPr>
                <w:rFonts w:eastAsia="Times New Roman"/>
                <w:sz w:val="18"/>
                <w:szCs w:val="18"/>
              </w:rPr>
            </w:pPr>
            <w:r w:rsidRPr="009C7CF6">
              <w:rPr>
                <w:rFonts w:eastAsia="Times New Roman"/>
                <w:sz w:val="18"/>
                <w:szCs w:val="18"/>
              </w:rPr>
              <w:t>Otro inmovilizado</w:t>
            </w:r>
          </w:p>
        </w:tc>
        <w:tc>
          <w:tcPr>
            <w:tcW w:w="1559" w:type="dxa"/>
            <w:tcBorders>
              <w:top w:val="nil"/>
              <w:left w:val="nil"/>
              <w:bottom w:val="single" w:sz="4" w:space="0" w:color="auto"/>
              <w:right w:val="nil"/>
            </w:tcBorders>
            <w:shd w:val="clear" w:color="auto" w:fill="auto"/>
            <w:noWrap/>
            <w:vAlign w:val="center"/>
          </w:tcPr>
          <w:p w14:paraId="1975CB21" w14:textId="77777777" w:rsidR="00900988" w:rsidRDefault="00900988" w:rsidP="00FF35D6">
            <w:pPr>
              <w:ind w:right="72"/>
              <w:jc w:val="right"/>
              <w:rPr>
                <w:sz w:val="18"/>
                <w:szCs w:val="18"/>
              </w:rPr>
            </w:pPr>
            <w:r>
              <w:rPr>
                <w:sz w:val="18"/>
                <w:szCs w:val="18"/>
              </w:rPr>
              <w:t>189.093,83</w:t>
            </w:r>
          </w:p>
        </w:tc>
        <w:tc>
          <w:tcPr>
            <w:tcW w:w="1559" w:type="dxa"/>
            <w:tcBorders>
              <w:top w:val="nil"/>
              <w:left w:val="nil"/>
              <w:bottom w:val="single" w:sz="4" w:space="0" w:color="auto"/>
              <w:right w:val="nil"/>
            </w:tcBorders>
            <w:shd w:val="clear" w:color="auto" w:fill="auto"/>
            <w:noWrap/>
            <w:vAlign w:val="center"/>
          </w:tcPr>
          <w:p w14:paraId="56FE7C84" w14:textId="77777777" w:rsidR="00900988" w:rsidRPr="00B10DE7" w:rsidRDefault="00900988" w:rsidP="00FF35D6">
            <w:pPr>
              <w:ind w:right="72"/>
              <w:jc w:val="right"/>
              <w:rPr>
                <w:rFonts w:eastAsia="Times New Roman"/>
                <w:sz w:val="18"/>
                <w:szCs w:val="18"/>
              </w:rPr>
            </w:pPr>
            <w:r w:rsidRPr="00B10DE7">
              <w:rPr>
                <w:rFonts w:eastAsia="Times New Roman"/>
                <w:sz w:val="18"/>
                <w:szCs w:val="18"/>
              </w:rPr>
              <w:t>189.093,83</w:t>
            </w:r>
          </w:p>
        </w:tc>
      </w:tr>
      <w:tr w:rsidR="00900988" w:rsidRPr="009C7CF6" w14:paraId="5D4F2AEC" w14:textId="77777777" w:rsidTr="00FF35D6">
        <w:trPr>
          <w:trHeight w:val="283"/>
          <w:jc w:val="center"/>
        </w:trPr>
        <w:tc>
          <w:tcPr>
            <w:tcW w:w="3686" w:type="dxa"/>
            <w:tcBorders>
              <w:top w:val="nil"/>
              <w:left w:val="nil"/>
              <w:bottom w:val="single" w:sz="4" w:space="0" w:color="auto"/>
              <w:right w:val="nil"/>
            </w:tcBorders>
            <w:shd w:val="clear" w:color="auto" w:fill="auto"/>
            <w:noWrap/>
            <w:vAlign w:val="center"/>
            <w:hideMark/>
          </w:tcPr>
          <w:p w14:paraId="01D11037" w14:textId="77777777" w:rsidR="00900988" w:rsidRPr="009C7CF6" w:rsidRDefault="00900988" w:rsidP="00900988">
            <w:pPr>
              <w:rPr>
                <w:rFonts w:eastAsia="Times New Roman"/>
                <w:b/>
                <w:bCs/>
                <w:sz w:val="18"/>
                <w:szCs w:val="18"/>
              </w:rPr>
            </w:pPr>
            <w:r w:rsidRPr="009C7CF6">
              <w:rPr>
                <w:rFonts w:eastAsia="Times New Roman"/>
                <w:b/>
                <w:bCs/>
                <w:sz w:val="18"/>
                <w:szCs w:val="18"/>
              </w:rPr>
              <w:t>Total</w:t>
            </w:r>
          </w:p>
        </w:tc>
        <w:tc>
          <w:tcPr>
            <w:tcW w:w="1559" w:type="dxa"/>
            <w:tcBorders>
              <w:top w:val="nil"/>
              <w:left w:val="nil"/>
              <w:bottom w:val="single" w:sz="4" w:space="0" w:color="auto"/>
              <w:right w:val="nil"/>
            </w:tcBorders>
            <w:shd w:val="clear" w:color="auto" w:fill="auto"/>
            <w:noWrap/>
            <w:vAlign w:val="center"/>
          </w:tcPr>
          <w:p w14:paraId="4C67BB29" w14:textId="77777777" w:rsidR="00900988" w:rsidRDefault="00900988" w:rsidP="00FF35D6">
            <w:pPr>
              <w:ind w:right="72"/>
              <w:jc w:val="right"/>
              <w:rPr>
                <w:b/>
                <w:bCs/>
                <w:sz w:val="18"/>
                <w:szCs w:val="18"/>
              </w:rPr>
            </w:pPr>
            <w:r>
              <w:rPr>
                <w:b/>
                <w:bCs/>
                <w:sz w:val="18"/>
                <w:szCs w:val="18"/>
              </w:rPr>
              <w:t>472.199,21</w:t>
            </w:r>
          </w:p>
        </w:tc>
        <w:tc>
          <w:tcPr>
            <w:tcW w:w="1559" w:type="dxa"/>
            <w:tcBorders>
              <w:top w:val="nil"/>
              <w:left w:val="nil"/>
              <w:bottom w:val="single" w:sz="4" w:space="0" w:color="auto"/>
              <w:right w:val="nil"/>
            </w:tcBorders>
            <w:shd w:val="clear" w:color="auto" w:fill="auto"/>
            <w:noWrap/>
            <w:vAlign w:val="center"/>
            <w:hideMark/>
          </w:tcPr>
          <w:p w14:paraId="4284020B" w14:textId="77777777" w:rsidR="00900988" w:rsidRPr="00B10DE7" w:rsidRDefault="00900988" w:rsidP="00FF35D6">
            <w:pPr>
              <w:ind w:right="72"/>
              <w:jc w:val="right"/>
              <w:rPr>
                <w:rFonts w:eastAsia="Times New Roman"/>
                <w:b/>
                <w:bCs/>
                <w:sz w:val="18"/>
                <w:szCs w:val="18"/>
              </w:rPr>
            </w:pPr>
            <w:r w:rsidRPr="00B10DE7">
              <w:rPr>
                <w:rFonts w:eastAsia="Times New Roman"/>
                <w:b/>
                <w:bCs/>
                <w:sz w:val="18"/>
                <w:szCs w:val="18"/>
              </w:rPr>
              <w:t>3</w:t>
            </w:r>
            <w:r w:rsidR="00FF5498" w:rsidRPr="00B10DE7">
              <w:rPr>
                <w:rFonts w:eastAsia="Times New Roman"/>
                <w:b/>
                <w:bCs/>
                <w:sz w:val="18"/>
                <w:szCs w:val="18"/>
              </w:rPr>
              <w:t>00</w:t>
            </w:r>
            <w:r w:rsidRPr="00B10DE7">
              <w:rPr>
                <w:rFonts w:eastAsia="Times New Roman"/>
                <w:b/>
                <w:bCs/>
                <w:sz w:val="18"/>
                <w:szCs w:val="18"/>
              </w:rPr>
              <w:t>.</w:t>
            </w:r>
            <w:r w:rsidR="00FF5498" w:rsidRPr="00B10DE7">
              <w:rPr>
                <w:rFonts w:eastAsia="Times New Roman"/>
                <w:b/>
                <w:bCs/>
                <w:sz w:val="18"/>
                <w:szCs w:val="18"/>
              </w:rPr>
              <w:t>476</w:t>
            </w:r>
            <w:r w:rsidRPr="00B10DE7">
              <w:rPr>
                <w:rFonts w:eastAsia="Times New Roman"/>
                <w:b/>
                <w:bCs/>
                <w:sz w:val="18"/>
                <w:szCs w:val="18"/>
              </w:rPr>
              <w:t>,</w:t>
            </w:r>
            <w:r w:rsidR="00FF5498" w:rsidRPr="00B10DE7">
              <w:rPr>
                <w:rFonts w:eastAsia="Times New Roman"/>
                <w:b/>
                <w:bCs/>
                <w:sz w:val="18"/>
                <w:szCs w:val="18"/>
              </w:rPr>
              <w:t>49</w:t>
            </w:r>
          </w:p>
        </w:tc>
      </w:tr>
    </w:tbl>
    <w:p w14:paraId="412E9226" w14:textId="77777777" w:rsidR="006220A2" w:rsidRPr="00BA60DB" w:rsidRDefault="006220A2" w:rsidP="006220A2">
      <w:pPr>
        <w:widowControl w:val="0"/>
        <w:tabs>
          <w:tab w:val="left" w:pos="284"/>
        </w:tabs>
        <w:spacing w:before="200"/>
        <w:rPr>
          <w:sz w:val="20"/>
          <w:szCs w:val="22"/>
        </w:rPr>
      </w:pPr>
      <w:r w:rsidRPr="00BA60DB">
        <w:rPr>
          <w:snapToGrid w:val="0"/>
          <w:sz w:val="20"/>
          <w:szCs w:val="22"/>
        </w:rPr>
        <w:t>d)</w:t>
      </w:r>
      <w:r w:rsidRPr="00BA60DB">
        <w:rPr>
          <w:snapToGrid w:val="0"/>
          <w:sz w:val="20"/>
          <w:szCs w:val="22"/>
        </w:rPr>
        <w:tab/>
      </w:r>
      <w:r>
        <w:rPr>
          <w:snapToGrid w:val="0"/>
          <w:sz w:val="20"/>
          <w:szCs w:val="22"/>
          <w:u w:val="single"/>
        </w:rPr>
        <w:t>Bi</w:t>
      </w:r>
      <w:r w:rsidRPr="00BA60DB">
        <w:rPr>
          <w:snapToGrid w:val="0"/>
          <w:sz w:val="20"/>
          <w:szCs w:val="22"/>
          <w:u w:val="single"/>
        </w:rPr>
        <w:t>enes bajo arrendamiento operativo</w:t>
      </w:r>
    </w:p>
    <w:p w14:paraId="32A9A3A8" w14:textId="77777777" w:rsidR="006220A2" w:rsidRDefault="006220A2" w:rsidP="006220A2">
      <w:pPr>
        <w:pStyle w:val="TextePrinc"/>
        <w:widowControl w:val="0"/>
        <w:tabs>
          <w:tab w:val="clear" w:pos="1413"/>
          <w:tab w:val="left" w:pos="-384"/>
          <w:tab w:val="left" w:pos="284"/>
          <w:tab w:val="left" w:pos="1741"/>
          <w:tab w:val="left" w:pos="2451"/>
          <w:tab w:val="left" w:pos="3160"/>
          <w:tab w:val="left" w:pos="3864"/>
          <w:tab w:val="left" w:pos="4571"/>
          <w:tab w:val="left" w:pos="5280"/>
          <w:tab w:val="left" w:pos="5990"/>
          <w:tab w:val="left" w:pos="6699"/>
        </w:tabs>
        <w:overflowPunct/>
        <w:autoSpaceDE/>
        <w:autoSpaceDN/>
        <w:adjustRightInd/>
        <w:spacing w:before="120"/>
        <w:ind w:left="284"/>
        <w:jc w:val="both"/>
        <w:textAlignment w:val="auto"/>
        <w:rPr>
          <w:rFonts w:cs="Arial"/>
          <w:noProof w:val="0"/>
          <w:snapToGrid w:val="0"/>
          <w:color w:val="auto"/>
          <w:sz w:val="20"/>
          <w:szCs w:val="22"/>
          <w:lang w:eastAsia="en-US"/>
        </w:rPr>
      </w:pPr>
      <w:r w:rsidRPr="00900988">
        <w:rPr>
          <w:rFonts w:cs="Arial"/>
          <w:noProof w:val="0"/>
          <w:snapToGrid w:val="0"/>
          <w:color w:val="auto"/>
          <w:sz w:val="20"/>
          <w:szCs w:val="22"/>
          <w:lang w:eastAsia="en-US"/>
        </w:rPr>
        <w:t xml:space="preserve">En la cuenta de pérdidas y ganancias se han </w:t>
      </w:r>
      <w:r w:rsidRPr="00B10DE7">
        <w:rPr>
          <w:rFonts w:cs="Arial"/>
          <w:noProof w:val="0"/>
          <w:snapToGrid w:val="0"/>
          <w:color w:val="auto"/>
          <w:sz w:val="20"/>
          <w:szCs w:val="22"/>
          <w:lang w:eastAsia="en-US"/>
        </w:rPr>
        <w:t>incluido gastos por arrendamiento operativo correspondientes al alquiler de unas oficinas por importe de 26.</w:t>
      </w:r>
      <w:r w:rsidR="00FF5498" w:rsidRPr="00B10DE7">
        <w:rPr>
          <w:rFonts w:cs="Arial"/>
          <w:noProof w:val="0"/>
          <w:snapToGrid w:val="0"/>
          <w:color w:val="auto"/>
          <w:sz w:val="20"/>
          <w:szCs w:val="22"/>
          <w:lang w:eastAsia="en-US"/>
        </w:rPr>
        <w:t>558,89</w:t>
      </w:r>
      <w:r w:rsidRPr="00B10DE7">
        <w:rPr>
          <w:rFonts w:cs="Arial"/>
          <w:noProof w:val="0"/>
          <w:snapToGrid w:val="0"/>
          <w:color w:val="auto"/>
          <w:sz w:val="20"/>
          <w:szCs w:val="22"/>
          <w:lang w:eastAsia="en-US"/>
        </w:rPr>
        <w:t xml:space="preserve"> euros</w:t>
      </w:r>
      <w:r w:rsidRPr="00900988">
        <w:rPr>
          <w:rFonts w:cs="Arial"/>
          <w:noProof w:val="0"/>
          <w:snapToGrid w:val="0"/>
          <w:color w:val="auto"/>
          <w:sz w:val="20"/>
          <w:szCs w:val="22"/>
          <w:lang w:eastAsia="en-US"/>
        </w:rPr>
        <w:t xml:space="preserve"> (</w:t>
      </w:r>
      <w:r w:rsidR="0071126B" w:rsidRPr="00900988">
        <w:rPr>
          <w:rFonts w:cs="Arial"/>
          <w:noProof w:val="0"/>
          <w:snapToGrid w:val="0"/>
          <w:color w:val="auto"/>
          <w:sz w:val="20"/>
          <w:szCs w:val="22"/>
          <w:lang w:eastAsia="en-US"/>
        </w:rPr>
        <w:t>26</w:t>
      </w:r>
      <w:r w:rsidR="0071126B" w:rsidRPr="0071126B">
        <w:rPr>
          <w:rFonts w:cs="Arial"/>
          <w:noProof w:val="0"/>
          <w:snapToGrid w:val="0"/>
          <w:color w:val="auto"/>
          <w:sz w:val="20"/>
          <w:szCs w:val="22"/>
          <w:lang w:eastAsia="en-US"/>
        </w:rPr>
        <w:t xml:space="preserve">.316,48 </w:t>
      </w:r>
      <w:r w:rsidRPr="0071126B">
        <w:rPr>
          <w:rFonts w:cs="Arial"/>
          <w:noProof w:val="0"/>
          <w:snapToGrid w:val="0"/>
          <w:color w:val="auto"/>
          <w:sz w:val="20"/>
          <w:szCs w:val="22"/>
          <w:lang w:eastAsia="en-US"/>
        </w:rPr>
        <w:t>euros en 201</w:t>
      </w:r>
      <w:r w:rsidR="0071126B" w:rsidRPr="0071126B">
        <w:rPr>
          <w:rFonts w:cs="Arial"/>
          <w:noProof w:val="0"/>
          <w:snapToGrid w:val="0"/>
          <w:color w:val="auto"/>
          <w:sz w:val="20"/>
          <w:szCs w:val="22"/>
          <w:lang w:eastAsia="en-US"/>
        </w:rPr>
        <w:t>7</w:t>
      </w:r>
      <w:r w:rsidRPr="0071126B">
        <w:rPr>
          <w:rFonts w:cs="Arial"/>
          <w:noProof w:val="0"/>
          <w:snapToGrid w:val="0"/>
          <w:color w:val="auto"/>
          <w:sz w:val="20"/>
          <w:szCs w:val="22"/>
          <w:lang w:eastAsia="en-US"/>
        </w:rPr>
        <w:t>).</w:t>
      </w:r>
    </w:p>
    <w:p w14:paraId="30F8346E" w14:textId="77777777" w:rsidR="006220A2" w:rsidRPr="00E45F56" w:rsidRDefault="006220A2" w:rsidP="006220A2">
      <w:pPr>
        <w:widowControl w:val="0"/>
        <w:tabs>
          <w:tab w:val="left" w:pos="284"/>
        </w:tabs>
        <w:spacing w:before="200"/>
        <w:rPr>
          <w:sz w:val="20"/>
          <w:szCs w:val="22"/>
        </w:rPr>
      </w:pPr>
      <w:r w:rsidRPr="00BA60DB">
        <w:rPr>
          <w:snapToGrid w:val="0"/>
          <w:sz w:val="20"/>
          <w:szCs w:val="22"/>
        </w:rPr>
        <w:t>e)</w:t>
      </w:r>
      <w:r w:rsidRPr="00BA60DB">
        <w:rPr>
          <w:snapToGrid w:val="0"/>
          <w:sz w:val="20"/>
          <w:szCs w:val="22"/>
        </w:rPr>
        <w:tab/>
      </w:r>
      <w:r w:rsidRPr="00E45F56">
        <w:rPr>
          <w:snapToGrid w:val="0"/>
          <w:sz w:val="20"/>
          <w:szCs w:val="22"/>
          <w:u w:val="single"/>
        </w:rPr>
        <w:t>Subvenciones recibidas</w:t>
      </w:r>
    </w:p>
    <w:p w14:paraId="3D0035FB" w14:textId="77777777" w:rsidR="006220A2" w:rsidRPr="00E45F56" w:rsidRDefault="006220A2" w:rsidP="00900988">
      <w:pPr>
        <w:widowControl w:val="0"/>
        <w:spacing w:before="120"/>
        <w:ind w:left="284"/>
        <w:jc w:val="both"/>
        <w:rPr>
          <w:snapToGrid w:val="0"/>
          <w:sz w:val="20"/>
          <w:szCs w:val="22"/>
        </w:rPr>
      </w:pPr>
      <w:r w:rsidRPr="00900988">
        <w:rPr>
          <w:snapToGrid w:val="0"/>
          <w:sz w:val="20"/>
          <w:szCs w:val="22"/>
        </w:rPr>
        <w:t>En el ejercicio 2007 la Sociedad recibió una subvención por valor de 253.000 euros, para la adquisición de inmovilizado material. (Ver Nota 15.1)</w:t>
      </w:r>
    </w:p>
    <w:p w14:paraId="4C23A5BD" w14:textId="77777777" w:rsidR="006220A2" w:rsidRPr="00E45F56" w:rsidRDefault="006220A2" w:rsidP="006220A2">
      <w:pPr>
        <w:widowControl w:val="0"/>
        <w:tabs>
          <w:tab w:val="left" w:pos="284"/>
        </w:tabs>
        <w:spacing w:before="200"/>
        <w:rPr>
          <w:snapToGrid w:val="0"/>
          <w:sz w:val="20"/>
          <w:szCs w:val="22"/>
          <w:u w:val="single"/>
        </w:rPr>
      </w:pPr>
      <w:r w:rsidRPr="00E45F56">
        <w:rPr>
          <w:snapToGrid w:val="0"/>
          <w:sz w:val="20"/>
          <w:szCs w:val="22"/>
        </w:rPr>
        <w:t>f)</w:t>
      </w:r>
      <w:r w:rsidRPr="00E45F56">
        <w:rPr>
          <w:snapToGrid w:val="0"/>
          <w:sz w:val="20"/>
          <w:szCs w:val="22"/>
        </w:rPr>
        <w:tab/>
      </w:r>
      <w:r w:rsidRPr="00E45F56">
        <w:rPr>
          <w:snapToGrid w:val="0"/>
          <w:sz w:val="20"/>
          <w:szCs w:val="22"/>
          <w:u w:val="single"/>
        </w:rPr>
        <w:t>Seguros</w:t>
      </w:r>
    </w:p>
    <w:p w14:paraId="0E9A2F69" w14:textId="77777777" w:rsidR="006220A2" w:rsidRDefault="006220A2" w:rsidP="006220A2">
      <w:pPr>
        <w:widowControl w:val="0"/>
        <w:spacing w:before="120"/>
        <w:jc w:val="both"/>
        <w:rPr>
          <w:snapToGrid w:val="0"/>
          <w:sz w:val="20"/>
          <w:szCs w:val="22"/>
        </w:rPr>
      </w:pPr>
      <w:r w:rsidRPr="00E45F56">
        <w:rPr>
          <w:snapToGrid w:val="0"/>
          <w:sz w:val="20"/>
          <w:szCs w:val="22"/>
        </w:rPr>
        <w:t>La Sociedad tiene</w:t>
      </w:r>
      <w:r w:rsidRPr="00BA60DB">
        <w:rPr>
          <w:snapToGrid w:val="0"/>
          <w:sz w:val="20"/>
          <w:szCs w:val="22"/>
        </w:rPr>
        <w:t xml:space="preserve"> contratadas varias pólizas de seguro para cubrir los riesgos a que están sujetos los bienes del inmovilizado material. La cobertura de estas pólizas se considera suficiente.</w:t>
      </w:r>
    </w:p>
    <w:p w14:paraId="4C198A43" w14:textId="77777777" w:rsidR="006220A2" w:rsidRDefault="006220A2" w:rsidP="006220A2">
      <w:pPr>
        <w:jc w:val="both"/>
        <w:rPr>
          <w:snapToGrid w:val="0"/>
          <w:sz w:val="20"/>
          <w:szCs w:val="22"/>
        </w:rPr>
      </w:pPr>
    </w:p>
    <w:p w14:paraId="0ADA123F" w14:textId="77777777" w:rsidR="006220A2" w:rsidRDefault="006220A2" w:rsidP="006220A2">
      <w:pPr>
        <w:rPr>
          <w:b/>
          <w:sz w:val="22"/>
          <w:szCs w:val="22"/>
        </w:rPr>
      </w:pPr>
    </w:p>
    <w:p w14:paraId="6AFAAF8F" w14:textId="77777777" w:rsidR="006220A2" w:rsidRPr="00070E05" w:rsidRDefault="006220A2" w:rsidP="006220A2">
      <w:pPr>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lear" w:pos="644"/>
        </w:tabs>
        <w:ind w:left="284" w:hanging="284"/>
        <w:outlineLvl w:val="9"/>
        <w:rPr>
          <w:b/>
          <w:snapToGrid w:val="0"/>
          <w:sz w:val="22"/>
          <w:szCs w:val="22"/>
        </w:rPr>
      </w:pPr>
      <w:bookmarkStart w:id="1" w:name="nota25"/>
      <w:bookmarkEnd w:id="1"/>
      <w:r w:rsidRPr="00070E05">
        <w:rPr>
          <w:b/>
          <w:snapToGrid w:val="0"/>
          <w:sz w:val="22"/>
          <w:szCs w:val="22"/>
        </w:rPr>
        <w:t>Arrendamientos y otras operaciones de naturaleza similar</w:t>
      </w:r>
    </w:p>
    <w:p w14:paraId="2E2DF564" w14:textId="77777777" w:rsidR="006220A2" w:rsidRPr="004D4B8F" w:rsidRDefault="006220A2" w:rsidP="006220A2">
      <w:pPr>
        <w:widowControl w:val="0"/>
        <w:tabs>
          <w:tab w:val="left" w:pos="284"/>
          <w:tab w:val="left" w:pos="1134"/>
          <w:tab w:val="left" w:pos="1588"/>
        </w:tabs>
        <w:spacing w:before="200"/>
        <w:rPr>
          <w:sz w:val="20"/>
          <w:szCs w:val="22"/>
        </w:rPr>
      </w:pPr>
      <w:r w:rsidRPr="004D4B8F">
        <w:rPr>
          <w:sz w:val="20"/>
          <w:szCs w:val="22"/>
        </w:rPr>
        <w:t>a)</w:t>
      </w:r>
      <w:r w:rsidRPr="004D4B8F">
        <w:rPr>
          <w:sz w:val="20"/>
          <w:szCs w:val="22"/>
        </w:rPr>
        <w:tab/>
      </w:r>
      <w:r w:rsidRPr="00421D55">
        <w:rPr>
          <w:sz w:val="20"/>
          <w:szCs w:val="22"/>
          <w:u w:val="single"/>
        </w:rPr>
        <w:t>Compromisos por arrendamiento operativo</w:t>
      </w:r>
      <w:r w:rsidRPr="004D4B8F">
        <w:rPr>
          <w:sz w:val="20"/>
          <w:szCs w:val="22"/>
        </w:rPr>
        <w:t>.</w:t>
      </w:r>
    </w:p>
    <w:p w14:paraId="342BBB4B" w14:textId="77777777" w:rsidR="006220A2" w:rsidRPr="004D4B8F" w:rsidRDefault="006220A2" w:rsidP="006220A2">
      <w:pPr>
        <w:widowControl w:val="0"/>
        <w:tabs>
          <w:tab w:val="left" w:pos="567"/>
          <w:tab w:val="left" w:pos="1134"/>
          <w:tab w:val="left" w:pos="1588"/>
        </w:tabs>
        <w:spacing w:before="120"/>
        <w:jc w:val="both"/>
        <w:rPr>
          <w:sz w:val="20"/>
          <w:szCs w:val="22"/>
        </w:rPr>
      </w:pPr>
      <w:r w:rsidRPr="004D4B8F">
        <w:rPr>
          <w:sz w:val="20"/>
          <w:szCs w:val="22"/>
        </w:rPr>
        <w:t>La Sociedad alquila instalaciones bajo contratos no cancelables de arrendamiento operativo.</w:t>
      </w:r>
    </w:p>
    <w:p w14:paraId="0CBD0E68" w14:textId="77777777" w:rsidR="006220A2" w:rsidRPr="004D4B8F" w:rsidRDefault="006220A2" w:rsidP="006220A2">
      <w:pPr>
        <w:widowControl w:val="0"/>
        <w:tabs>
          <w:tab w:val="left" w:pos="567"/>
          <w:tab w:val="left" w:pos="1134"/>
          <w:tab w:val="left" w:pos="1588"/>
        </w:tabs>
        <w:spacing w:before="120" w:after="120"/>
        <w:jc w:val="both"/>
        <w:rPr>
          <w:sz w:val="20"/>
          <w:szCs w:val="22"/>
        </w:rPr>
      </w:pPr>
      <w:r w:rsidRPr="004D4B8F">
        <w:rPr>
          <w:sz w:val="20"/>
          <w:szCs w:val="22"/>
        </w:rPr>
        <w:t>Los pagos mínimos totales futuros por los arrendamientos operativos no cancelables son los siguientes:</w:t>
      </w:r>
    </w:p>
    <w:tbl>
      <w:tblPr>
        <w:tblW w:w="6804" w:type="dxa"/>
        <w:jc w:val="center"/>
        <w:tblCellMar>
          <w:left w:w="70" w:type="dxa"/>
          <w:right w:w="70" w:type="dxa"/>
        </w:tblCellMar>
        <w:tblLook w:val="04A0" w:firstRow="1" w:lastRow="0" w:firstColumn="1" w:lastColumn="0" w:noHBand="0" w:noVBand="1"/>
      </w:tblPr>
      <w:tblGrid>
        <w:gridCol w:w="4024"/>
        <w:gridCol w:w="1390"/>
        <w:gridCol w:w="1390"/>
      </w:tblGrid>
      <w:tr w:rsidR="006220A2" w:rsidRPr="00C03A1F" w14:paraId="3CD8508A" w14:textId="77777777" w:rsidTr="00900988">
        <w:trPr>
          <w:trHeight w:val="240"/>
          <w:jc w:val="center"/>
        </w:trPr>
        <w:tc>
          <w:tcPr>
            <w:tcW w:w="4024" w:type="dxa"/>
            <w:tcBorders>
              <w:top w:val="single" w:sz="4" w:space="0" w:color="auto"/>
              <w:left w:val="nil"/>
              <w:bottom w:val="nil"/>
              <w:right w:val="nil"/>
            </w:tcBorders>
            <w:shd w:val="clear" w:color="auto" w:fill="auto"/>
            <w:vAlign w:val="center"/>
            <w:hideMark/>
          </w:tcPr>
          <w:p w14:paraId="4BDE5D4F" w14:textId="77777777" w:rsidR="006220A2" w:rsidRPr="00C03A1F" w:rsidRDefault="006220A2" w:rsidP="00852114">
            <w:pPr>
              <w:jc w:val="center"/>
              <w:rPr>
                <w:rFonts w:eastAsia="Times New Roman"/>
                <w:sz w:val="18"/>
                <w:szCs w:val="18"/>
              </w:rPr>
            </w:pPr>
            <w:r w:rsidRPr="00C03A1F">
              <w:rPr>
                <w:rFonts w:eastAsia="Times New Roman"/>
                <w:sz w:val="18"/>
                <w:szCs w:val="18"/>
              </w:rPr>
              <w:t> </w:t>
            </w:r>
          </w:p>
        </w:tc>
        <w:tc>
          <w:tcPr>
            <w:tcW w:w="2780" w:type="dxa"/>
            <w:gridSpan w:val="2"/>
            <w:tcBorders>
              <w:top w:val="single" w:sz="4" w:space="0" w:color="auto"/>
              <w:left w:val="nil"/>
              <w:bottom w:val="single" w:sz="4" w:space="0" w:color="auto"/>
              <w:right w:val="nil"/>
            </w:tcBorders>
            <w:shd w:val="clear" w:color="auto" w:fill="auto"/>
            <w:vAlign w:val="bottom"/>
            <w:hideMark/>
          </w:tcPr>
          <w:p w14:paraId="2CAE7C03" w14:textId="77777777" w:rsidR="006220A2" w:rsidRPr="00C03A1F" w:rsidRDefault="006220A2" w:rsidP="00852114">
            <w:pPr>
              <w:jc w:val="center"/>
              <w:rPr>
                <w:rFonts w:eastAsia="Times New Roman"/>
                <w:b/>
                <w:bCs/>
                <w:sz w:val="18"/>
                <w:szCs w:val="18"/>
              </w:rPr>
            </w:pPr>
            <w:r w:rsidRPr="00C03A1F">
              <w:rPr>
                <w:rFonts w:eastAsia="Times New Roman"/>
                <w:b/>
                <w:bCs/>
                <w:sz w:val="18"/>
                <w:szCs w:val="18"/>
              </w:rPr>
              <w:t>Euros</w:t>
            </w:r>
          </w:p>
        </w:tc>
      </w:tr>
      <w:tr w:rsidR="006220A2" w:rsidRPr="00C03A1F" w14:paraId="571E71AD" w14:textId="77777777" w:rsidTr="00900988">
        <w:trPr>
          <w:trHeight w:val="240"/>
          <w:jc w:val="center"/>
        </w:trPr>
        <w:tc>
          <w:tcPr>
            <w:tcW w:w="4024" w:type="dxa"/>
            <w:tcBorders>
              <w:top w:val="nil"/>
              <w:left w:val="nil"/>
              <w:bottom w:val="single" w:sz="4" w:space="0" w:color="auto"/>
              <w:right w:val="nil"/>
            </w:tcBorders>
            <w:shd w:val="clear" w:color="auto" w:fill="auto"/>
            <w:vAlign w:val="center"/>
            <w:hideMark/>
          </w:tcPr>
          <w:p w14:paraId="5196829E" w14:textId="77777777" w:rsidR="006220A2" w:rsidRPr="00B615BF" w:rsidRDefault="006220A2" w:rsidP="00852114">
            <w:pPr>
              <w:jc w:val="center"/>
              <w:rPr>
                <w:rFonts w:eastAsia="Times New Roman"/>
                <w:sz w:val="18"/>
                <w:szCs w:val="18"/>
              </w:rPr>
            </w:pPr>
            <w:r w:rsidRPr="00B615BF">
              <w:rPr>
                <w:rFonts w:eastAsia="Times New Roman"/>
                <w:sz w:val="18"/>
                <w:szCs w:val="18"/>
              </w:rPr>
              <w:t> </w:t>
            </w:r>
          </w:p>
        </w:tc>
        <w:tc>
          <w:tcPr>
            <w:tcW w:w="1390" w:type="dxa"/>
            <w:tcBorders>
              <w:top w:val="nil"/>
              <w:left w:val="nil"/>
              <w:bottom w:val="single" w:sz="4" w:space="0" w:color="auto"/>
              <w:right w:val="nil"/>
            </w:tcBorders>
            <w:shd w:val="clear" w:color="auto" w:fill="auto"/>
            <w:vAlign w:val="bottom"/>
            <w:hideMark/>
          </w:tcPr>
          <w:p w14:paraId="161DC1FD" w14:textId="77777777" w:rsidR="006220A2" w:rsidRPr="00B615BF" w:rsidRDefault="00B615BF" w:rsidP="00852114">
            <w:pPr>
              <w:jc w:val="center"/>
              <w:rPr>
                <w:rFonts w:eastAsia="Times New Roman"/>
                <w:b/>
                <w:bCs/>
                <w:sz w:val="18"/>
                <w:szCs w:val="18"/>
              </w:rPr>
            </w:pPr>
            <w:r>
              <w:rPr>
                <w:rFonts w:eastAsia="Times New Roman"/>
                <w:b/>
                <w:bCs/>
                <w:sz w:val="18"/>
                <w:szCs w:val="18"/>
              </w:rPr>
              <w:t>2018</w:t>
            </w:r>
          </w:p>
        </w:tc>
        <w:tc>
          <w:tcPr>
            <w:tcW w:w="1390" w:type="dxa"/>
            <w:tcBorders>
              <w:top w:val="nil"/>
              <w:left w:val="nil"/>
              <w:bottom w:val="single" w:sz="4" w:space="0" w:color="auto"/>
              <w:right w:val="nil"/>
            </w:tcBorders>
            <w:shd w:val="clear" w:color="auto" w:fill="auto"/>
            <w:vAlign w:val="bottom"/>
            <w:hideMark/>
          </w:tcPr>
          <w:p w14:paraId="0EA7D18B" w14:textId="77777777" w:rsidR="006220A2" w:rsidRPr="00B615BF" w:rsidRDefault="00B615BF" w:rsidP="00852114">
            <w:pPr>
              <w:jc w:val="center"/>
              <w:rPr>
                <w:rFonts w:eastAsia="Times New Roman"/>
                <w:b/>
                <w:bCs/>
                <w:sz w:val="18"/>
                <w:szCs w:val="18"/>
              </w:rPr>
            </w:pPr>
            <w:r>
              <w:rPr>
                <w:rFonts w:eastAsia="Times New Roman"/>
                <w:b/>
                <w:bCs/>
                <w:sz w:val="18"/>
                <w:szCs w:val="18"/>
              </w:rPr>
              <w:t>2017</w:t>
            </w:r>
          </w:p>
        </w:tc>
      </w:tr>
      <w:tr w:rsidR="00900988" w:rsidRPr="00C03A1F" w14:paraId="513CF8BF" w14:textId="77777777" w:rsidTr="00900988">
        <w:trPr>
          <w:trHeight w:val="240"/>
          <w:jc w:val="center"/>
        </w:trPr>
        <w:tc>
          <w:tcPr>
            <w:tcW w:w="4024" w:type="dxa"/>
            <w:tcBorders>
              <w:top w:val="nil"/>
              <w:left w:val="nil"/>
              <w:bottom w:val="nil"/>
              <w:right w:val="nil"/>
            </w:tcBorders>
            <w:shd w:val="clear" w:color="auto" w:fill="auto"/>
            <w:vAlign w:val="center"/>
            <w:hideMark/>
          </w:tcPr>
          <w:p w14:paraId="45FBCBD2" w14:textId="77777777" w:rsidR="00900988" w:rsidRPr="00B615BF" w:rsidRDefault="00900988" w:rsidP="00900988">
            <w:pPr>
              <w:rPr>
                <w:rFonts w:eastAsia="Times New Roman"/>
                <w:sz w:val="18"/>
                <w:szCs w:val="18"/>
              </w:rPr>
            </w:pPr>
            <w:r w:rsidRPr="00B615BF">
              <w:rPr>
                <w:rFonts w:eastAsia="Times New Roman"/>
                <w:sz w:val="18"/>
                <w:szCs w:val="18"/>
              </w:rPr>
              <w:t xml:space="preserve">Hasta un año </w:t>
            </w:r>
          </w:p>
        </w:tc>
        <w:tc>
          <w:tcPr>
            <w:tcW w:w="1390" w:type="dxa"/>
            <w:tcBorders>
              <w:top w:val="nil"/>
              <w:left w:val="nil"/>
              <w:bottom w:val="nil"/>
              <w:right w:val="nil"/>
            </w:tcBorders>
            <w:shd w:val="clear" w:color="auto" w:fill="auto"/>
            <w:vAlign w:val="center"/>
          </w:tcPr>
          <w:p w14:paraId="67C70630" w14:textId="77777777" w:rsidR="00900988" w:rsidRPr="00B10DE7" w:rsidRDefault="00900988" w:rsidP="0090098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B10DE7">
              <w:rPr>
                <w:sz w:val="18"/>
                <w:szCs w:val="18"/>
              </w:rPr>
              <w:t>2</w:t>
            </w:r>
            <w:r w:rsidR="00FF5498" w:rsidRPr="00B10DE7">
              <w:rPr>
                <w:sz w:val="18"/>
                <w:szCs w:val="18"/>
              </w:rPr>
              <w:t>7</w:t>
            </w:r>
            <w:r w:rsidRPr="00B10DE7">
              <w:rPr>
                <w:sz w:val="18"/>
                <w:szCs w:val="18"/>
              </w:rPr>
              <w:t>.</w:t>
            </w:r>
            <w:r w:rsidR="00FF5498" w:rsidRPr="00B10DE7">
              <w:rPr>
                <w:sz w:val="18"/>
                <w:szCs w:val="18"/>
              </w:rPr>
              <w:t>475,77</w:t>
            </w:r>
          </w:p>
        </w:tc>
        <w:tc>
          <w:tcPr>
            <w:tcW w:w="1390" w:type="dxa"/>
            <w:tcBorders>
              <w:top w:val="nil"/>
              <w:left w:val="nil"/>
              <w:bottom w:val="nil"/>
              <w:right w:val="nil"/>
            </w:tcBorders>
            <w:shd w:val="clear" w:color="auto" w:fill="auto"/>
            <w:vAlign w:val="center"/>
          </w:tcPr>
          <w:p w14:paraId="5945438A" w14:textId="77777777" w:rsidR="00900988" w:rsidRPr="00B615BF" w:rsidRDefault="00900988" w:rsidP="00900988">
            <w:pPr>
              <w:jc w:val="right"/>
              <w:rPr>
                <w:sz w:val="18"/>
                <w:szCs w:val="18"/>
              </w:rPr>
            </w:pPr>
            <w:r w:rsidRPr="00B615BF">
              <w:rPr>
                <w:sz w:val="18"/>
                <w:szCs w:val="18"/>
              </w:rPr>
              <w:t>26.322,00</w:t>
            </w:r>
          </w:p>
        </w:tc>
      </w:tr>
      <w:tr w:rsidR="00900988" w:rsidRPr="00C03A1F" w14:paraId="0C7DEDEC" w14:textId="77777777" w:rsidTr="00900988">
        <w:trPr>
          <w:trHeight w:val="240"/>
          <w:jc w:val="center"/>
        </w:trPr>
        <w:tc>
          <w:tcPr>
            <w:tcW w:w="4024" w:type="dxa"/>
            <w:tcBorders>
              <w:top w:val="nil"/>
              <w:left w:val="nil"/>
              <w:bottom w:val="single" w:sz="4" w:space="0" w:color="auto"/>
              <w:right w:val="nil"/>
            </w:tcBorders>
            <w:shd w:val="clear" w:color="auto" w:fill="auto"/>
            <w:vAlign w:val="center"/>
            <w:hideMark/>
          </w:tcPr>
          <w:p w14:paraId="2B1F9BA4" w14:textId="77777777" w:rsidR="00900988" w:rsidRPr="00B615BF" w:rsidRDefault="00900988" w:rsidP="00900988">
            <w:pPr>
              <w:rPr>
                <w:rFonts w:eastAsia="Times New Roman"/>
                <w:sz w:val="18"/>
                <w:szCs w:val="18"/>
              </w:rPr>
            </w:pPr>
            <w:r w:rsidRPr="00B615BF">
              <w:rPr>
                <w:rFonts w:eastAsia="Times New Roman"/>
                <w:sz w:val="18"/>
                <w:szCs w:val="18"/>
              </w:rPr>
              <w:t>Entre uno y cinco años</w:t>
            </w:r>
          </w:p>
        </w:tc>
        <w:tc>
          <w:tcPr>
            <w:tcW w:w="1390" w:type="dxa"/>
            <w:tcBorders>
              <w:top w:val="nil"/>
              <w:left w:val="nil"/>
              <w:bottom w:val="single" w:sz="4" w:space="0" w:color="auto"/>
              <w:right w:val="nil"/>
            </w:tcBorders>
            <w:shd w:val="clear" w:color="auto" w:fill="auto"/>
            <w:vAlign w:val="center"/>
          </w:tcPr>
          <w:p w14:paraId="76A2BDC3" w14:textId="77777777" w:rsidR="00900988" w:rsidRPr="00B10DE7" w:rsidRDefault="00FF5498" w:rsidP="00900988">
            <w:pPr>
              <w:jc w:val="right"/>
              <w:rPr>
                <w:sz w:val="18"/>
                <w:szCs w:val="18"/>
              </w:rPr>
            </w:pPr>
            <w:r w:rsidRPr="00B10DE7">
              <w:rPr>
                <w:sz w:val="18"/>
                <w:szCs w:val="18"/>
              </w:rPr>
              <w:t>118.135,14</w:t>
            </w:r>
          </w:p>
        </w:tc>
        <w:tc>
          <w:tcPr>
            <w:tcW w:w="1390" w:type="dxa"/>
            <w:tcBorders>
              <w:top w:val="nil"/>
              <w:left w:val="nil"/>
              <w:bottom w:val="single" w:sz="4" w:space="0" w:color="auto"/>
              <w:right w:val="nil"/>
            </w:tcBorders>
            <w:shd w:val="clear" w:color="auto" w:fill="auto"/>
            <w:vAlign w:val="center"/>
          </w:tcPr>
          <w:p w14:paraId="5C56E437" w14:textId="77777777" w:rsidR="00900988" w:rsidRPr="00B615BF" w:rsidRDefault="00900988" w:rsidP="00900988">
            <w:pPr>
              <w:jc w:val="right"/>
              <w:rPr>
                <w:sz w:val="18"/>
                <w:szCs w:val="18"/>
              </w:rPr>
            </w:pPr>
            <w:r w:rsidRPr="00B615BF">
              <w:rPr>
                <w:sz w:val="18"/>
                <w:szCs w:val="18"/>
              </w:rPr>
              <w:t>6.580,50</w:t>
            </w:r>
          </w:p>
        </w:tc>
      </w:tr>
      <w:tr w:rsidR="00900988" w:rsidRPr="00C03A1F" w14:paraId="49DAE17A" w14:textId="77777777" w:rsidTr="00FF35D6">
        <w:trPr>
          <w:trHeight w:val="283"/>
          <w:jc w:val="center"/>
        </w:trPr>
        <w:tc>
          <w:tcPr>
            <w:tcW w:w="4024" w:type="dxa"/>
            <w:tcBorders>
              <w:top w:val="nil"/>
              <w:left w:val="nil"/>
              <w:bottom w:val="single" w:sz="4" w:space="0" w:color="auto"/>
              <w:right w:val="nil"/>
            </w:tcBorders>
            <w:shd w:val="clear" w:color="auto" w:fill="auto"/>
            <w:vAlign w:val="center"/>
            <w:hideMark/>
          </w:tcPr>
          <w:p w14:paraId="561D2557" w14:textId="77777777" w:rsidR="00900988" w:rsidRPr="00B615BF" w:rsidRDefault="00900988" w:rsidP="00900988">
            <w:pPr>
              <w:rPr>
                <w:rFonts w:eastAsia="Times New Roman"/>
                <w:b/>
                <w:bCs/>
                <w:sz w:val="18"/>
                <w:szCs w:val="18"/>
              </w:rPr>
            </w:pPr>
            <w:r w:rsidRPr="00B615BF">
              <w:rPr>
                <w:rFonts w:eastAsia="Times New Roman"/>
                <w:b/>
                <w:bCs/>
                <w:sz w:val="18"/>
                <w:szCs w:val="18"/>
              </w:rPr>
              <w:t>Total</w:t>
            </w:r>
          </w:p>
        </w:tc>
        <w:tc>
          <w:tcPr>
            <w:tcW w:w="1390" w:type="dxa"/>
            <w:tcBorders>
              <w:top w:val="nil"/>
              <w:left w:val="nil"/>
              <w:bottom w:val="single" w:sz="4" w:space="0" w:color="auto"/>
              <w:right w:val="nil"/>
            </w:tcBorders>
            <w:shd w:val="clear" w:color="auto" w:fill="auto"/>
            <w:vAlign w:val="center"/>
          </w:tcPr>
          <w:p w14:paraId="372E53B2" w14:textId="77777777" w:rsidR="00900988" w:rsidRPr="00B10DE7" w:rsidRDefault="00FF5498" w:rsidP="00900988">
            <w:pPr>
              <w:jc w:val="right"/>
              <w:rPr>
                <w:b/>
                <w:bCs/>
                <w:sz w:val="18"/>
                <w:szCs w:val="18"/>
              </w:rPr>
            </w:pPr>
            <w:r w:rsidRPr="00B10DE7">
              <w:rPr>
                <w:b/>
                <w:bCs/>
                <w:sz w:val="18"/>
                <w:szCs w:val="18"/>
              </w:rPr>
              <w:t>145.610,91</w:t>
            </w:r>
          </w:p>
        </w:tc>
        <w:tc>
          <w:tcPr>
            <w:tcW w:w="1390" w:type="dxa"/>
            <w:tcBorders>
              <w:top w:val="nil"/>
              <w:left w:val="nil"/>
              <w:bottom w:val="single" w:sz="4" w:space="0" w:color="auto"/>
              <w:right w:val="nil"/>
            </w:tcBorders>
            <w:shd w:val="clear" w:color="auto" w:fill="auto"/>
            <w:vAlign w:val="center"/>
          </w:tcPr>
          <w:p w14:paraId="074DAC62" w14:textId="77777777" w:rsidR="00900988" w:rsidRPr="00B615BF" w:rsidRDefault="00900988" w:rsidP="00900988">
            <w:pPr>
              <w:jc w:val="right"/>
              <w:rPr>
                <w:b/>
                <w:bCs/>
                <w:sz w:val="18"/>
                <w:szCs w:val="18"/>
              </w:rPr>
            </w:pPr>
            <w:r w:rsidRPr="00B615BF">
              <w:rPr>
                <w:b/>
                <w:bCs/>
                <w:sz w:val="18"/>
                <w:szCs w:val="18"/>
              </w:rPr>
              <w:t>32.902,50</w:t>
            </w:r>
          </w:p>
        </w:tc>
      </w:tr>
    </w:tbl>
    <w:p w14:paraId="6D08CFCC" w14:textId="77777777" w:rsidR="006220A2" w:rsidRDefault="006220A2" w:rsidP="006220A2">
      <w:pPr>
        <w:keepNext/>
        <w:keepLines/>
        <w:widowControl w:val="0"/>
        <w:tabs>
          <w:tab w:val="left" w:pos="567"/>
          <w:tab w:val="left" w:pos="1134"/>
          <w:tab w:val="left" w:pos="1588"/>
        </w:tabs>
        <w:spacing w:before="120"/>
        <w:jc w:val="both"/>
        <w:rPr>
          <w:sz w:val="20"/>
          <w:szCs w:val="22"/>
        </w:rPr>
      </w:pPr>
      <w:r w:rsidRPr="00A87CF2">
        <w:rPr>
          <w:sz w:val="20"/>
          <w:szCs w:val="22"/>
        </w:rPr>
        <w:t>El gasto reconocido en la cuenta de pérdidas y ganancias durante el ejercicio correspondiente a arrendamientos</w:t>
      </w:r>
      <w:r w:rsidR="0094063E">
        <w:rPr>
          <w:sz w:val="20"/>
          <w:szCs w:val="22"/>
        </w:rPr>
        <w:t xml:space="preserve"> operativos asciende a 33.532,21 euros (33.015,11 euros en 2017</w:t>
      </w:r>
      <w:r w:rsidRPr="00A87CF2">
        <w:rPr>
          <w:sz w:val="20"/>
          <w:szCs w:val="22"/>
        </w:rPr>
        <w:t>).</w:t>
      </w:r>
    </w:p>
    <w:p w14:paraId="0618B415" w14:textId="77777777" w:rsidR="006220A2" w:rsidRDefault="006220A2" w:rsidP="006220A2">
      <w:pPr>
        <w:rPr>
          <w:b/>
          <w:sz w:val="22"/>
          <w:szCs w:val="22"/>
        </w:rPr>
      </w:pPr>
    </w:p>
    <w:p w14:paraId="7CC13D8D" w14:textId="77777777" w:rsidR="006220A2" w:rsidRPr="000F15AD" w:rsidRDefault="006220A2" w:rsidP="006220A2">
      <w:pPr>
        <w:rPr>
          <w:b/>
          <w:sz w:val="22"/>
          <w:szCs w:val="22"/>
        </w:rPr>
      </w:pPr>
    </w:p>
    <w:p w14:paraId="1C6345B5" w14:textId="77777777" w:rsidR="006220A2" w:rsidRPr="00070E05" w:rsidRDefault="006220A2" w:rsidP="006220A2">
      <w:pPr>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lear" w:pos="644"/>
        </w:tabs>
        <w:ind w:left="284" w:hanging="284"/>
        <w:outlineLvl w:val="9"/>
        <w:rPr>
          <w:b/>
          <w:snapToGrid w:val="0"/>
          <w:sz w:val="22"/>
          <w:szCs w:val="22"/>
        </w:rPr>
      </w:pPr>
      <w:r w:rsidRPr="00070E05">
        <w:rPr>
          <w:b/>
          <w:snapToGrid w:val="0"/>
          <w:sz w:val="22"/>
          <w:szCs w:val="22"/>
        </w:rPr>
        <w:t>Análisis de instrumentos financieros</w:t>
      </w:r>
    </w:p>
    <w:p w14:paraId="2775F16B" w14:textId="77777777" w:rsidR="006220A2" w:rsidRPr="00F66E33" w:rsidRDefault="006220A2" w:rsidP="006220A2">
      <w:pPr>
        <w:widowControl w:val="0"/>
        <w:spacing w:before="200"/>
        <w:rPr>
          <w:b/>
          <w:snapToGrid w:val="0"/>
          <w:sz w:val="20"/>
          <w:szCs w:val="22"/>
        </w:rPr>
      </w:pPr>
      <w:r w:rsidRPr="00F66E33">
        <w:rPr>
          <w:b/>
          <w:sz w:val="20"/>
          <w:szCs w:val="22"/>
        </w:rPr>
        <w:t>Análisis por categorías</w:t>
      </w:r>
    </w:p>
    <w:p w14:paraId="72BB6657" w14:textId="77777777" w:rsidR="006220A2" w:rsidRDefault="006220A2" w:rsidP="006220A2">
      <w:pPr>
        <w:widowControl w:val="0"/>
        <w:spacing w:before="120"/>
        <w:jc w:val="both"/>
        <w:rPr>
          <w:sz w:val="20"/>
          <w:szCs w:val="22"/>
        </w:rPr>
      </w:pPr>
      <w:r w:rsidRPr="001E0DA0">
        <w:rPr>
          <w:sz w:val="20"/>
          <w:szCs w:val="22"/>
        </w:rPr>
        <w:t xml:space="preserve">El valor en libros de cada una de las categorías de instrumentos financieros establecidas en la norma de </w:t>
      </w:r>
      <w:r w:rsidRPr="00A72A2D">
        <w:rPr>
          <w:sz w:val="20"/>
          <w:szCs w:val="22"/>
        </w:rPr>
        <w:t>registro y valoración de “Instrumentos financieros</w:t>
      </w:r>
      <w:r w:rsidRPr="001E0DA0">
        <w:rPr>
          <w:sz w:val="20"/>
          <w:szCs w:val="22"/>
        </w:rPr>
        <w:t>” es el siguiente:</w:t>
      </w:r>
    </w:p>
    <w:p w14:paraId="1A521AF5" w14:textId="77777777" w:rsidR="006220A2" w:rsidRPr="00F66E33" w:rsidRDefault="006220A2" w:rsidP="006220A2">
      <w:pPr>
        <w:widowControl w:val="0"/>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9"/>
        <w:rPr>
          <w:b/>
          <w:sz w:val="20"/>
          <w:szCs w:val="22"/>
        </w:rPr>
      </w:pPr>
      <w:r w:rsidRPr="00F66E33">
        <w:rPr>
          <w:b/>
          <w:sz w:val="20"/>
          <w:szCs w:val="22"/>
        </w:rPr>
        <w:t>Activos financieros</w:t>
      </w:r>
    </w:p>
    <w:p w14:paraId="5AE0EC83" w14:textId="77777777" w:rsidR="006220A2" w:rsidRPr="00025187" w:rsidRDefault="006220A2" w:rsidP="006220A2">
      <w:pPr>
        <w:widowControl w:val="0"/>
        <w:spacing w:before="120" w:after="120"/>
        <w:jc w:val="both"/>
        <w:rPr>
          <w:sz w:val="20"/>
        </w:rPr>
      </w:pPr>
      <w:r>
        <w:rPr>
          <w:sz w:val="20"/>
        </w:rPr>
        <w:t>El detalle de activos financieros a corto y largo plazo, es el siguiente:</w:t>
      </w:r>
    </w:p>
    <w:tbl>
      <w:tblPr>
        <w:tblW w:w="5000" w:type="pct"/>
        <w:jc w:val="center"/>
        <w:tblCellMar>
          <w:left w:w="70" w:type="dxa"/>
          <w:right w:w="70" w:type="dxa"/>
        </w:tblCellMar>
        <w:tblLook w:val="04A0" w:firstRow="1" w:lastRow="0" w:firstColumn="1" w:lastColumn="0" w:noHBand="0" w:noVBand="1"/>
      </w:tblPr>
      <w:tblGrid>
        <w:gridCol w:w="4530"/>
        <w:gridCol w:w="2307"/>
        <w:gridCol w:w="2084"/>
      </w:tblGrid>
      <w:tr w:rsidR="006220A2" w:rsidRPr="00864CF7" w14:paraId="07FDAD67" w14:textId="77777777" w:rsidTr="0071126B">
        <w:trPr>
          <w:trHeight w:val="20"/>
          <w:jc w:val="center"/>
        </w:trPr>
        <w:tc>
          <w:tcPr>
            <w:tcW w:w="2539" w:type="pct"/>
            <w:tcBorders>
              <w:top w:val="single" w:sz="4" w:space="0" w:color="auto"/>
              <w:left w:val="nil"/>
              <w:bottom w:val="nil"/>
              <w:right w:val="nil"/>
            </w:tcBorders>
            <w:shd w:val="clear" w:color="auto" w:fill="auto"/>
            <w:vAlign w:val="bottom"/>
            <w:hideMark/>
          </w:tcPr>
          <w:p w14:paraId="01DE50AF" w14:textId="77777777" w:rsidR="006220A2" w:rsidRPr="00864CF7" w:rsidRDefault="006220A2" w:rsidP="00852114">
            <w:pPr>
              <w:jc w:val="center"/>
              <w:rPr>
                <w:rFonts w:eastAsia="Times New Roman"/>
                <w:b/>
                <w:bCs/>
                <w:sz w:val="18"/>
                <w:szCs w:val="18"/>
              </w:rPr>
            </w:pPr>
          </w:p>
        </w:tc>
        <w:tc>
          <w:tcPr>
            <w:tcW w:w="2461" w:type="pct"/>
            <w:gridSpan w:val="2"/>
            <w:tcBorders>
              <w:top w:val="single" w:sz="4" w:space="0" w:color="auto"/>
              <w:left w:val="nil"/>
              <w:bottom w:val="nil"/>
              <w:right w:val="nil"/>
            </w:tcBorders>
            <w:shd w:val="clear" w:color="auto" w:fill="auto"/>
            <w:vAlign w:val="bottom"/>
            <w:hideMark/>
          </w:tcPr>
          <w:p w14:paraId="48C9FD0D" w14:textId="77777777" w:rsidR="006220A2" w:rsidRPr="00864CF7" w:rsidRDefault="006220A2" w:rsidP="00852114">
            <w:pPr>
              <w:jc w:val="center"/>
              <w:rPr>
                <w:rFonts w:eastAsia="Times New Roman"/>
                <w:b/>
                <w:bCs/>
                <w:sz w:val="18"/>
                <w:szCs w:val="18"/>
              </w:rPr>
            </w:pPr>
            <w:r w:rsidRPr="00864CF7">
              <w:rPr>
                <w:rFonts w:eastAsia="Times New Roman"/>
                <w:b/>
                <w:bCs/>
                <w:sz w:val="18"/>
                <w:szCs w:val="18"/>
              </w:rPr>
              <w:t>Activos financieros a largo plazo</w:t>
            </w:r>
          </w:p>
        </w:tc>
      </w:tr>
      <w:tr w:rsidR="006220A2" w:rsidRPr="00864CF7" w14:paraId="709D1DBE" w14:textId="77777777" w:rsidTr="0071126B">
        <w:trPr>
          <w:trHeight w:val="227"/>
          <w:jc w:val="center"/>
        </w:trPr>
        <w:tc>
          <w:tcPr>
            <w:tcW w:w="2539" w:type="pct"/>
            <w:tcBorders>
              <w:top w:val="nil"/>
              <w:left w:val="nil"/>
              <w:right w:val="nil"/>
            </w:tcBorders>
            <w:shd w:val="clear" w:color="auto" w:fill="auto"/>
            <w:vAlign w:val="bottom"/>
            <w:hideMark/>
          </w:tcPr>
          <w:p w14:paraId="29F1EC16" w14:textId="77777777" w:rsidR="006220A2" w:rsidRPr="00864CF7" w:rsidRDefault="006220A2" w:rsidP="00852114">
            <w:pPr>
              <w:jc w:val="center"/>
              <w:rPr>
                <w:rFonts w:eastAsia="Times New Roman"/>
                <w:b/>
                <w:bCs/>
                <w:sz w:val="18"/>
                <w:szCs w:val="18"/>
              </w:rPr>
            </w:pPr>
          </w:p>
        </w:tc>
        <w:tc>
          <w:tcPr>
            <w:tcW w:w="2461" w:type="pct"/>
            <w:gridSpan w:val="2"/>
            <w:tcBorders>
              <w:top w:val="single" w:sz="4" w:space="0" w:color="auto"/>
              <w:left w:val="nil"/>
              <w:right w:val="nil"/>
            </w:tcBorders>
            <w:shd w:val="clear" w:color="auto" w:fill="auto"/>
            <w:vAlign w:val="bottom"/>
            <w:hideMark/>
          </w:tcPr>
          <w:p w14:paraId="40FACD27" w14:textId="77777777" w:rsidR="006220A2" w:rsidRPr="00864CF7" w:rsidRDefault="006220A2" w:rsidP="00852114">
            <w:pPr>
              <w:jc w:val="center"/>
              <w:rPr>
                <w:rFonts w:eastAsia="Times New Roman"/>
                <w:b/>
                <w:bCs/>
                <w:sz w:val="18"/>
                <w:szCs w:val="18"/>
              </w:rPr>
            </w:pPr>
            <w:r w:rsidRPr="00864CF7">
              <w:rPr>
                <w:rFonts w:eastAsia="Times New Roman"/>
                <w:b/>
                <w:bCs/>
                <w:sz w:val="18"/>
                <w:szCs w:val="18"/>
              </w:rPr>
              <w:t>Créditos</w:t>
            </w:r>
            <w:r>
              <w:rPr>
                <w:rFonts w:eastAsia="Times New Roman"/>
                <w:b/>
                <w:bCs/>
                <w:sz w:val="18"/>
                <w:szCs w:val="18"/>
              </w:rPr>
              <w:t xml:space="preserve">, </w:t>
            </w:r>
            <w:r w:rsidRPr="00864CF7">
              <w:rPr>
                <w:rFonts w:eastAsia="Times New Roman"/>
                <w:b/>
                <w:bCs/>
                <w:sz w:val="18"/>
                <w:szCs w:val="18"/>
              </w:rPr>
              <w:t>Derivados</w:t>
            </w:r>
            <w:r>
              <w:rPr>
                <w:rFonts w:eastAsia="Times New Roman"/>
                <w:b/>
                <w:bCs/>
                <w:sz w:val="18"/>
                <w:szCs w:val="18"/>
              </w:rPr>
              <w:t xml:space="preserve"> y </w:t>
            </w:r>
            <w:r w:rsidRPr="00864CF7">
              <w:rPr>
                <w:rFonts w:eastAsia="Times New Roman"/>
                <w:b/>
                <w:bCs/>
                <w:sz w:val="18"/>
                <w:szCs w:val="18"/>
              </w:rPr>
              <w:t>Otros</w:t>
            </w:r>
          </w:p>
        </w:tc>
      </w:tr>
      <w:tr w:rsidR="00FF35D6" w:rsidRPr="00864CF7" w14:paraId="3743BAE9" w14:textId="77777777" w:rsidTr="0071126B">
        <w:trPr>
          <w:trHeight w:val="20"/>
          <w:jc w:val="center"/>
        </w:trPr>
        <w:tc>
          <w:tcPr>
            <w:tcW w:w="2539" w:type="pct"/>
            <w:tcBorders>
              <w:top w:val="nil"/>
              <w:left w:val="nil"/>
              <w:bottom w:val="single" w:sz="4" w:space="0" w:color="auto"/>
              <w:right w:val="nil"/>
            </w:tcBorders>
            <w:shd w:val="clear" w:color="auto" w:fill="auto"/>
            <w:vAlign w:val="bottom"/>
            <w:hideMark/>
          </w:tcPr>
          <w:p w14:paraId="568AF44A" w14:textId="77777777" w:rsidR="00FF35D6" w:rsidRPr="00864CF7" w:rsidRDefault="00FF35D6" w:rsidP="00FF35D6">
            <w:pPr>
              <w:jc w:val="center"/>
              <w:rPr>
                <w:rFonts w:eastAsia="Times New Roman"/>
                <w:sz w:val="18"/>
                <w:szCs w:val="18"/>
              </w:rPr>
            </w:pPr>
          </w:p>
        </w:tc>
        <w:tc>
          <w:tcPr>
            <w:tcW w:w="1293" w:type="pct"/>
            <w:tcBorders>
              <w:top w:val="nil"/>
              <w:left w:val="nil"/>
              <w:bottom w:val="single" w:sz="4" w:space="0" w:color="auto"/>
              <w:right w:val="nil"/>
            </w:tcBorders>
            <w:shd w:val="clear" w:color="auto" w:fill="auto"/>
            <w:vAlign w:val="bottom"/>
            <w:hideMark/>
          </w:tcPr>
          <w:p w14:paraId="2BCA94E0" w14:textId="77777777" w:rsidR="00FF35D6" w:rsidRPr="00550841" w:rsidRDefault="00FF35D6" w:rsidP="00FF35D6">
            <w:pPr>
              <w:jc w:val="center"/>
              <w:rPr>
                <w:rFonts w:eastAsia="Times New Roman"/>
                <w:b/>
                <w:bCs/>
                <w:sz w:val="18"/>
                <w:szCs w:val="18"/>
              </w:rPr>
            </w:pPr>
            <w:r>
              <w:rPr>
                <w:rFonts w:eastAsia="Times New Roman"/>
                <w:b/>
                <w:bCs/>
                <w:sz w:val="18"/>
                <w:szCs w:val="18"/>
              </w:rPr>
              <w:t>31/12/2018</w:t>
            </w:r>
          </w:p>
        </w:tc>
        <w:tc>
          <w:tcPr>
            <w:tcW w:w="1168" w:type="pct"/>
            <w:tcBorders>
              <w:top w:val="nil"/>
              <w:left w:val="nil"/>
              <w:bottom w:val="single" w:sz="4" w:space="0" w:color="auto"/>
              <w:right w:val="nil"/>
            </w:tcBorders>
            <w:shd w:val="clear" w:color="auto" w:fill="auto"/>
            <w:vAlign w:val="bottom"/>
            <w:hideMark/>
          </w:tcPr>
          <w:p w14:paraId="15BE0EA0" w14:textId="77777777" w:rsidR="00FF35D6" w:rsidRPr="00550841" w:rsidRDefault="00FF35D6" w:rsidP="00FF35D6">
            <w:pPr>
              <w:jc w:val="center"/>
              <w:rPr>
                <w:rFonts w:eastAsia="Times New Roman"/>
                <w:b/>
                <w:bCs/>
                <w:sz w:val="18"/>
                <w:szCs w:val="18"/>
              </w:rPr>
            </w:pPr>
            <w:r>
              <w:rPr>
                <w:rFonts w:eastAsia="Times New Roman"/>
                <w:b/>
                <w:bCs/>
                <w:sz w:val="18"/>
                <w:szCs w:val="18"/>
              </w:rPr>
              <w:t>31/12/2017</w:t>
            </w:r>
          </w:p>
        </w:tc>
      </w:tr>
      <w:tr w:rsidR="006220A2" w:rsidRPr="00864CF7" w14:paraId="31B85E9F" w14:textId="77777777" w:rsidTr="0071126B">
        <w:trPr>
          <w:trHeight w:val="283"/>
          <w:jc w:val="center"/>
        </w:trPr>
        <w:tc>
          <w:tcPr>
            <w:tcW w:w="2539" w:type="pct"/>
            <w:tcBorders>
              <w:top w:val="nil"/>
              <w:left w:val="nil"/>
              <w:bottom w:val="nil"/>
              <w:right w:val="nil"/>
            </w:tcBorders>
            <w:shd w:val="clear" w:color="auto" w:fill="auto"/>
            <w:vAlign w:val="center"/>
            <w:hideMark/>
          </w:tcPr>
          <w:p w14:paraId="3C664B9F" w14:textId="77777777" w:rsidR="006220A2" w:rsidRPr="00864CF7" w:rsidRDefault="006220A2" w:rsidP="00852114">
            <w:pPr>
              <w:rPr>
                <w:rFonts w:eastAsia="Times New Roman"/>
                <w:sz w:val="18"/>
                <w:szCs w:val="18"/>
              </w:rPr>
            </w:pPr>
            <w:r>
              <w:rPr>
                <w:rFonts w:eastAsia="Times New Roman"/>
                <w:sz w:val="18"/>
                <w:szCs w:val="18"/>
              </w:rPr>
              <w:t>Préstamos y partidas a cobrar</w:t>
            </w:r>
          </w:p>
        </w:tc>
        <w:tc>
          <w:tcPr>
            <w:tcW w:w="1293" w:type="pct"/>
            <w:tcBorders>
              <w:top w:val="nil"/>
              <w:left w:val="nil"/>
              <w:bottom w:val="single" w:sz="4" w:space="0" w:color="auto"/>
              <w:right w:val="nil"/>
            </w:tcBorders>
            <w:shd w:val="clear" w:color="auto" w:fill="auto"/>
            <w:vAlign w:val="center"/>
          </w:tcPr>
          <w:p w14:paraId="3B6FD779" w14:textId="77777777" w:rsidR="006220A2" w:rsidRDefault="006220A2" w:rsidP="004318A7">
            <w:pPr>
              <w:ind w:right="281"/>
              <w:jc w:val="right"/>
              <w:rPr>
                <w:sz w:val="18"/>
                <w:szCs w:val="18"/>
              </w:rPr>
            </w:pPr>
            <w:r>
              <w:rPr>
                <w:sz w:val="18"/>
                <w:szCs w:val="18"/>
              </w:rPr>
              <w:t>6.000,00</w:t>
            </w:r>
          </w:p>
        </w:tc>
        <w:tc>
          <w:tcPr>
            <w:tcW w:w="1168" w:type="pct"/>
            <w:tcBorders>
              <w:top w:val="nil"/>
              <w:left w:val="nil"/>
              <w:bottom w:val="single" w:sz="4" w:space="0" w:color="auto"/>
              <w:right w:val="nil"/>
            </w:tcBorders>
            <w:shd w:val="clear" w:color="auto" w:fill="auto"/>
            <w:vAlign w:val="center"/>
            <w:hideMark/>
          </w:tcPr>
          <w:p w14:paraId="4CAA0616" w14:textId="77777777" w:rsidR="006220A2" w:rsidRPr="00864CF7" w:rsidRDefault="006220A2" w:rsidP="00852114">
            <w:pPr>
              <w:ind w:right="248"/>
              <w:jc w:val="right"/>
              <w:rPr>
                <w:rFonts w:eastAsia="Times New Roman"/>
                <w:sz w:val="18"/>
                <w:szCs w:val="18"/>
              </w:rPr>
            </w:pPr>
            <w:r w:rsidRPr="00864CF7">
              <w:rPr>
                <w:rFonts w:eastAsia="Times New Roman"/>
                <w:sz w:val="18"/>
                <w:szCs w:val="18"/>
              </w:rPr>
              <w:t>6.000,00</w:t>
            </w:r>
          </w:p>
        </w:tc>
      </w:tr>
      <w:tr w:rsidR="006220A2" w:rsidRPr="00864CF7" w14:paraId="792497B9" w14:textId="77777777" w:rsidTr="0071126B">
        <w:trPr>
          <w:trHeight w:val="283"/>
          <w:jc w:val="center"/>
        </w:trPr>
        <w:tc>
          <w:tcPr>
            <w:tcW w:w="2539" w:type="pct"/>
            <w:tcBorders>
              <w:top w:val="single" w:sz="4" w:space="0" w:color="auto"/>
              <w:left w:val="nil"/>
              <w:bottom w:val="single" w:sz="4" w:space="0" w:color="auto"/>
              <w:right w:val="nil"/>
            </w:tcBorders>
            <w:shd w:val="clear" w:color="auto" w:fill="auto"/>
            <w:vAlign w:val="center"/>
            <w:hideMark/>
          </w:tcPr>
          <w:p w14:paraId="0912D16E" w14:textId="77777777" w:rsidR="006220A2" w:rsidRPr="00864CF7" w:rsidRDefault="006220A2" w:rsidP="00852114">
            <w:pPr>
              <w:rPr>
                <w:rFonts w:eastAsia="Times New Roman"/>
                <w:b/>
                <w:bCs/>
                <w:sz w:val="18"/>
                <w:szCs w:val="18"/>
              </w:rPr>
            </w:pPr>
            <w:r w:rsidRPr="00864CF7">
              <w:rPr>
                <w:rFonts w:eastAsia="Times New Roman"/>
                <w:b/>
                <w:bCs/>
                <w:sz w:val="18"/>
                <w:szCs w:val="18"/>
              </w:rPr>
              <w:t>Total</w:t>
            </w:r>
          </w:p>
        </w:tc>
        <w:tc>
          <w:tcPr>
            <w:tcW w:w="1293" w:type="pct"/>
            <w:tcBorders>
              <w:top w:val="nil"/>
              <w:left w:val="nil"/>
              <w:bottom w:val="single" w:sz="4" w:space="0" w:color="auto"/>
              <w:right w:val="nil"/>
            </w:tcBorders>
            <w:shd w:val="clear" w:color="auto" w:fill="auto"/>
            <w:vAlign w:val="center"/>
          </w:tcPr>
          <w:p w14:paraId="31F9305E" w14:textId="77777777" w:rsidR="006220A2" w:rsidRDefault="006220A2" w:rsidP="004318A7">
            <w:pPr>
              <w:ind w:right="281"/>
              <w:jc w:val="right"/>
              <w:rPr>
                <w:b/>
                <w:bCs/>
                <w:sz w:val="18"/>
                <w:szCs w:val="18"/>
              </w:rPr>
            </w:pPr>
            <w:r>
              <w:rPr>
                <w:b/>
                <w:bCs/>
                <w:sz w:val="18"/>
                <w:szCs w:val="18"/>
              </w:rPr>
              <w:t>6.000,00</w:t>
            </w:r>
          </w:p>
        </w:tc>
        <w:tc>
          <w:tcPr>
            <w:tcW w:w="1168" w:type="pct"/>
            <w:tcBorders>
              <w:top w:val="nil"/>
              <w:left w:val="nil"/>
              <w:bottom w:val="single" w:sz="4" w:space="0" w:color="auto"/>
              <w:right w:val="nil"/>
            </w:tcBorders>
            <w:shd w:val="clear" w:color="auto" w:fill="auto"/>
            <w:vAlign w:val="center"/>
            <w:hideMark/>
          </w:tcPr>
          <w:p w14:paraId="3FC163F6" w14:textId="77777777" w:rsidR="006220A2" w:rsidRPr="00864CF7" w:rsidRDefault="006220A2" w:rsidP="00852114">
            <w:pPr>
              <w:ind w:right="248"/>
              <w:jc w:val="right"/>
              <w:rPr>
                <w:rFonts w:eastAsia="Times New Roman"/>
                <w:b/>
                <w:bCs/>
                <w:sz w:val="18"/>
                <w:szCs w:val="18"/>
              </w:rPr>
            </w:pPr>
            <w:r w:rsidRPr="00864CF7">
              <w:rPr>
                <w:rFonts w:eastAsia="Times New Roman"/>
                <w:b/>
                <w:bCs/>
                <w:sz w:val="18"/>
                <w:szCs w:val="18"/>
              </w:rPr>
              <w:t>6.000,00</w:t>
            </w:r>
          </w:p>
        </w:tc>
      </w:tr>
    </w:tbl>
    <w:p w14:paraId="0BDD9FBA" w14:textId="77777777" w:rsidR="006220A2" w:rsidRDefault="006220A2" w:rsidP="006220A2">
      <w:pPr>
        <w:rPr>
          <w:sz w:val="20"/>
        </w:rPr>
      </w:pPr>
    </w:p>
    <w:tbl>
      <w:tblPr>
        <w:tblW w:w="5000" w:type="pct"/>
        <w:jc w:val="center"/>
        <w:tblCellMar>
          <w:left w:w="70" w:type="dxa"/>
          <w:right w:w="70" w:type="dxa"/>
        </w:tblCellMar>
        <w:tblLook w:val="04A0" w:firstRow="1" w:lastRow="0" w:firstColumn="1" w:lastColumn="0" w:noHBand="0" w:noVBand="1"/>
      </w:tblPr>
      <w:tblGrid>
        <w:gridCol w:w="4780"/>
        <w:gridCol w:w="2148"/>
        <w:gridCol w:w="1993"/>
      </w:tblGrid>
      <w:tr w:rsidR="006220A2" w:rsidRPr="00864CF7" w14:paraId="3A8E4C0D" w14:textId="77777777" w:rsidTr="0071126B">
        <w:trPr>
          <w:trHeight w:val="20"/>
          <w:jc w:val="center"/>
        </w:trPr>
        <w:tc>
          <w:tcPr>
            <w:tcW w:w="2679" w:type="pct"/>
            <w:tcBorders>
              <w:top w:val="single" w:sz="4" w:space="0" w:color="auto"/>
              <w:left w:val="nil"/>
              <w:bottom w:val="nil"/>
              <w:right w:val="nil"/>
            </w:tcBorders>
            <w:shd w:val="clear" w:color="auto" w:fill="auto"/>
            <w:vAlign w:val="bottom"/>
            <w:hideMark/>
          </w:tcPr>
          <w:p w14:paraId="50455E70" w14:textId="77777777" w:rsidR="006220A2" w:rsidRPr="00864CF7" w:rsidRDefault="006220A2" w:rsidP="00852114">
            <w:pPr>
              <w:jc w:val="center"/>
              <w:rPr>
                <w:rFonts w:eastAsia="Times New Roman"/>
                <w:b/>
                <w:bCs/>
                <w:sz w:val="18"/>
                <w:szCs w:val="18"/>
              </w:rPr>
            </w:pPr>
          </w:p>
        </w:tc>
        <w:tc>
          <w:tcPr>
            <w:tcW w:w="2321" w:type="pct"/>
            <w:gridSpan w:val="2"/>
            <w:tcBorders>
              <w:top w:val="single" w:sz="4" w:space="0" w:color="auto"/>
              <w:left w:val="nil"/>
              <w:bottom w:val="nil"/>
              <w:right w:val="nil"/>
            </w:tcBorders>
            <w:shd w:val="clear" w:color="auto" w:fill="auto"/>
            <w:vAlign w:val="bottom"/>
            <w:hideMark/>
          </w:tcPr>
          <w:p w14:paraId="1044CD8D" w14:textId="77777777" w:rsidR="006220A2" w:rsidRPr="00864CF7" w:rsidRDefault="006220A2" w:rsidP="00852114">
            <w:pPr>
              <w:jc w:val="center"/>
              <w:rPr>
                <w:rFonts w:eastAsia="Times New Roman"/>
                <w:b/>
                <w:bCs/>
                <w:sz w:val="18"/>
                <w:szCs w:val="18"/>
              </w:rPr>
            </w:pPr>
            <w:r w:rsidRPr="00864CF7">
              <w:rPr>
                <w:rFonts w:eastAsia="Times New Roman"/>
                <w:b/>
                <w:bCs/>
                <w:sz w:val="18"/>
                <w:szCs w:val="18"/>
              </w:rPr>
              <w:t>Activos financieros a corto plazo</w:t>
            </w:r>
          </w:p>
        </w:tc>
      </w:tr>
      <w:tr w:rsidR="006220A2" w:rsidRPr="00864CF7" w14:paraId="4DA2B3A3" w14:textId="77777777" w:rsidTr="0071126B">
        <w:trPr>
          <w:trHeight w:val="227"/>
          <w:jc w:val="center"/>
        </w:trPr>
        <w:tc>
          <w:tcPr>
            <w:tcW w:w="2679" w:type="pct"/>
            <w:tcBorders>
              <w:top w:val="nil"/>
              <w:left w:val="nil"/>
              <w:right w:val="nil"/>
            </w:tcBorders>
            <w:shd w:val="clear" w:color="auto" w:fill="auto"/>
            <w:vAlign w:val="bottom"/>
            <w:hideMark/>
          </w:tcPr>
          <w:p w14:paraId="0008608C" w14:textId="77777777" w:rsidR="006220A2" w:rsidRPr="00864CF7" w:rsidRDefault="006220A2" w:rsidP="00852114">
            <w:pPr>
              <w:jc w:val="center"/>
              <w:rPr>
                <w:rFonts w:eastAsia="Times New Roman"/>
                <w:b/>
                <w:bCs/>
                <w:sz w:val="18"/>
                <w:szCs w:val="18"/>
              </w:rPr>
            </w:pPr>
          </w:p>
        </w:tc>
        <w:tc>
          <w:tcPr>
            <w:tcW w:w="2321" w:type="pct"/>
            <w:gridSpan w:val="2"/>
            <w:tcBorders>
              <w:top w:val="single" w:sz="4" w:space="0" w:color="auto"/>
              <w:left w:val="nil"/>
              <w:right w:val="nil"/>
            </w:tcBorders>
            <w:shd w:val="clear" w:color="auto" w:fill="auto"/>
            <w:vAlign w:val="bottom"/>
            <w:hideMark/>
          </w:tcPr>
          <w:p w14:paraId="5C6C9BD2" w14:textId="77777777" w:rsidR="006220A2" w:rsidRPr="00864CF7" w:rsidRDefault="006220A2" w:rsidP="00852114">
            <w:pPr>
              <w:jc w:val="center"/>
              <w:rPr>
                <w:rFonts w:eastAsia="Times New Roman"/>
                <w:b/>
                <w:bCs/>
                <w:sz w:val="18"/>
                <w:szCs w:val="18"/>
              </w:rPr>
            </w:pPr>
            <w:r w:rsidRPr="00864CF7">
              <w:rPr>
                <w:rFonts w:eastAsia="Times New Roman"/>
                <w:b/>
                <w:bCs/>
                <w:sz w:val="18"/>
                <w:szCs w:val="18"/>
              </w:rPr>
              <w:t>Créditos</w:t>
            </w:r>
            <w:r>
              <w:rPr>
                <w:rFonts w:eastAsia="Times New Roman"/>
                <w:b/>
                <w:bCs/>
                <w:sz w:val="18"/>
                <w:szCs w:val="18"/>
              </w:rPr>
              <w:t xml:space="preserve">, Derivados y </w:t>
            </w:r>
            <w:r w:rsidRPr="00864CF7">
              <w:rPr>
                <w:rFonts w:eastAsia="Times New Roman"/>
                <w:b/>
                <w:bCs/>
                <w:sz w:val="18"/>
                <w:szCs w:val="18"/>
              </w:rPr>
              <w:t>Otros</w:t>
            </w:r>
          </w:p>
        </w:tc>
      </w:tr>
      <w:tr w:rsidR="00FF35D6" w:rsidRPr="00864CF7" w14:paraId="7B04B26C" w14:textId="77777777" w:rsidTr="004318A7">
        <w:trPr>
          <w:trHeight w:val="20"/>
          <w:jc w:val="center"/>
        </w:trPr>
        <w:tc>
          <w:tcPr>
            <w:tcW w:w="2679" w:type="pct"/>
            <w:tcBorders>
              <w:top w:val="nil"/>
              <w:left w:val="nil"/>
              <w:bottom w:val="single" w:sz="4" w:space="0" w:color="auto"/>
              <w:right w:val="nil"/>
            </w:tcBorders>
            <w:shd w:val="clear" w:color="auto" w:fill="auto"/>
            <w:vAlign w:val="bottom"/>
            <w:hideMark/>
          </w:tcPr>
          <w:p w14:paraId="75D24E5A" w14:textId="77777777" w:rsidR="00FF35D6" w:rsidRPr="00864CF7" w:rsidRDefault="00FF35D6" w:rsidP="00FF35D6">
            <w:pPr>
              <w:jc w:val="center"/>
              <w:rPr>
                <w:rFonts w:eastAsia="Times New Roman"/>
                <w:sz w:val="18"/>
                <w:szCs w:val="18"/>
              </w:rPr>
            </w:pPr>
          </w:p>
        </w:tc>
        <w:tc>
          <w:tcPr>
            <w:tcW w:w="1204" w:type="pct"/>
            <w:tcBorders>
              <w:top w:val="nil"/>
              <w:left w:val="nil"/>
              <w:bottom w:val="single" w:sz="4" w:space="0" w:color="auto"/>
              <w:right w:val="nil"/>
            </w:tcBorders>
            <w:shd w:val="clear" w:color="auto" w:fill="auto"/>
            <w:vAlign w:val="bottom"/>
            <w:hideMark/>
          </w:tcPr>
          <w:p w14:paraId="2014C03E" w14:textId="77777777" w:rsidR="00FF35D6" w:rsidRPr="00550841" w:rsidRDefault="00FF35D6" w:rsidP="00FF35D6">
            <w:pPr>
              <w:jc w:val="center"/>
              <w:rPr>
                <w:rFonts w:eastAsia="Times New Roman"/>
                <w:b/>
                <w:bCs/>
                <w:sz w:val="18"/>
                <w:szCs w:val="18"/>
              </w:rPr>
            </w:pPr>
            <w:r>
              <w:rPr>
                <w:rFonts w:eastAsia="Times New Roman"/>
                <w:b/>
                <w:bCs/>
                <w:sz w:val="18"/>
                <w:szCs w:val="18"/>
              </w:rPr>
              <w:t>31/12/2018</w:t>
            </w:r>
          </w:p>
        </w:tc>
        <w:tc>
          <w:tcPr>
            <w:tcW w:w="1117" w:type="pct"/>
            <w:tcBorders>
              <w:top w:val="nil"/>
              <w:left w:val="nil"/>
              <w:bottom w:val="single" w:sz="4" w:space="0" w:color="auto"/>
              <w:right w:val="nil"/>
            </w:tcBorders>
            <w:shd w:val="clear" w:color="auto" w:fill="auto"/>
            <w:vAlign w:val="bottom"/>
            <w:hideMark/>
          </w:tcPr>
          <w:p w14:paraId="571FD394" w14:textId="77777777" w:rsidR="00FF35D6" w:rsidRPr="00550841" w:rsidRDefault="00FF35D6" w:rsidP="00FF35D6">
            <w:pPr>
              <w:jc w:val="center"/>
              <w:rPr>
                <w:rFonts w:eastAsia="Times New Roman"/>
                <w:b/>
                <w:bCs/>
                <w:sz w:val="18"/>
                <w:szCs w:val="18"/>
              </w:rPr>
            </w:pPr>
            <w:r>
              <w:rPr>
                <w:rFonts w:eastAsia="Times New Roman"/>
                <w:b/>
                <w:bCs/>
                <w:sz w:val="18"/>
                <w:szCs w:val="18"/>
              </w:rPr>
              <w:t>31/12/2017</w:t>
            </w:r>
          </w:p>
        </w:tc>
      </w:tr>
      <w:tr w:rsidR="004318A7" w:rsidRPr="00864CF7" w14:paraId="5A9B69D2" w14:textId="77777777" w:rsidTr="004318A7">
        <w:trPr>
          <w:trHeight w:val="283"/>
          <w:jc w:val="center"/>
        </w:trPr>
        <w:tc>
          <w:tcPr>
            <w:tcW w:w="2679" w:type="pct"/>
            <w:tcBorders>
              <w:top w:val="nil"/>
              <w:left w:val="nil"/>
              <w:bottom w:val="nil"/>
              <w:right w:val="nil"/>
            </w:tcBorders>
            <w:shd w:val="clear" w:color="auto" w:fill="auto"/>
            <w:vAlign w:val="center"/>
            <w:hideMark/>
          </w:tcPr>
          <w:p w14:paraId="7E3DDB62" w14:textId="77777777" w:rsidR="004318A7" w:rsidRPr="00864CF7" w:rsidRDefault="004318A7" w:rsidP="004318A7">
            <w:pPr>
              <w:rPr>
                <w:rFonts w:eastAsia="Times New Roman"/>
                <w:sz w:val="18"/>
                <w:szCs w:val="18"/>
              </w:rPr>
            </w:pPr>
            <w:r w:rsidRPr="00864CF7">
              <w:rPr>
                <w:rFonts w:eastAsia="Times New Roman"/>
                <w:sz w:val="18"/>
                <w:szCs w:val="18"/>
              </w:rPr>
              <w:t>Présta</w:t>
            </w:r>
            <w:r>
              <w:rPr>
                <w:rFonts w:eastAsia="Times New Roman"/>
                <w:sz w:val="18"/>
                <w:szCs w:val="18"/>
              </w:rPr>
              <w:t>mos y partidas a cobrar</w:t>
            </w:r>
          </w:p>
        </w:tc>
        <w:tc>
          <w:tcPr>
            <w:tcW w:w="1204" w:type="pct"/>
            <w:tcBorders>
              <w:top w:val="nil"/>
              <w:left w:val="nil"/>
              <w:bottom w:val="single" w:sz="4" w:space="0" w:color="auto"/>
              <w:right w:val="nil"/>
            </w:tcBorders>
            <w:shd w:val="clear" w:color="auto" w:fill="auto"/>
            <w:vAlign w:val="center"/>
          </w:tcPr>
          <w:p w14:paraId="26162C13" w14:textId="77777777" w:rsidR="004318A7" w:rsidRDefault="004318A7" w:rsidP="004318A7">
            <w:pPr>
              <w:pBdr>
                <w:top w:val="none" w:sz="0" w:space="0" w:color="auto"/>
                <w:left w:val="none" w:sz="0" w:space="0" w:color="auto"/>
                <w:bottom w:val="none" w:sz="0" w:space="0" w:color="auto"/>
                <w:right w:val="none" w:sz="0" w:space="0" w:color="auto"/>
                <w:between w:val="none" w:sz="0" w:space="0" w:color="auto"/>
                <w:bar w:val="none" w:sz="0" w:color="auto"/>
              </w:pBdr>
              <w:ind w:right="371"/>
              <w:jc w:val="right"/>
              <w:outlineLvl w:val="9"/>
              <w:rPr>
                <w:rFonts w:eastAsia="Times New Roman"/>
                <w:sz w:val="18"/>
                <w:szCs w:val="18"/>
                <w:bdr w:val="none" w:sz="0" w:space="0" w:color="auto"/>
                <w:lang w:eastAsia="es-ES"/>
              </w:rPr>
            </w:pPr>
            <w:r>
              <w:rPr>
                <w:sz w:val="18"/>
                <w:szCs w:val="18"/>
              </w:rPr>
              <w:t>193.607,55</w:t>
            </w:r>
          </w:p>
        </w:tc>
        <w:tc>
          <w:tcPr>
            <w:tcW w:w="1117" w:type="pct"/>
            <w:tcBorders>
              <w:top w:val="nil"/>
              <w:left w:val="nil"/>
              <w:bottom w:val="single" w:sz="4" w:space="0" w:color="auto"/>
              <w:right w:val="nil"/>
            </w:tcBorders>
            <w:shd w:val="clear" w:color="auto" w:fill="auto"/>
            <w:vAlign w:val="center"/>
            <w:hideMark/>
          </w:tcPr>
          <w:p w14:paraId="3BA596EA" w14:textId="77777777" w:rsidR="004318A7" w:rsidRDefault="004318A7" w:rsidP="004318A7">
            <w:pPr>
              <w:ind w:right="205"/>
              <w:jc w:val="right"/>
              <w:rPr>
                <w:sz w:val="18"/>
                <w:szCs w:val="18"/>
              </w:rPr>
            </w:pPr>
            <w:r>
              <w:rPr>
                <w:sz w:val="18"/>
                <w:szCs w:val="18"/>
              </w:rPr>
              <w:t>204.724,58</w:t>
            </w:r>
          </w:p>
        </w:tc>
      </w:tr>
      <w:tr w:rsidR="004318A7" w:rsidRPr="00864CF7" w14:paraId="562F26A7" w14:textId="77777777" w:rsidTr="004318A7">
        <w:trPr>
          <w:trHeight w:val="283"/>
          <w:jc w:val="center"/>
        </w:trPr>
        <w:tc>
          <w:tcPr>
            <w:tcW w:w="2679" w:type="pct"/>
            <w:tcBorders>
              <w:top w:val="single" w:sz="4" w:space="0" w:color="auto"/>
              <w:left w:val="nil"/>
              <w:bottom w:val="single" w:sz="4" w:space="0" w:color="auto"/>
              <w:right w:val="nil"/>
            </w:tcBorders>
            <w:shd w:val="clear" w:color="auto" w:fill="auto"/>
            <w:vAlign w:val="center"/>
            <w:hideMark/>
          </w:tcPr>
          <w:p w14:paraId="17377CD3" w14:textId="77777777" w:rsidR="004318A7" w:rsidRPr="00864CF7" w:rsidRDefault="004318A7" w:rsidP="004318A7">
            <w:pPr>
              <w:rPr>
                <w:rFonts w:eastAsia="Times New Roman"/>
                <w:b/>
                <w:bCs/>
                <w:sz w:val="18"/>
                <w:szCs w:val="18"/>
              </w:rPr>
            </w:pPr>
            <w:r w:rsidRPr="00864CF7">
              <w:rPr>
                <w:rFonts w:eastAsia="Times New Roman"/>
                <w:b/>
                <w:bCs/>
                <w:sz w:val="18"/>
                <w:szCs w:val="18"/>
              </w:rPr>
              <w:t>Total</w:t>
            </w:r>
          </w:p>
        </w:tc>
        <w:tc>
          <w:tcPr>
            <w:tcW w:w="1204" w:type="pct"/>
            <w:tcBorders>
              <w:top w:val="nil"/>
              <w:left w:val="nil"/>
              <w:bottom w:val="single" w:sz="4" w:space="0" w:color="auto"/>
              <w:right w:val="nil"/>
            </w:tcBorders>
            <w:shd w:val="clear" w:color="auto" w:fill="auto"/>
            <w:vAlign w:val="center"/>
          </w:tcPr>
          <w:p w14:paraId="46BC74D5" w14:textId="77777777" w:rsidR="004318A7" w:rsidRDefault="004318A7" w:rsidP="004318A7">
            <w:pPr>
              <w:ind w:right="371"/>
              <w:jc w:val="right"/>
              <w:rPr>
                <w:b/>
                <w:bCs/>
                <w:sz w:val="18"/>
                <w:szCs w:val="18"/>
              </w:rPr>
            </w:pPr>
            <w:r>
              <w:rPr>
                <w:b/>
                <w:bCs/>
                <w:sz w:val="18"/>
                <w:szCs w:val="18"/>
              </w:rPr>
              <w:t>193.607,55</w:t>
            </w:r>
          </w:p>
        </w:tc>
        <w:tc>
          <w:tcPr>
            <w:tcW w:w="1117" w:type="pct"/>
            <w:tcBorders>
              <w:top w:val="nil"/>
              <w:left w:val="nil"/>
              <w:bottom w:val="single" w:sz="4" w:space="0" w:color="auto"/>
              <w:right w:val="nil"/>
            </w:tcBorders>
            <w:shd w:val="clear" w:color="auto" w:fill="auto"/>
            <w:vAlign w:val="center"/>
            <w:hideMark/>
          </w:tcPr>
          <w:p w14:paraId="46DAE279" w14:textId="77777777" w:rsidR="004318A7" w:rsidRDefault="004318A7" w:rsidP="004318A7">
            <w:pPr>
              <w:ind w:right="205"/>
              <w:jc w:val="right"/>
              <w:rPr>
                <w:b/>
                <w:bCs/>
                <w:sz w:val="18"/>
                <w:szCs w:val="18"/>
              </w:rPr>
            </w:pPr>
            <w:r>
              <w:rPr>
                <w:b/>
                <w:bCs/>
                <w:sz w:val="18"/>
                <w:szCs w:val="18"/>
              </w:rPr>
              <w:t>204.724,58</w:t>
            </w:r>
          </w:p>
        </w:tc>
      </w:tr>
    </w:tbl>
    <w:p w14:paraId="69EAC7AE" w14:textId="77777777" w:rsidR="006220A2" w:rsidRPr="00421D55" w:rsidRDefault="006220A2" w:rsidP="006220A2">
      <w:pPr>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200"/>
        <w:ind w:left="0" w:firstLine="0"/>
        <w:outlineLvl w:val="9"/>
        <w:rPr>
          <w:i/>
          <w:sz w:val="20"/>
          <w:szCs w:val="22"/>
          <w:u w:val="single"/>
        </w:rPr>
      </w:pPr>
      <w:r>
        <w:rPr>
          <w:i/>
          <w:sz w:val="20"/>
          <w:szCs w:val="22"/>
          <w:u w:val="single"/>
        </w:rPr>
        <w:t>Préstamos y partidas a cobrar</w:t>
      </w:r>
    </w:p>
    <w:p w14:paraId="6EFB5771" w14:textId="77777777" w:rsidR="006220A2" w:rsidRDefault="006220A2" w:rsidP="006220A2">
      <w:pPr>
        <w:widowControl w:val="0"/>
        <w:spacing w:before="120" w:after="120"/>
        <w:jc w:val="both"/>
        <w:rPr>
          <w:sz w:val="20"/>
        </w:rPr>
      </w:pPr>
      <w:r w:rsidRPr="003734E9">
        <w:rPr>
          <w:sz w:val="20"/>
        </w:rPr>
        <w:t>El detalle de los préstamos y partidas a cobrar es el siguiente:</w:t>
      </w:r>
    </w:p>
    <w:tbl>
      <w:tblPr>
        <w:tblW w:w="6804" w:type="dxa"/>
        <w:jc w:val="center"/>
        <w:tblCellMar>
          <w:left w:w="70" w:type="dxa"/>
          <w:right w:w="70" w:type="dxa"/>
        </w:tblCellMar>
        <w:tblLook w:val="04A0" w:firstRow="1" w:lastRow="0" w:firstColumn="1" w:lastColumn="0" w:noHBand="0" w:noVBand="1"/>
      </w:tblPr>
      <w:tblGrid>
        <w:gridCol w:w="3764"/>
        <w:gridCol w:w="1520"/>
        <w:gridCol w:w="1520"/>
      </w:tblGrid>
      <w:tr w:rsidR="006220A2" w:rsidRPr="00864CF7" w14:paraId="7980A0AE" w14:textId="77777777" w:rsidTr="0075517F">
        <w:trPr>
          <w:trHeight w:val="255"/>
          <w:jc w:val="center"/>
        </w:trPr>
        <w:tc>
          <w:tcPr>
            <w:tcW w:w="3764" w:type="dxa"/>
            <w:tcBorders>
              <w:top w:val="single" w:sz="4" w:space="0" w:color="auto"/>
              <w:left w:val="nil"/>
              <w:bottom w:val="nil"/>
              <w:right w:val="nil"/>
            </w:tcBorders>
            <w:shd w:val="clear" w:color="auto" w:fill="auto"/>
            <w:vAlign w:val="bottom"/>
            <w:hideMark/>
          </w:tcPr>
          <w:p w14:paraId="3B568635" w14:textId="77777777" w:rsidR="006220A2" w:rsidRPr="00864CF7" w:rsidRDefault="006220A2" w:rsidP="0075517F">
            <w:pPr>
              <w:jc w:val="center"/>
              <w:rPr>
                <w:rFonts w:eastAsia="Times New Roman"/>
                <w:sz w:val="18"/>
                <w:szCs w:val="18"/>
              </w:rPr>
            </w:pPr>
          </w:p>
        </w:tc>
        <w:tc>
          <w:tcPr>
            <w:tcW w:w="3040" w:type="dxa"/>
            <w:gridSpan w:val="2"/>
            <w:tcBorders>
              <w:top w:val="single" w:sz="4" w:space="0" w:color="auto"/>
              <w:left w:val="nil"/>
              <w:bottom w:val="single" w:sz="4" w:space="0" w:color="auto"/>
              <w:right w:val="nil"/>
            </w:tcBorders>
            <w:shd w:val="clear" w:color="auto" w:fill="auto"/>
            <w:vAlign w:val="bottom"/>
            <w:hideMark/>
          </w:tcPr>
          <w:p w14:paraId="01677859" w14:textId="77777777" w:rsidR="006220A2" w:rsidRPr="00864CF7" w:rsidRDefault="006220A2" w:rsidP="00852114">
            <w:pPr>
              <w:jc w:val="center"/>
              <w:rPr>
                <w:rFonts w:eastAsia="Times New Roman"/>
                <w:b/>
                <w:bCs/>
                <w:sz w:val="18"/>
                <w:szCs w:val="18"/>
              </w:rPr>
            </w:pPr>
            <w:r w:rsidRPr="00864CF7">
              <w:rPr>
                <w:rFonts w:eastAsia="Times New Roman"/>
                <w:b/>
                <w:bCs/>
                <w:sz w:val="18"/>
                <w:szCs w:val="18"/>
              </w:rPr>
              <w:t>Euros</w:t>
            </w:r>
          </w:p>
        </w:tc>
      </w:tr>
      <w:tr w:rsidR="00FF35D6" w:rsidRPr="00864CF7" w14:paraId="7E083036" w14:textId="77777777" w:rsidTr="0075517F">
        <w:trPr>
          <w:trHeight w:val="255"/>
          <w:jc w:val="center"/>
        </w:trPr>
        <w:tc>
          <w:tcPr>
            <w:tcW w:w="3764" w:type="dxa"/>
            <w:tcBorders>
              <w:top w:val="nil"/>
              <w:left w:val="nil"/>
              <w:bottom w:val="single" w:sz="4" w:space="0" w:color="auto"/>
              <w:right w:val="nil"/>
            </w:tcBorders>
            <w:shd w:val="clear" w:color="auto" w:fill="auto"/>
            <w:vAlign w:val="bottom"/>
            <w:hideMark/>
          </w:tcPr>
          <w:p w14:paraId="56A135D0" w14:textId="77777777" w:rsidR="00FF35D6" w:rsidRPr="00864CF7" w:rsidRDefault="00FF35D6" w:rsidP="00FF35D6">
            <w:pPr>
              <w:jc w:val="center"/>
              <w:rPr>
                <w:rFonts w:eastAsia="Times New Roman"/>
                <w:sz w:val="18"/>
                <w:szCs w:val="18"/>
              </w:rPr>
            </w:pPr>
          </w:p>
        </w:tc>
        <w:tc>
          <w:tcPr>
            <w:tcW w:w="1520" w:type="dxa"/>
            <w:tcBorders>
              <w:top w:val="nil"/>
              <w:left w:val="nil"/>
              <w:bottom w:val="single" w:sz="4" w:space="0" w:color="auto"/>
              <w:right w:val="nil"/>
            </w:tcBorders>
            <w:shd w:val="clear" w:color="auto" w:fill="auto"/>
            <w:vAlign w:val="bottom"/>
            <w:hideMark/>
          </w:tcPr>
          <w:p w14:paraId="019A42A9" w14:textId="77777777" w:rsidR="00FF35D6" w:rsidRPr="00550841" w:rsidRDefault="00FF35D6" w:rsidP="00FF35D6">
            <w:pPr>
              <w:jc w:val="center"/>
              <w:rPr>
                <w:rFonts w:eastAsia="Times New Roman"/>
                <w:b/>
                <w:bCs/>
                <w:sz w:val="18"/>
                <w:szCs w:val="18"/>
              </w:rPr>
            </w:pPr>
            <w:r>
              <w:rPr>
                <w:rFonts w:eastAsia="Times New Roman"/>
                <w:b/>
                <w:bCs/>
                <w:sz w:val="18"/>
                <w:szCs w:val="18"/>
              </w:rPr>
              <w:t>31/12/2018</w:t>
            </w:r>
          </w:p>
        </w:tc>
        <w:tc>
          <w:tcPr>
            <w:tcW w:w="1520" w:type="dxa"/>
            <w:tcBorders>
              <w:top w:val="nil"/>
              <w:left w:val="nil"/>
              <w:bottom w:val="single" w:sz="4" w:space="0" w:color="auto"/>
              <w:right w:val="nil"/>
            </w:tcBorders>
            <w:shd w:val="clear" w:color="auto" w:fill="auto"/>
            <w:vAlign w:val="bottom"/>
            <w:hideMark/>
          </w:tcPr>
          <w:p w14:paraId="15FBF58F" w14:textId="77777777" w:rsidR="00FF35D6" w:rsidRPr="00550841" w:rsidRDefault="00FF35D6" w:rsidP="00FF35D6">
            <w:pPr>
              <w:jc w:val="center"/>
              <w:rPr>
                <w:rFonts w:eastAsia="Times New Roman"/>
                <w:b/>
                <w:bCs/>
                <w:sz w:val="18"/>
                <w:szCs w:val="18"/>
              </w:rPr>
            </w:pPr>
            <w:r>
              <w:rPr>
                <w:rFonts w:eastAsia="Times New Roman"/>
                <w:b/>
                <w:bCs/>
                <w:sz w:val="18"/>
                <w:szCs w:val="18"/>
              </w:rPr>
              <w:t>31/12/2017</w:t>
            </w:r>
          </w:p>
        </w:tc>
      </w:tr>
      <w:tr w:rsidR="006220A2" w:rsidRPr="00864CF7" w14:paraId="3BF25CA7" w14:textId="77777777" w:rsidTr="0075517F">
        <w:trPr>
          <w:trHeight w:val="255"/>
          <w:jc w:val="center"/>
        </w:trPr>
        <w:tc>
          <w:tcPr>
            <w:tcW w:w="3764" w:type="dxa"/>
            <w:tcBorders>
              <w:top w:val="nil"/>
              <w:left w:val="nil"/>
              <w:bottom w:val="nil"/>
              <w:right w:val="nil"/>
            </w:tcBorders>
            <w:shd w:val="clear" w:color="auto" w:fill="auto"/>
            <w:vAlign w:val="center"/>
            <w:hideMark/>
          </w:tcPr>
          <w:p w14:paraId="1B2E74FA" w14:textId="77777777" w:rsidR="006220A2" w:rsidRPr="00864CF7" w:rsidRDefault="006220A2" w:rsidP="0071126B">
            <w:pPr>
              <w:rPr>
                <w:rFonts w:eastAsia="Times New Roman"/>
                <w:b/>
                <w:bCs/>
                <w:sz w:val="18"/>
                <w:szCs w:val="18"/>
              </w:rPr>
            </w:pPr>
            <w:r w:rsidRPr="00864CF7">
              <w:rPr>
                <w:rFonts w:eastAsia="Times New Roman"/>
                <w:b/>
                <w:bCs/>
                <w:sz w:val="18"/>
                <w:szCs w:val="18"/>
              </w:rPr>
              <w:t>Préstamos y partidas a cobrar a l</w:t>
            </w:r>
            <w:r w:rsidR="0071126B">
              <w:rPr>
                <w:rFonts w:eastAsia="Times New Roman"/>
                <w:b/>
                <w:bCs/>
                <w:sz w:val="18"/>
                <w:szCs w:val="18"/>
              </w:rPr>
              <w:t>/p</w:t>
            </w:r>
            <w:r w:rsidRPr="00864CF7">
              <w:rPr>
                <w:rFonts w:eastAsia="Times New Roman"/>
                <w:b/>
                <w:bCs/>
                <w:sz w:val="18"/>
                <w:szCs w:val="18"/>
              </w:rPr>
              <w:t>:</w:t>
            </w:r>
          </w:p>
        </w:tc>
        <w:tc>
          <w:tcPr>
            <w:tcW w:w="1520" w:type="dxa"/>
            <w:tcBorders>
              <w:top w:val="nil"/>
              <w:left w:val="nil"/>
              <w:bottom w:val="nil"/>
              <w:right w:val="nil"/>
            </w:tcBorders>
            <w:shd w:val="clear" w:color="auto" w:fill="auto"/>
            <w:vAlign w:val="center"/>
            <w:hideMark/>
          </w:tcPr>
          <w:p w14:paraId="604A6586" w14:textId="77777777" w:rsidR="006220A2" w:rsidRPr="00864CF7" w:rsidRDefault="006220A2" w:rsidP="00852114">
            <w:pPr>
              <w:rPr>
                <w:rFonts w:eastAsia="Times New Roman"/>
                <w:b/>
                <w:bCs/>
                <w:sz w:val="18"/>
                <w:szCs w:val="18"/>
              </w:rPr>
            </w:pPr>
          </w:p>
        </w:tc>
        <w:tc>
          <w:tcPr>
            <w:tcW w:w="1520" w:type="dxa"/>
            <w:tcBorders>
              <w:top w:val="nil"/>
              <w:left w:val="nil"/>
              <w:bottom w:val="nil"/>
              <w:right w:val="nil"/>
            </w:tcBorders>
            <w:shd w:val="clear" w:color="auto" w:fill="auto"/>
            <w:vAlign w:val="center"/>
            <w:hideMark/>
          </w:tcPr>
          <w:p w14:paraId="2125A331" w14:textId="77777777" w:rsidR="006220A2" w:rsidRPr="00864CF7" w:rsidRDefault="006220A2" w:rsidP="00852114">
            <w:pPr>
              <w:rPr>
                <w:rFonts w:eastAsia="Times New Roman"/>
                <w:b/>
                <w:bCs/>
                <w:sz w:val="18"/>
                <w:szCs w:val="18"/>
              </w:rPr>
            </w:pPr>
          </w:p>
        </w:tc>
      </w:tr>
      <w:tr w:rsidR="006220A2" w:rsidRPr="00864CF7" w14:paraId="3B4F1D8D" w14:textId="77777777" w:rsidTr="0075517F">
        <w:trPr>
          <w:trHeight w:val="255"/>
          <w:jc w:val="center"/>
        </w:trPr>
        <w:tc>
          <w:tcPr>
            <w:tcW w:w="3764" w:type="dxa"/>
            <w:tcBorders>
              <w:top w:val="nil"/>
              <w:left w:val="nil"/>
              <w:bottom w:val="nil"/>
              <w:right w:val="nil"/>
            </w:tcBorders>
            <w:shd w:val="clear" w:color="auto" w:fill="auto"/>
            <w:vAlign w:val="center"/>
            <w:hideMark/>
          </w:tcPr>
          <w:p w14:paraId="5BD941F1" w14:textId="77777777" w:rsidR="006220A2" w:rsidRPr="00864CF7" w:rsidRDefault="006220A2" w:rsidP="00852114">
            <w:pPr>
              <w:rPr>
                <w:rFonts w:eastAsia="Times New Roman"/>
                <w:sz w:val="18"/>
                <w:szCs w:val="18"/>
              </w:rPr>
            </w:pPr>
            <w:r w:rsidRPr="00864CF7">
              <w:rPr>
                <w:rFonts w:eastAsia="Times New Roman"/>
                <w:sz w:val="18"/>
                <w:szCs w:val="18"/>
              </w:rPr>
              <w:t>Fianzas</w:t>
            </w:r>
          </w:p>
        </w:tc>
        <w:tc>
          <w:tcPr>
            <w:tcW w:w="1520" w:type="dxa"/>
            <w:tcBorders>
              <w:top w:val="nil"/>
              <w:left w:val="nil"/>
              <w:bottom w:val="nil"/>
              <w:right w:val="nil"/>
            </w:tcBorders>
            <w:shd w:val="clear" w:color="auto" w:fill="auto"/>
            <w:vAlign w:val="center"/>
          </w:tcPr>
          <w:p w14:paraId="38C39B22" w14:textId="77777777" w:rsidR="006220A2" w:rsidRDefault="006220A2" w:rsidP="00852114">
            <w:pPr>
              <w:jc w:val="right"/>
              <w:rPr>
                <w:sz w:val="18"/>
                <w:szCs w:val="18"/>
              </w:rPr>
            </w:pPr>
            <w:r>
              <w:rPr>
                <w:sz w:val="18"/>
                <w:szCs w:val="18"/>
              </w:rPr>
              <w:t>6.000,00</w:t>
            </w:r>
          </w:p>
        </w:tc>
        <w:tc>
          <w:tcPr>
            <w:tcW w:w="1520" w:type="dxa"/>
            <w:tcBorders>
              <w:top w:val="nil"/>
              <w:left w:val="nil"/>
              <w:bottom w:val="nil"/>
              <w:right w:val="nil"/>
            </w:tcBorders>
            <w:shd w:val="clear" w:color="auto" w:fill="auto"/>
            <w:vAlign w:val="center"/>
            <w:hideMark/>
          </w:tcPr>
          <w:p w14:paraId="4323465C" w14:textId="77777777" w:rsidR="006220A2" w:rsidRPr="00864CF7" w:rsidRDefault="006220A2" w:rsidP="00852114">
            <w:pPr>
              <w:jc w:val="right"/>
              <w:rPr>
                <w:rFonts w:eastAsia="Times New Roman"/>
                <w:sz w:val="18"/>
                <w:szCs w:val="18"/>
              </w:rPr>
            </w:pPr>
            <w:r w:rsidRPr="00864CF7">
              <w:rPr>
                <w:rFonts w:eastAsia="Times New Roman"/>
                <w:sz w:val="18"/>
                <w:szCs w:val="18"/>
              </w:rPr>
              <w:t>6.000,00</w:t>
            </w:r>
          </w:p>
        </w:tc>
      </w:tr>
      <w:tr w:rsidR="006220A2" w:rsidRPr="00864CF7" w14:paraId="2CBD53EA" w14:textId="77777777" w:rsidTr="0075517F">
        <w:trPr>
          <w:trHeight w:val="255"/>
          <w:jc w:val="center"/>
        </w:trPr>
        <w:tc>
          <w:tcPr>
            <w:tcW w:w="3764" w:type="dxa"/>
            <w:tcBorders>
              <w:top w:val="nil"/>
              <w:left w:val="nil"/>
              <w:bottom w:val="nil"/>
              <w:right w:val="nil"/>
            </w:tcBorders>
            <w:shd w:val="clear" w:color="auto" w:fill="auto"/>
            <w:vAlign w:val="center"/>
            <w:hideMark/>
          </w:tcPr>
          <w:p w14:paraId="652D73CD" w14:textId="77777777" w:rsidR="006220A2" w:rsidRPr="00864CF7" w:rsidRDefault="006220A2" w:rsidP="0071126B">
            <w:pPr>
              <w:rPr>
                <w:rFonts w:eastAsia="Times New Roman"/>
                <w:b/>
                <w:bCs/>
                <w:sz w:val="18"/>
                <w:szCs w:val="18"/>
              </w:rPr>
            </w:pPr>
            <w:r w:rsidRPr="00864CF7">
              <w:rPr>
                <w:rFonts w:eastAsia="Times New Roman"/>
                <w:b/>
                <w:bCs/>
                <w:sz w:val="18"/>
                <w:szCs w:val="18"/>
              </w:rPr>
              <w:t>Préstamos y partidas a cobrar a c</w:t>
            </w:r>
            <w:r w:rsidR="0071126B">
              <w:rPr>
                <w:rFonts w:eastAsia="Times New Roman"/>
                <w:b/>
                <w:bCs/>
                <w:sz w:val="18"/>
                <w:szCs w:val="18"/>
              </w:rPr>
              <w:t>/p</w:t>
            </w:r>
            <w:r w:rsidRPr="00864CF7">
              <w:rPr>
                <w:rFonts w:eastAsia="Times New Roman"/>
                <w:b/>
                <w:bCs/>
                <w:sz w:val="18"/>
                <w:szCs w:val="18"/>
              </w:rPr>
              <w:t>:</w:t>
            </w:r>
          </w:p>
        </w:tc>
        <w:tc>
          <w:tcPr>
            <w:tcW w:w="1520" w:type="dxa"/>
            <w:tcBorders>
              <w:top w:val="nil"/>
              <w:left w:val="nil"/>
              <w:bottom w:val="nil"/>
              <w:right w:val="nil"/>
            </w:tcBorders>
            <w:shd w:val="clear" w:color="auto" w:fill="auto"/>
            <w:vAlign w:val="center"/>
          </w:tcPr>
          <w:p w14:paraId="1BC0678D" w14:textId="77777777" w:rsidR="006220A2" w:rsidRDefault="006220A2" w:rsidP="00852114">
            <w:pPr>
              <w:jc w:val="right"/>
              <w:rPr>
                <w:sz w:val="18"/>
                <w:szCs w:val="18"/>
              </w:rPr>
            </w:pPr>
          </w:p>
        </w:tc>
        <w:tc>
          <w:tcPr>
            <w:tcW w:w="1520" w:type="dxa"/>
            <w:tcBorders>
              <w:top w:val="nil"/>
              <w:left w:val="nil"/>
              <w:bottom w:val="nil"/>
              <w:right w:val="nil"/>
            </w:tcBorders>
            <w:shd w:val="clear" w:color="auto" w:fill="auto"/>
            <w:vAlign w:val="center"/>
            <w:hideMark/>
          </w:tcPr>
          <w:p w14:paraId="3F514B2A" w14:textId="77777777" w:rsidR="006220A2" w:rsidRPr="00864CF7" w:rsidRDefault="006220A2" w:rsidP="00852114">
            <w:pPr>
              <w:rPr>
                <w:rFonts w:eastAsia="Times New Roman"/>
                <w:b/>
                <w:bCs/>
                <w:sz w:val="18"/>
                <w:szCs w:val="18"/>
              </w:rPr>
            </w:pPr>
          </w:p>
        </w:tc>
      </w:tr>
      <w:tr w:rsidR="006220A2" w:rsidRPr="00864CF7" w14:paraId="2A263E47" w14:textId="77777777" w:rsidTr="0075517F">
        <w:trPr>
          <w:trHeight w:val="255"/>
          <w:jc w:val="center"/>
        </w:trPr>
        <w:tc>
          <w:tcPr>
            <w:tcW w:w="3764" w:type="dxa"/>
            <w:tcBorders>
              <w:top w:val="nil"/>
              <w:left w:val="nil"/>
              <w:bottom w:val="nil"/>
              <w:right w:val="nil"/>
            </w:tcBorders>
            <w:shd w:val="clear" w:color="auto" w:fill="auto"/>
            <w:vAlign w:val="center"/>
            <w:hideMark/>
          </w:tcPr>
          <w:p w14:paraId="764900AF" w14:textId="77777777" w:rsidR="006220A2" w:rsidRPr="00864CF7" w:rsidRDefault="006220A2" w:rsidP="00852114">
            <w:pPr>
              <w:rPr>
                <w:rFonts w:eastAsia="Times New Roman"/>
                <w:sz w:val="18"/>
                <w:szCs w:val="18"/>
              </w:rPr>
            </w:pPr>
            <w:r w:rsidRPr="00864CF7">
              <w:rPr>
                <w:rFonts w:eastAsia="Times New Roman"/>
                <w:sz w:val="18"/>
                <w:szCs w:val="18"/>
              </w:rPr>
              <w:t>Clientes empresas del grupo</w:t>
            </w:r>
          </w:p>
        </w:tc>
        <w:tc>
          <w:tcPr>
            <w:tcW w:w="1520" w:type="dxa"/>
            <w:tcBorders>
              <w:top w:val="nil"/>
              <w:left w:val="nil"/>
              <w:bottom w:val="nil"/>
              <w:right w:val="nil"/>
            </w:tcBorders>
            <w:shd w:val="clear" w:color="auto" w:fill="auto"/>
            <w:vAlign w:val="center"/>
          </w:tcPr>
          <w:p w14:paraId="69AC411E" w14:textId="77777777" w:rsidR="006220A2" w:rsidRDefault="00252876" w:rsidP="00852114">
            <w:pPr>
              <w:jc w:val="right"/>
              <w:rPr>
                <w:sz w:val="18"/>
                <w:szCs w:val="18"/>
              </w:rPr>
            </w:pPr>
            <w:r>
              <w:rPr>
                <w:sz w:val="18"/>
                <w:szCs w:val="18"/>
              </w:rPr>
              <w:t>90.434,00</w:t>
            </w:r>
          </w:p>
        </w:tc>
        <w:tc>
          <w:tcPr>
            <w:tcW w:w="1520" w:type="dxa"/>
            <w:tcBorders>
              <w:top w:val="nil"/>
              <w:left w:val="nil"/>
              <w:bottom w:val="nil"/>
              <w:right w:val="nil"/>
            </w:tcBorders>
            <w:shd w:val="clear" w:color="auto" w:fill="auto"/>
            <w:vAlign w:val="center"/>
            <w:hideMark/>
          </w:tcPr>
          <w:p w14:paraId="104B0C5E" w14:textId="77777777" w:rsidR="006220A2" w:rsidRDefault="00E36FF0" w:rsidP="00852114">
            <w:pPr>
              <w:jc w:val="right"/>
              <w:rPr>
                <w:sz w:val="18"/>
                <w:szCs w:val="18"/>
              </w:rPr>
            </w:pPr>
            <w:r>
              <w:rPr>
                <w:sz w:val="18"/>
                <w:szCs w:val="18"/>
              </w:rPr>
              <w:t>57.567,77</w:t>
            </w:r>
          </w:p>
        </w:tc>
      </w:tr>
      <w:tr w:rsidR="006220A2" w:rsidRPr="00864CF7" w14:paraId="6B512EB9" w14:textId="77777777" w:rsidTr="0075517F">
        <w:trPr>
          <w:trHeight w:val="255"/>
          <w:jc w:val="center"/>
        </w:trPr>
        <w:tc>
          <w:tcPr>
            <w:tcW w:w="3764" w:type="dxa"/>
            <w:tcBorders>
              <w:top w:val="nil"/>
              <w:left w:val="nil"/>
              <w:bottom w:val="nil"/>
              <w:right w:val="nil"/>
            </w:tcBorders>
            <w:shd w:val="clear" w:color="auto" w:fill="auto"/>
            <w:vAlign w:val="center"/>
            <w:hideMark/>
          </w:tcPr>
          <w:p w14:paraId="182FF240" w14:textId="77777777" w:rsidR="006220A2" w:rsidRPr="00864CF7" w:rsidRDefault="006220A2" w:rsidP="00852114">
            <w:pPr>
              <w:rPr>
                <w:rFonts w:eastAsia="Times New Roman"/>
                <w:sz w:val="18"/>
                <w:szCs w:val="18"/>
              </w:rPr>
            </w:pPr>
            <w:r w:rsidRPr="00864CF7">
              <w:rPr>
                <w:rFonts w:eastAsia="Times New Roman"/>
                <w:sz w:val="18"/>
                <w:szCs w:val="18"/>
              </w:rPr>
              <w:t>Deudores</w:t>
            </w:r>
          </w:p>
        </w:tc>
        <w:tc>
          <w:tcPr>
            <w:tcW w:w="1520" w:type="dxa"/>
            <w:tcBorders>
              <w:top w:val="nil"/>
              <w:left w:val="nil"/>
              <w:bottom w:val="nil"/>
              <w:right w:val="nil"/>
            </w:tcBorders>
            <w:shd w:val="clear" w:color="auto" w:fill="auto"/>
            <w:vAlign w:val="center"/>
          </w:tcPr>
          <w:p w14:paraId="026D4D88" w14:textId="77777777" w:rsidR="006220A2" w:rsidRDefault="00252876" w:rsidP="00852114">
            <w:pPr>
              <w:jc w:val="right"/>
              <w:rPr>
                <w:sz w:val="18"/>
                <w:szCs w:val="18"/>
              </w:rPr>
            </w:pPr>
            <w:r>
              <w:rPr>
                <w:sz w:val="18"/>
                <w:szCs w:val="18"/>
              </w:rPr>
              <w:t>103.173,55</w:t>
            </w:r>
          </w:p>
        </w:tc>
        <w:tc>
          <w:tcPr>
            <w:tcW w:w="1520" w:type="dxa"/>
            <w:tcBorders>
              <w:top w:val="nil"/>
              <w:left w:val="nil"/>
              <w:bottom w:val="nil"/>
              <w:right w:val="nil"/>
            </w:tcBorders>
            <w:shd w:val="clear" w:color="auto" w:fill="auto"/>
            <w:vAlign w:val="center"/>
            <w:hideMark/>
          </w:tcPr>
          <w:p w14:paraId="36440A70" w14:textId="77777777" w:rsidR="006220A2" w:rsidRDefault="00E36FF0" w:rsidP="00852114">
            <w:pPr>
              <w:jc w:val="right"/>
              <w:rPr>
                <w:sz w:val="18"/>
                <w:szCs w:val="18"/>
              </w:rPr>
            </w:pPr>
            <w:r>
              <w:rPr>
                <w:sz w:val="18"/>
                <w:szCs w:val="18"/>
              </w:rPr>
              <w:t>147.156,81</w:t>
            </w:r>
          </w:p>
        </w:tc>
      </w:tr>
      <w:tr w:rsidR="006220A2" w:rsidRPr="00864CF7" w14:paraId="34DBC391" w14:textId="77777777" w:rsidTr="00FF35D6">
        <w:trPr>
          <w:trHeight w:val="283"/>
          <w:jc w:val="center"/>
        </w:trPr>
        <w:tc>
          <w:tcPr>
            <w:tcW w:w="3764" w:type="dxa"/>
            <w:tcBorders>
              <w:top w:val="single" w:sz="4" w:space="0" w:color="auto"/>
              <w:left w:val="nil"/>
              <w:bottom w:val="single" w:sz="4" w:space="0" w:color="auto"/>
              <w:right w:val="nil"/>
            </w:tcBorders>
            <w:shd w:val="clear" w:color="auto" w:fill="auto"/>
            <w:vAlign w:val="center"/>
            <w:hideMark/>
          </w:tcPr>
          <w:p w14:paraId="247A5D5B" w14:textId="77777777" w:rsidR="006220A2" w:rsidRPr="00864CF7" w:rsidRDefault="006220A2" w:rsidP="00852114">
            <w:pPr>
              <w:rPr>
                <w:rFonts w:eastAsia="Times New Roman"/>
                <w:b/>
                <w:bCs/>
                <w:sz w:val="18"/>
                <w:szCs w:val="18"/>
              </w:rPr>
            </w:pPr>
            <w:r w:rsidRPr="00864CF7">
              <w:rPr>
                <w:rFonts w:eastAsia="Times New Roman"/>
                <w:b/>
                <w:bCs/>
                <w:sz w:val="18"/>
                <w:szCs w:val="18"/>
              </w:rPr>
              <w:t>Total</w:t>
            </w:r>
          </w:p>
        </w:tc>
        <w:tc>
          <w:tcPr>
            <w:tcW w:w="1520" w:type="dxa"/>
            <w:tcBorders>
              <w:top w:val="single" w:sz="4" w:space="0" w:color="auto"/>
              <w:left w:val="nil"/>
              <w:bottom w:val="single" w:sz="4" w:space="0" w:color="auto"/>
              <w:right w:val="nil"/>
            </w:tcBorders>
            <w:shd w:val="clear" w:color="auto" w:fill="auto"/>
            <w:vAlign w:val="center"/>
          </w:tcPr>
          <w:p w14:paraId="055C2023" w14:textId="77777777" w:rsidR="006220A2" w:rsidRDefault="00252876" w:rsidP="00852114">
            <w:pPr>
              <w:jc w:val="right"/>
              <w:rPr>
                <w:b/>
                <w:bCs/>
                <w:sz w:val="18"/>
                <w:szCs w:val="18"/>
              </w:rPr>
            </w:pPr>
            <w:r>
              <w:rPr>
                <w:b/>
                <w:bCs/>
                <w:sz w:val="18"/>
                <w:szCs w:val="18"/>
              </w:rPr>
              <w:t>199.607,55</w:t>
            </w:r>
          </w:p>
        </w:tc>
        <w:tc>
          <w:tcPr>
            <w:tcW w:w="1520" w:type="dxa"/>
            <w:tcBorders>
              <w:top w:val="single" w:sz="4" w:space="0" w:color="auto"/>
              <w:left w:val="nil"/>
              <w:bottom w:val="single" w:sz="4" w:space="0" w:color="auto"/>
              <w:right w:val="nil"/>
            </w:tcBorders>
            <w:shd w:val="clear" w:color="auto" w:fill="auto"/>
            <w:vAlign w:val="center"/>
            <w:hideMark/>
          </w:tcPr>
          <w:p w14:paraId="3A499B68" w14:textId="77777777" w:rsidR="006220A2" w:rsidRPr="001942FB" w:rsidRDefault="00E36FF0" w:rsidP="00852114">
            <w:pPr>
              <w:jc w:val="right"/>
              <w:rPr>
                <w:rFonts w:eastAsia="Times New Roman"/>
                <w:b/>
                <w:bCs/>
                <w:sz w:val="18"/>
                <w:szCs w:val="18"/>
              </w:rPr>
            </w:pPr>
            <w:r>
              <w:rPr>
                <w:rFonts w:eastAsia="Times New Roman"/>
                <w:b/>
                <w:bCs/>
                <w:sz w:val="18"/>
                <w:szCs w:val="18"/>
              </w:rPr>
              <w:t>210.724,58</w:t>
            </w:r>
          </w:p>
        </w:tc>
      </w:tr>
    </w:tbl>
    <w:p w14:paraId="6DEA62E5" w14:textId="77777777" w:rsidR="006220A2" w:rsidRPr="00677780" w:rsidRDefault="006220A2" w:rsidP="006220A2">
      <w:pPr>
        <w:widowControl w:val="0"/>
        <w:spacing w:before="200" w:after="120"/>
        <w:jc w:val="both"/>
        <w:rPr>
          <w:snapToGrid w:val="0"/>
          <w:sz w:val="20"/>
          <w:szCs w:val="22"/>
        </w:rPr>
      </w:pPr>
      <w:r w:rsidRPr="00DE5FE2">
        <w:rPr>
          <w:snapToGrid w:val="0"/>
          <w:sz w:val="20"/>
          <w:szCs w:val="22"/>
        </w:rPr>
        <w:t>Las cuentas incluidas en “Préstamos y cuentas a cobrar” no han sufrido deterioro del valor.</w:t>
      </w:r>
    </w:p>
    <w:p w14:paraId="53E0E77F" w14:textId="77777777" w:rsidR="006220A2" w:rsidRDefault="006220A2" w:rsidP="006220A2">
      <w:pPr>
        <w:widowControl w:val="0"/>
        <w:spacing w:before="120"/>
        <w:jc w:val="both"/>
        <w:rPr>
          <w:snapToGrid w:val="0"/>
          <w:sz w:val="20"/>
          <w:szCs w:val="22"/>
        </w:rPr>
      </w:pPr>
      <w:r w:rsidRPr="00677780">
        <w:rPr>
          <w:snapToGrid w:val="0"/>
          <w:sz w:val="20"/>
          <w:szCs w:val="22"/>
        </w:rPr>
        <w:t>La exposición máxima al riesgo de crédito a la fecha de presentación de la información es el valor razonable de cada una de las categorías de cuentas a cobrar indicadas anteriormente. La Sociedad no mantiene ninguna garantía como seguro.</w:t>
      </w:r>
    </w:p>
    <w:p w14:paraId="761DDA29" w14:textId="77777777" w:rsidR="006220A2" w:rsidRPr="00E0533C" w:rsidRDefault="006220A2" w:rsidP="006220A2">
      <w:pPr>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200"/>
        <w:ind w:left="0" w:firstLine="0"/>
        <w:outlineLvl w:val="9"/>
        <w:rPr>
          <w:sz w:val="20"/>
          <w:szCs w:val="22"/>
        </w:rPr>
      </w:pPr>
      <w:r w:rsidRPr="00421D55">
        <w:rPr>
          <w:i/>
          <w:sz w:val="20"/>
          <w:szCs w:val="22"/>
          <w:u w:val="single"/>
        </w:rPr>
        <w:t>Efectivo y otros activos líquidos equivalentes</w:t>
      </w:r>
    </w:p>
    <w:p w14:paraId="72474DBA" w14:textId="77777777" w:rsidR="006220A2" w:rsidRPr="00FE25DE" w:rsidRDefault="006220A2" w:rsidP="006220A2">
      <w:pPr>
        <w:widowControl w:val="0"/>
        <w:spacing w:before="120" w:after="120"/>
        <w:jc w:val="both"/>
        <w:rPr>
          <w:sz w:val="20"/>
          <w:szCs w:val="22"/>
        </w:rPr>
      </w:pPr>
      <w:r w:rsidRPr="00FE25DE">
        <w:rPr>
          <w:sz w:val="20"/>
          <w:szCs w:val="22"/>
        </w:rPr>
        <w:t>El detalle del efectivo y otros activos líquidos equivalentes es el siguiente:</w:t>
      </w:r>
    </w:p>
    <w:tbl>
      <w:tblPr>
        <w:tblW w:w="6804" w:type="dxa"/>
        <w:jc w:val="center"/>
        <w:tblCellMar>
          <w:left w:w="70" w:type="dxa"/>
          <w:right w:w="70" w:type="dxa"/>
        </w:tblCellMar>
        <w:tblLook w:val="04A0" w:firstRow="1" w:lastRow="0" w:firstColumn="1" w:lastColumn="0" w:noHBand="0" w:noVBand="1"/>
      </w:tblPr>
      <w:tblGrid>
        <w:gridCol w:w="3496"/>
        <w:gridCol w:w="1654"/>
        <w:gridCol w:w="1654"/>
      </w:tblGrid>
      <w:tr w:rsidR="006220A2" w:rsidRPr="00550841" w14:paraId="03850166" w14:textId="77777777" w:rsidTr="0071126B">
        <w:trPr>
          <w:trHeight w:val="240"/>
          <w:jc w:val="center"/>
        </w:trPr>
        <w:tc>
          <w:tcPr>
            <w:tcW w:w="2914" w:type="dxa"/>
            <w:tcBorders>
              <w:top w:val="single" w:sz="4" w:space="0" w:color="auto"/>
              <w:left w:val="nil"/>
              <w:bottom w:val="nil"/>
              <w:right w:val="nil"/>
            </w:tcBorders>
            <w:shd w:val="clear" w:color="auto" w:fill="auto"/>
            <w:vAlign w:val="center"/>
            <w:hideMark/>
          </w:tcPr>
          <w:p w14:paraId="347DDC12" w14:textId="77777777" w:rsidR="006220A2" w:rsidRPr="00550841" w:rsidRDefault="006220A2" w:rsidP="00852114">
            <w:pPr>
              <w:rPr>
                <w:rFonts w:eastAsia="Times New Roman"/>
                <w:sz w:val="18"/>
                <w:szCs w:val="18"/>
              </w:rPr>
            </w:pPr>
            <w:r w:rsidRPr="00550841">
              <w:rPr>
                <w:rFonts w:eastAsia="Times New Roman"/>
                <w:sz w:val="18"/>
                <w:szCs w:val="18"/>
              </w:rPr>
              <w:t> </w:t>
            </w:r>
          </w:p>
        </w:tc>
        <w:tc>
          <w:tcPr>
            <w:tcW w:w="2756" w:type="dxa"/>
            <w:gridSpan w:val="2"/>
            <w:tcBorders>
              <w:top w:val="single" w:sz="4" w:space="0" w:color="auto"/>
              <w:left w:val="nil"/>
              <w:bottom w:val="single" w:sz="4" w:space="0" w:color="auto"/>
              <w:right w:val="nil"/>
            </w:tcBorders>
            <w:shd w:val="clear" w:color="auto" w:fill="auto"/>
            <w:vAlign w:val="bottom"/>
            <w:hideMark/>
          </w:tcPr>
          <w:p w14:paraId="5B706FFC" w14:textId="77777777" w:rsidR="006220A2" w:rsidRPr="00550841" w:rsidRDefault="003B2290" w:rsidP="00852114">
            <w:pPr>
              <w:jc w:val="center"/>
              <w:rPr>
                <w:rFonts w:eastAsia="Times New Roman"/>
                <w:b/>
                <w:bCs/>
                <w:sz w:val="18"/>
                <w:szCs w:val="18"/>
              </w:rPr>
            </w:pPr>
            <w:r>
              <w:rPr>
                <w:rFonts w:eastAsia="Times New Roman"/>
                <w:b/>
                <w:bCs/>
                <w:sz w:val="18"/>
                <w:szCs w:val="18"/>
              </w:rPr>
              <w:t>Eur</w:t>
            </w:r>
            <w:r w:rsidR="006220A2" w:rsidRPr="00550841">
              <w:rPr>
                <w:rFonts w:eastAsia="Times New Roman"/>
                <w:b/>
                <w:bCs/>
                <w:sz w:val="18"/>
                <w:szCs w:val="18"/>
              </w:rPr>
              <w:t>os</w:t>
            </w:r>
          </w:p>
        </w:tc>
      </w:tr>
      <w:tr w:rsidR="006220A2" w:rsidRPr="00550841" w14:paraId="63135D48" w14:textId="77777777" w:rsidTr="0071126B">
        <w:trPr>
          <w:trHeight w:val="240"/>
          <w:jc w:val="center"/>
        </w:trPr>
        <w:tc>
          <w:tcPr>
            <w:tcW w:w="2914" w:type="dxa"/>
            <w:tcBorders>
              <w:top w:val="nil"/>
              <w:left w:val="nil"/>
              <w:bottom w:val="single" w:sz="4" w:space="0" w:color="auto"/>
              <w:right w:val="nil"/>
            </w:tcBorders>
            <w:shd w:val="clear" w:color="auto" w:fill="auto"/>
            <w:vAlign w:val="center"/>
            <w:hideMark/>
          </w:tcPr>
          <w:p w14:paraId="20935A48" w14:textId="77777777" w:rsidR="006220A2" w:rsidRPr="00550841" w:rsidRDefault="006220A2" w:rsidP="00852114">
            <w:pPr>
              <w:rPr>
                <w:rFonts w:eastAsia="Times New Roman"/>
                <w:sz w:val="18"/>
                <w:szCs w:val="18"/>
              </w:rPr>
            </w:pPr>
            <w:r w:rsidRPr="00550841">
              <w:rPr>
                <w:rFonts w:eastAsia="Times New Roman"/>
                <w:sz w:val="18"/>
                <w:szCs w:val="18"/>
              </w:rPr>
              <w:t> </w:t>
            </w:r>
          </w:p>
        </w:tc>
        <w:tc>
          <w:tcPr>
            <w:tcW w:w="1378" w:type="dxa"/>
            <w:tcBorders>
              <w:top w:val="nil"/>
              <w:left w:val="nil"/>
              <w:bottom w:val="single" w:sz="4" w:space="0" w:color="auto"/>
              <w:right w:val="nil"/>
            </w:tcBorders>
            <w:shd w:val="clear" w:color="auto" w:fill="auto"/>
            <w:vAlign w:val="bottom"/>
            <w:hideMark/>
          </w:tcPr>
          <w:p w14:paraId="4FFB46C9" w14:textId="77777777" w:rsidR="006220A2" w:rsidRPr="00550841" w:rsidRDefault="00FF35D6" w:rsidP="00852114">
            <w:pPr>
              <w:jc w:val="center"/>
              <w:rPr>
                <w:rFonts w:eastAsia="Times New Roman"/>
                <w:b/>
                <w:bCs/>
                <w:sz w:val="18"/>
                <w:szCs w:val="18"/>
              </w:rPr>
            </w:pPr>
            <w:r>
              <w:rPr>
                <w:rFonts w:eastAsia="Times New Roman"/>
                <w:b/>
                <w:bCs/>
                <w:sz w:val="18"/>
                <w:szCs w:val="18"/>
              </w:rPr>
              <w:t>31/12/</w:t>
            </w:r>
            <w:r w:rsidR="00200AD5">
              <w:rPr>
                <w:rFonts w:eastAsia="Times New Roman"/>
                <w:b/>
                <w:bCs/>
                <w:sz w:val="18"/>
                <w:szCs w:val="18"/>
              </w:rPr>
              <w:t>2018</w:t>
            </w:r>
          </w:p>
        </w:tc>
        <w:tc>
          <w:tcPr>
            <w:tcW w:w="1378" w:type="dxa"/>
            <w:tcBorders>
              <w:top w:val="nil"/>
              <w:left w:val="nil"/>
              <w:bottom w:val="single" w:sz="4" w:space="0" w:color="auto"/>
              <w:right w:val="nil"/>
            </w:tcBorders>
            <w:shd w:val="clear" w:color="auto" w:fill="auto"/>
            <w:vAlign w:val="bottom"/>
            <w:hideMark/>
          </w:tcPr>
          <w:p w14:paraId="75D7638F" w14:textId="77777777" w:rsidR="006220A2" w:rsidRPr="00550841" w:rsidRDefault="00FF35D6" w:rsidP="00852114">
            <w:pPr>
              <w:jc w:val="center"/>
              <w:rPr>
                <w:rFonts w:eastAsia="Times New Roman"/>
                <w:b/>
                <w:bCs/>
                <w:sz w:val="18"/>
                <w:szCs w:val="18"/>
              </w:rPr>
            </w:pPr>
            <w:r>
              <w:rPr>
                <w:rFonts w:eastAsia="Times New Roman"/>
                <w:b/>
                <w:bCs/>
                <w:sz w:val="18"/>
                <w:szCs w:val="18"/>
              </w:rPr>
              <w:t>31/12/2017</w:t>
            </w:r>
          </w:p>
        </w:tc>
      </w:tr>
      <w:tr w:rsidR="006220A2" w:rsidRPr="00550841" w14:paraId="7FE29F03" w14:textId="77777777" w:rsidTr="0071126B">
        <w:trPr>
          <w:trHeight w:val="283"/>
          <w:jc w:val="center"/>
        </w:trPr>
        <w:tc>
          <w:tcPr>
            <w:tcW w:w="2914" w:type="dxa"/>
            <w:tcBorders>
              <w:top w:val="nil"/>
              <w:left w:val="nil"/>
              <w:bottom w:val="nil"/>
              <w:right w:val="nil"/>
            </w:tcBorders>
            <w:shd w:val="clear" w:color="auto" w:fill="auto"/>
            <w:vAlign w:val="center"/>
            <w:hideMark/>
          </w:tcPr>
          <w:p w14:paraId="78EE8891" w14:textId="77777777" w:rsidR="006220A2" w:rsidRPr="00550841" w:rsidRDefault="006220A2" w:rsidP="00852114">
            <w:pPr>
              <w:rPr>
                <w:rFonts w:eastAsia="Times New Roman"/>
                <w:sz w:val="18"/>
                <w:szCs w:val="18"/>
              </w:rPr>
            </w:pPr>
            <w:r w:rsidRPr="00550841">
              <w:rPr>
                <w:rFonts w:eastAsia="Times New Roman"/>
                <w:sz w:val="18"/>
                <w:szCs w:val="18"/>
              </w:rPr>
              <w:t>Tesorería</w:t>
            </w:r>
          </w:p>
        </w:tc>
        <w:tc>
          <w:tcPr>
            <w:tcW w:w="1378" w:type="dxa"/>
            <w:tcBorders>
              <w:top w:val="nil"/>
              <w:left w:val="nil"/>
              <w:bottom w:val="nil"/>
              <w:right w:val="nil"/>
            </w:tcBorders>
            <w:shd w:val="clear" w:color="auto" w:fill="auto"/>
            <w:vAlign w:val="center"/>
          </w:tcPr>
          <w:p w14:paraId="71FA14B7" w14:textId="77777777" w:rsidR="006220A2" w:rsidRDefault="00200AD5" w:rsidP="00852114">
            <w:pPr>
              <w:jc w:val="right"/>
              <w:rPr>
                <w:sz w:val="18"/>
                <w:szCs w:val="18"/>
              </w:rPr>
            </w:pPr>
            <w:r>
              <w:rPr>
                <w:sz w:val="18"/>
                <w:szCs w:val="18"/>
              </w:rPr>
              <w:t>1.428.673,16</w:t>
            </w:r>
          </w:p>
        </w:tc>
        <w:tc>
          <w:tcPr>
            <w:tcW w:w="1378" w:type="dxa"/>
            <w:tcBorders>
              <w:top w:val="nil"/>
              <w:left w:val="nil"/>
              <w:bottom w:val="nil"/>
              <w:right w:val="nil"/>
            </w:tcBorders>
            <w:shd w:val="clear" w:color="auto" w:fill="auto"/>
            <w:vAlign w:val="center"/>
            <w:hideMark/>
          </w:tcPr>
          <w:p w14:paraId="21F99C01" w14:textId="77777777" w:rsidR="006220A2" w:rsidRPr="00550841" w:rsidRDefault="00200AD5" w:rsidP="00852114">
            <w:pPr>
              <w:jc w:val="right"/>
              <w:rPr>
                <w:rFonts w:eastAsia="Times New Roman"/>
                <w:sz w:val="18"/>
                <w:szCs w:val="18"/>
              </w:rPr>
            </w:pPr>
            <w:r>
              <w:rPr>
                <w:rFonts w:eastAsia="Times New Roman"/>
                <w:sz w:val="18"/>
                <w:szCs w:val="18"/>
              </w:rPr>
              <w:t>1.647.812,68</w:t>
            </w:r>
          </w:p>
        </w:tc>
      </w:tr>
      <w:tr w:rsidR="006220A2" w:rsidRPr="00550841" w14:paraId="0A2493FE" w14:textId="77777777" w:rsidTr="0071126B">
        <w:trPr>
          <w:trHeight w:val="283"/>
          <w:jc w:val="center"/>
        </w:trPr>
        <w:tc>
          <w:tcPr>
            <w:tcW w:w="2914" w:type="dxa"/>
            <w:tcBorders>
              <w:top w:val="single" w:sz="4" w:space="0" w:color="auto"/>
              <w:left w:val="nil"/>
              <w:bottom w:val="single" w:sz="4" w:space="0" w:color="auto"/>
              <w:right w:val="nil"/>
            </w:tcBorders>
            <w:shd w:val="clear" w:color="auto" w:fill="auto"/>
            <w:vAlign w:val="center"/>
            <w:hideMark/>
          </w:tcPr>
          <w:p w14:paraId="33FB2F53" w14:textId="77777777" w:rsidR="006220A2" w:rsidRPr="00550841" w:rsidRDefault="006220A2" w:rsidP="00852114">
            <w:pPr>
              <w:rPr>
                <w:rFonts w:eastAsia="Times New Roman"/>
                <w:b/>
                <w:bCs/>
                <w:sz w:val="18"/>
                <w:szCs w:val="18"/>
              </w:rPr>
            </w:pPr>
            <w:r w:rsidRPr="00550841">
              <w:rPr>
                <w:rFonts w:eastAsia="Times New Roman"/>
                <w:b/>
                <w:bCs/>
                <w:sz w:val="18"/>
                <w:szCs w:val="18"/>
              </w:rPr>
              <w:t>Total</w:t>
            </w:r>
          </w:p>
        </w:tc>
        <w:tc>
          <w:tcPr>
            <w:tcW w:w="1378" w:type="dxa"/>
            <w:tcBorders>
              <w:top w:val="single" w:sz="4" w:space="0" w:color="auto"/>
              <w:left w:val="nil"/>
              <w:bottom w:val="single" w:sz="4" w:space="0" w:color="auto"/>
              <w:right w:val="nil"/>
            </w:tcBorders>
            <w:shd w:val="clear" w:color="auto" w:fill="auto"/>
            <w:vAlign w:val="center"/>
          </w:tcPr>
          <w:p w14:paraId="46535918" w14:textId="77777777" w:rsidR="006220A2" w:rsidRDefault="00200AD5" w:rsidP="00852114">
            <w:pPr>
              <w:jc w:val="right"/>
              <w:rPr>
                <w:b/>
                <w:bCs/>
                <w:sz w:val="18"/>
                <w:szCs w:val="18"/>
              </w:rPr>
            </w:pPr>
            <w:r>
              <w:rPr>
                <w:b/>
                <w:bCs/>
                <w:sz w:val="18"/>
                <w:szCs w:val="18"/>
              </w:rPr>
              <w:t>1.428.673,16</w:t>
            </w:r>
          </w:p>
        </w:tc>
        <w:tc>
          <w:tcPr>
            <w:tcW w:w="1378" w:type="dxa"/>
            <w:tcBorders>
              <w:top w:val="single" w:sz="4" w:space="0" w:color="auto"/>
              <w:left w:val="nil"/>
              <w:bottom w:val="single" w:sz="4" w:space="0" w:color="auto"/>
              <w:right w:val="nil"/>
            </w:tcBorders>
            <w:shd w:val="clear" w:color="auto" w:fill="auto"/>
            <w:vAlign w:val="center"/>
            <w:hideMark/>
          </w:tcPr>
          <w:p w14:paraId="068DD4AD" w14:textId="77777777" w:rsidR="006220A2" w:rsidRPr="00550841" w:rsidRDefault="00200AD5" w:rsidP="00852114">
            <w:pPr>
              <w:jc w:val="right"/>
              <w:rPr>
                <w:rFonts w:eastAsia="Times New Roman"/>
                <w:b/>
                <w:bCs/>
                <w:sz w:val="18"/>
                <w:szCs w:val="18"/>
              </w:rPr>
            </w:pPr>
            <w:r>
              <w:rPr>
                <w:rFonts w:eastAsia="Times New Roman"/>
                <w:b/>
                <w:bCs/>
                <w:sz w:val="18"/>
                <w:szCs w:val="18"/>
              </w:rPr>
              <w:t>1.647.812,68</w:t>
            </w:r>
          </w:p>
        </w:tc>
      </w:tr>
    </w:tbl>
    <w:p w14:paraId="384E3205" w14:textId="77777777" w:rsidR="006220A2" w:rsidRPr="004A0607" w:rsidRDefault="006220A2" w:rsidP="006220A2">
      <w:pPr>
        <w:keepNext/>
        <w:keepLines/>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200"/>
        <w:ind w:left="0" w:firstLine="0"/>
        <w:outlineLvl w:val="9"/>
        <w:rPr>
          <w:i/>
          <w:snapToGrid w:val="0"/>
          <w:sz w:val="20"/>
          <w:szCs w:val="22"/>
          <w:u w:val="single"/>
        </w:rPr>
      </w:pPr>
      <w:r w:rsidRPr="004A0607">
        <w:rPr>
          <w:i/>
          <w:sz w:val="20"/>
          <w:szCs w:val="22"/>
          <w:u w:val="single"/>
        </w:rPr>
        <w:t>Periodificaciones a corto plazo</w:t>
      </w:r>
    </w:p>
    <w:p w14:paraId="2AE1ACE1" w14:textId="77777777" w:rsidR="006220A2" w:rsidRPr="00FE25DE" w:rsidRDefault="006220A2" w:rsidP="006220A2">
      <w:pPr>
        <w:keepNext/>
        <w:keepLines/>
        <w:widowControl w:val="0"/>
        <w:spacing w:before="120"/>
        <w:jc w:val="both"/>
        <w:rPr>
          <w:snapToGrid w:val="0"/>
          <w:sz w:val="20"/>
          <w:szCs w:val="22"/>
        </w:rPr>
      </w:pPr>
      <w:r w:rsidRPr="003B2290">
        <w:rPr>
          <w:snapToGrid w:val="0"/>
          <w:sz w:val="20"/>
          <w:szCs w:val="22"/>
        </w:rPr>
        <w:t>Los ajustes por periodificación de activos contienen principalmente los gastos anticipados de las reservas de espacio de las ferias que se realizan durante el ejercicio 201</w:t>
      </w:r>
      <w:r w:rsidR="003B2290">
        <w:rPr>
          <w:snapToGrid w:val="0"/>
          <w:sz w:val="20"/>
          <w:szCs w:val="22"/>
        </w:rPr>
        <w:t>9</w:t>
      </w:r>
      <w:r w:rsidRPr="003B2290">
        <w:rPr>
          <w:snapToGrid w:val="0"/>
          <w:sz w:val="20"/>
          <w:szCs w:val="22"/>
        </w:rPr>
        <w:t>, el saldo más significativo es de FITUR 201</w:t>
      </w:r>
      <w:r w:rsidR="003B2290" w:rsidRPr="003B2290">
        <w:rPr>
          <w:snapToGrid w:val="0"/>
          <w:sz w:val="20"/>
          <w:szCs w:val="22"/>
        </w:rPr>
        <w:t>9</w:t>
      </w:r>
      <w:r w:rsidRPr="003B2290">
        <w:rPr>
          <w:snapToGrid w:val="0"/>
          <w:sz w:val="20"/>
          <w:szCs w:val="22"/>
        </w:rPr>
        <w:t>.</w:t>
      </w:r>
    </w:p>
    <w:p w14:paraId="2EB1FD05" w14:textId="77777777" w:rsidR="006220A2" w:rsidRPr="004A0607" w:rsidRDefault="006220A2" w:rsidP="006220A2">
      <w:pPr>
        <w:keepNext/>
        <w:keepLines/>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200"/>
        <w:ind w:left="0" w:firstLine="0"/>
        <w:outlineLvl w:val="9"/>
        <w:rPr>
          <w:i/>
          <w:snapToGrid w:val="0"/>
          <w:sz w:val="20"/>
          <w:szCs w:val="22"/>
          <w:u w:val="single"/>
        </w:rPr>
      </w:pPr>
      <w:r>
        <w:rPr>
          <w:i/>
          <w:sz w:val="20"/>
          <w:szCs w:val="22"/>
          <w:u w:val="single"/>
        </w:rPr>
        <w:t>Clasificación por vencimiento</w:t>
      </w:r>
    </w:p>
    <w:p w14:paraId="7D447504" w14:textId="77777777" w:rsidR="006220A2" w:rsidRDefault="006220A2" w:rsidP="006220A2">
      <w:pPr>
        <w:widowControl w:val="0"/>
        <w:spacing w:before="120" w:after="120"/>
        <w:jc w:val="both"/>
        <w:rPr>
          <w:sz w:val="20"/>
          <w:szCs w:val="22"/>
        </w:rPr>
      </w:pPr>
      <w:r w:rsidRPr="001E0DA0">
        <w:rPr>
          <w:sz w:val="20"/>
          <w:szCs w:val="22"/>
        </w:rPr>
        <w:t>Los impo</w:t>
      </w:r>
      <w:r>
        <w:rPr>
          <w:sz w:val="20"/>
          <w:szCs w:val="22"/>
        </w:rPr>
        <w:t>r</w:t>
      </w:r>
      <w:r w:rsidRPr="001E0DA0">
        <w:rPr>
          <w:sz w:val="20"/>
          <w:szCs w:val="22"/>
        </w:rPr>
        <w:t xml:space="preserve">tes de los instrumentos financieros </w:t>
      </w:r>
      <w:r>
        <w:rPr>
          <w:sz w:val="20"/>
          <w:szCs w:val="22"/>
        </w:rPr>
        <w:t>de activo al cierre del ejercicio</w:t>
      </w:r>
      <w:r w:rsidRPr="001E0DA0">
        <w:rPr>
          <w:sz w:val="20"/>
          <w:szCs w:val="22"/>
        </w:rPr>
        <w:t xml:space="preserve"> 201</w:t>
      </w:r>
      <w:r w:rsidR="0064184F">
        <w:rPr>
          <w:sz w:val="20"/>
          <w:szCs w:val="22"/>
        </w:rPr>
        <w:t>8</w:t>
      </w:r>
      <w:r w:rsidRPr="001E0DA0">
        <w:rPr>
          <w:sz w:val="20"/>
          <w:szCs w:val="22"/>
        </w:rPr>
        <w:t xml:space="preserve"> </w:t>
      </w:r>
      <w:r>
        <w:rPr>
          <w:sz w:val="20"/>
          <w:szCs w:val="22"/>
        </w:rPr>
        <w:t>es el siguiente:</w:t>
      </w:r>
    </w:p>
    <w:tbl>
      <w:tblPr>
        <w:tblW w:w="5000" w:type="pct"/>
        <w:tblCellMar>
          <w:left w:w="70" w:type="dxa"/>
          <w:right w:w="70" w:type="dxa"/>
        </w:tblCellMar>
        <w:tblLook w:val="04A0" w:firstRow="1" w:lastRow="0" w:firstColumn="1" w:lastColumn="0" w:noHBand="0" w:noVBand="1"/>
      </w:tblPr>
      <w:tblGrid>
        <w:gridCol w:w="3464"/>
        <w:gridCol w:w="1044"/>
        <w:gridCol w:w="847"/>
        <w:gridCol w:w="551"/>
        <w:gridCol w:w="551"/>
        <w:gridCol w:w="551"/>
        <w:gridCol w:w="871"/>
        <w:gridCol w:w="1042"/>
      </w:tblGrid>
      <w:tr w:rsidR="003D08A2" w:rsidRPr="003D08A2" w14:paraId="225DE2AE" w14:textId="77777777" w:rsidTr="00417BE6">
        <w:trPr>
          <w:trHeight w:val="227"/>
        </w:trPr>
        <w:tc>
          <w:tcPr>
            <w:tcW w:w="5000" w:type="pct"/>
            <w:gridSpan w:val="8"/>
            <w:tcBorders>
              <w:top w:val="single" w:sz="4" w:space="0" w:color="auto"/>
              <w:left w:val="nil"/>
              <w:bottom w:val="nil"/>
              <w:right w:val="nil"/>
            </w:tcBorders>
            <w:shd w:val="clear" w:color="auto" w:fill="auto"/>
            <w:vAlign w:val="center"/>
            <w:hideMark/>
          </w:tcPr>
          <w:p w14:paraId="464A103E" w14:textId="77777777" w:rsidR="003D08A2" w:rsidRPr="003D08A2" w:rsidRDefault="003D08A2" w:rsidP="003D08A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3D08A2">
              <w:rPr>
                <w:rFonts w:eastAsia="Times New Roman"/>
                <w:b/>
                <w:bCs/>
                <w:sz w:val="16"/>
                <w:szCs w:val="16"/>
                <w:bdr w:val="none" w:sz="0" w:space="0" w:color="auto"/>
                <w:lang w:eastAsia="es-ES"/>
              </w:rPr>
              <w:t>ACTIVOS FINANCIEROS</w:t>
            </w:r>
          </w:p>
        </w:tc>
      </w:tr>
      <w:tr w:rsidR="003D08A2" w:rsidRPr="003D08A2" w14:paraId="2B345DE4" w14:textId="77777777" w:rsidTr="00417BE6">
        <w:trPr>
          <w:trHeight w:val="227"/>
        </w:trPr>
        <w:tc>
          <w:tcPr>
            <w:tcW w:w="1941" w:type="pct"/>
            <w:tcBorders>
              <w:top w:val="single" w:sz="4" w:space="0" w:color="auto"/>
              <w:left w:val="nil"/>
              <w:bottom w:val="single" w:sz="4" w:space="0" w:color="auto"/>
              <w:right w:val="nil"/>
            </w:tcBorders>
            <w:shd w:val="clear" w:color="auto" w:fill="auto"/>
            <w:vAlign w:val="bottom"/>
            <w:hideMark/>
          </w:tcPr>
          <w:p w14:paraId="06CE03FB" w14:textId="77777777" w:rsidR="003D08A2" w:rsidRPr="003D08A2" w:rsidRDefault="003D08A2" w:rsidP="0071126B">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ascii="Times" w:eastAsia="Times New Roman" w:hAnsi="Times" w:cs="Times"/>
                <w:sz w:val="20"/>
                <w:szCs w:val="20"/>
                <w:bdr w:val="none" w:sz="0" w:space="0" w:color="auto"/>
                <w:lang w:eastAsia="es-ES"/>
              </w:rPr>
            </w:pPr>
          </w:p>
        </w:tc>
        <w:tc>
          <w:tcPr>
            <w:tcW w:w="585" w:type="pct"/>
            <w:tcBorders>
              <w:top w:val="single" w:sz="4" w:space="0" w:color="auto"/>
              <w:left w:val="nil"/>
              <w:bottom w:val="single" w:sz="4" w:space="0" w:color="auto"/>
              <w:right w:val="nil"/>
            </w:tcBorders>
            <w:shd w:val="clear" w:color="auto" w:fill="auto"/>
            <w:vAlign w:val="bottom"/>
            <w:hideMark/>
          </w:tcPr>
          <w:p w14:paraId="287B74B3" w14:textId="77777777" w:rsidR="003D08A2" w:rsidRPr="003D08A2" w:rsidRDefault="003D08A2" w:rsidP="0071126B">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3D08A2">
              <w:rPr>
                <w:rFonts w:eastAsia="Times New Roman"/>
                <w:b/>
                <w:bCs/>
                <w:sz w:val="16"/>
                <w:szCs w:val="16"/>
                <w:bdr w:val="none" w:sz="0" w:space="0" w:color="auto"/>
                <w:lang w:eastAsia="es-ES"/>
              </w:rPr>
              <w:t>2019</w:t>
            </w:r>
          </w:p>
        </w:tc>
        <w:tc>
          <w:tcPr>
            <w:tcW w:w="475" w:type="pct"/>
            <w:tcBorders>
              <w:top w:val="single" w:sz="4" w:space="0" w:color="auto"/>
              <w:left w:val="nil"/>
              <w:bottom w:val="single" w:sz="4" w:space="0" w:color="auto"/>
              <w:right w:val="nil"/>
            </w:tcBorders>
            <w:shd w:val="clear" w:color="auto" w:fill="auto"/>
            <w:vAlign w:val="bottom"/>
            <w:hideMark/>
          </w:tcPr>
          <w:p w14:paraId="2338B991" w14:textId="77777777" w:rsidR="003D08A2" w:rsidRPr="003D08A2" w:rsidRDefault="003D08A2" w:rsidP="0071126B">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3D08A2">
              <w:rPr>
                <w:rFonts w:eastAsia="Times New Roman"/>
                <w:b/>
                <w:bCs/>
                <w:sz w:val="16"/>
                <w:szCs w:val="16"/>
                <w:bdr w:val="none" w:sz="0" w:space="0" w:color="auto"/>
                <w:lang w:eastAsia="es-ES"/>
              </w:rPr>
              <w:t>2020</w:t>
            </w:r>
          </w:p>
        </w:tc>
        <w:tc>
          <w:tcPr>
            <w:tcW w:w="309" w:type="pct"/>
            <w:tcBorders>
              <w:top w:val="single" w:sz="4" w:space="0" w:color="auto"/>
              <w:left w:val="nil"/>
              <w:bottom w:val="single" w:sz="4" w:space="0" w:color="auto"/>
              <w:right w:val="nil"/>
            </w:tcBorders>
            <w:shd w:val="clear" w:color="auto" w:fill="auto"/>
            <w:vAlign w:val="bottom"/>
            <w:hideMark/>
          </w:tcPr>
          <w:p w14:paraId="5233AE8A" w14:textId="77777777" w:rsidR="003D08A2" w:rsidRPr="003D08A2" w:rsidRDefault="003D08A2" w:rsidP="0071126B">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3D08A2">
              <w:rPr>
                <w:rFonts w:eastAsia="Times New Roman"/>
                <w:b/>
                <w:bCs/>
                <w:sz w:val="16"/>
                <w:szCs w:val="16"/>
                <w:bdr w:val="none" w:sz="0" w:space="0" w:color="auto"/>
                <w:lang w:eastAsia="es-ES"/>
              </w:rPr>
              <w:t>2021</w:t>
            </w:r>
          </w:p>
        </w:tc>
        <w:tc>
          <w:tcPr>
            <w:tcW w:w="309" w:type="pct"/>
            <w:tcBorders>
              <w:top w:val="single" w:sz="4" w:space="0" w:color="auto"/>
              <w:left w:val="nil"/>
              <w:bottom w:val="single" w:sz="4" w:space="0" w:color="auto"/>
              <w:right w:val="nil"/>
            </w:tcBorders>
            <w:shd w:val="clear" w:color="auto" w:fill="auto"/>
            <w:vAlign w:val="bottom"/>
            <w:hideMark/>
          </w:tcPr>
          <w:p w14:paraId="23BBCD2F" w14:textId="77777777" w:rsidR="003D08A2" w:rsidRPr="003D08A2" w:rsidRDefault="003D08A2" w:rsidP="0071126B">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3D08A2">
              <w:rPr>
                <w:rFonts w:eastAsia="Times New Roman"/>
                <w:b/>
                <w:bCs/>
                <w:sz w:val="16"/>
                <w:szCs w:val="16"/>
                <w:bdr w:val="none" w:sz="0" w:space="0" w:color="auto"/>
                <w:lang w:eastAsia="es-ES"/>
              </w:rPr>
              <w:t>2022</w:t>
            </w:r>
          </w:p>
        </w:tc>
        <w:tc>
          <w:tcPr>
            <w:tcW w:w="309" w:type="pct"/>
            <w:tcBorders>
              <w:top w:val="single" w:sz="4" w:space="0" w:color="auto"/>
              <w:left w:val="nil"/>
              <w:bottom w:val="single" w:sz="4" w:space="0" w:color="auto"/>
              <w:right w:val="nil"/>
            </w:tcBorders>
            <w:shd w:val="clear" w:color="auto" w:fill="auto"/>
            <w:vAlign w:val="bottom"/>
            <w:hideMark/>
          </w:tcPr>
          <w:p w14:paraId="76BB50DF" w14:textId="77777777" w:rsidR="003D08A2" w:rsidRPr="003D08A2" w:rsidRDefault="003D08A2" w:rsidP="0071126B">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3D08A2">
              <w:rPr>
                <w:rFonts w:eastAsia="Times New Roman"/>
                <w:b/>
                <w:bCs/>
                <w:sz w:val="16"/>
                <w:szCs w:val="16"/>
                <w:bdr w:val="none" w:sz="0" w:space="0" w:color="auto"/>
                <w:lang w:eastAsia="es-ES"/>
              </w:rPr>
              <w:t>2023</w:t>
            </w:r>
          </w:p>
        </w:tc>
        <w:tc>
          <w:tcPr>
            <w:tcW w:w="488" w:type="pct"/>
            <w:tcBorders>
              <w:top w:val="single" w:sz="4" w:space="0" w:color="auto"/>
              <w:left w:val="nil"/>
              <w:bottom w:val="single" w:sz="4" w:space="0" w:color="auto"/>
              <w:right w:val="nil"/>
            </w:tcBorders>
            <w:shd w:val="clear" w:color="auto" w:fill="auto"/>
            <w:vAlign w:val="bottom"/>
            <w:hideMark/>
          </w:tcPr>
          <w:p w14:paraId="0B1A8230" w14:textId="77777777" w:rsidR="003D08A2" w:rsidRPr="003D08A2" w:rsidRDefault="00FF5498" w:rsidP="0071126B">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Pr>
                <w:rFonts w:eastAsia="Times New Roman"/>
                <w:b/>
                <w:bCs/>
                <w:sz w:val="16"/>
                <w:szCs w:val="16"/>
                <w:bdr w:val="none" w:sz="0" w:space="0" w:color="auto"/>
                <w:lang w:eastAsia="es-ES"/>
              </w:rPr>
              <w:t>2024</w:t>
            </w:r>
          </w:p>
        </w:tc>
        <w:tc>
          <w:tcPr>
            <w:tcW w:w="584" w:type="pct"/>
            <w:tcBorders>
              <w:top w:val="single" w:sz="4" w:space="0" w:color="auto"/>
              <w:left w:val="nil"/>
              <w:bottom w:val="single" w:sz="4" w:space="0" w:color="auto"/>
              <w:right w:val="nil"/>
            </w:tcBorders>
            <w:shd w:val="clear" w:color="auto" w:fill="auto"/>
            <w:vAlign w:val="bottom"/>
            <w:hideMark/>
          </w:tcPr>
          <w:p w14:paraId="130112A1" w14:textId="77777777" w:rsidR="003D08A2" w:rsidRPr="003D08A2" w:rsidRDefault="003D08A2" w:rsidP="0071126B">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3D08A2">
              <w:rPr>
                <w:rFonts w:eastAsia="Times New Roman"/>
                <w:b/>
                <w:bCs/>
                <w:sz w:val="16"/>
                <w:szCs w:val="16"/>
                <w:bdr w:val="none" w:sz="0" w:space="0" w:color="auto"/>
                <w:lang w:eastAsia="es-ES"/>
              </w:rPr>
              <w:t>Total</w:t>
            </w:r>
          </w:p>
        </w:tc>
      </w:tr>
      <w:tr w:rsidR="00417BE6" w:rsidRPr="003D08A2" w14:paraId="79D8B14A" w14:textId="77777777" w:rsidTr="00417BE6">
        <w:trPr>
          <w:trHeight w:val="216"/>
        </w:trPr>
        <w:tc>
          <w:tcPr>
            <w:tcW w:w="1941" w:type="pct"/>
            <w:tcBorders>
              <w:top w:val="nil"/>
              <w:left w:val="nil"/>
              <w:bottom w:val="nil"/>
              <w:right w:val="nil"/>
            </w:tcBorders>
            <w:shd w:val="clear" w:color="auto" w:fill="auto"/>
            <w:vAlign w:val="center"/>
            <w:hideMark/>
          </w:tcPr>
          <w:p w14:paraId="1302BE89" w14:textId="77777777" w:rsidR="00417BE6" w:rsidRDefault="00417BE6" w:rsidP="00417BE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3D08A2">
              <w:rPr>
                <w:rFonts w:eastAsia="Times New Roman"/>
                <w:sz w:val="16"/>
                <w:szCs w:val="16"/>
                <w:bdr w:val="none" w:sz="0" w:space="0" w:color="auto"/>
                <w:lang w:eastAsia="es-ES"/>
              </w:rPr>
              <w:t>Préstamos y partidas a cobrar</w:t>
            </w:r>
          </w:p>
          <w:p w14:paraId="6B5444EA" w14:textId="77777777" w:rsidR="00417BE6" w:rsidRPr="003D08A2" w:rsidRDefault="00417BE6" w:rsidP="00417BE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3D08A2">
              <w:rPr>
                <w:rFonts w:eastAsia="Times New Roman"/>
                <w:sz w:val="16"/>
                <w:szCs w:val="16"/>
                <w:bdr w:val="none" w:sz="0" w:space="0" w:color="auto"/>
                <w:lang w:eastAsia="es-ES"/>
              </w:rPr>
              <w:t>(Nota 8.1.a)</w:t>
            </w:r>
          </w:p>
        </w:tc>
        <w:tc>
          <w:tcPr>
            <w:tcW w:w="585" w:type="pct"/>
            <w:tcBorders>
              <w:top w:val="nil"/>
              <w:left w:val="nil"/>
              <w:bottom w:val="nil"/>
              <w:right w:val="nil"/>
            </w:tcBorders>
            <w:shd w:val="clear" w:color="auto" w:fill="auto"/>
            <w:vAlign w:val="center"/>
            <w:hideMark/>
          </w:tcPr>
          <w:p w14:paraId="1AE4B939" w14:textId="77777777" w:rsidR="00417BE6" w:rsidRPr="00417BE6" w:rsidRDefault="00417BE6" w:rsidP="00417BE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17BE6">
              <w:rPr>
                <w:sz w:val="16"/>
                <w:szCs w:val="16"/>
              </w:rPr>
              <w:t>193.607,55</w:t>
            </w:r>
          </w:p>
        </w:tc>
        <w:tc>
          <w:tcPr>
            <w:tcW w:w="475" w:type="pct"/>
            <w:tcBorders>
              <w:top w:val="nil"/>
              <w:left w:val="nil"/>
              <w:bottom w:val="nil"/>
              <w:right w:val="nil"/>
            </w:tcBorders>
            <w:shd w:val="clear" w:color="auto" w:fill="auto"/>
            <w:vAlign w:val="center"/>
            <w:hideMark/>
          </w:tcPr>
          <w:p w14:paraId="53A28F0E" w14:textId="77777777" w:rsidR="00417BE6" w:rsidRPr="00417BE6" w:rsidRDefault="00417BE6" w:rsidP="00417BE6">
            <w:pPr>
              <w:jc w:val="right"/>
              <w:rPr>
                <w:sz w:val="16"/>
                <w:szCs w:val="16"/>
              </w:rPr>
            </w:pPr>
            <w:r w:rsidRPr="00417BE6">
              <w:rPr>
                <w:sz w:val="16"/>
                <w:szCs w:val="16"/>
              </w:rPr>
              <w:t xml:space="preserve"> -</w:t>
            </w:r>
          </w:p>
        </w:tc>
        <w:tc>
          <w:tcPr>
            <w:tcW w:w="309" w:type="pct"/>
            <w:tcBorders>
              <w:top w:val="nil"/>
              <w:left w:val="nil"/>
              <w:bottom w:val="nil"/>
              <w:right w:val="nil"/>
            </w:tcBorders>
            <w:shd w:val="clear" w:color="auto" w:fill="auto"/>
            <w:noWrap/>
            <w:vAlign w:val="center"/>
            <w:hideMark/>
          </w:tcPr>
          <w:p w14:paraId="1E56F3A4" w14:textId="77777777" w:rsidR="00417BE6" w:rsidRPr="00417BE6" w:rsidRDefault="00FF5498" w:rsidP="00417BE6">
            <w:pPr>
              <w:jc w:val="right"/>
              <w:rPr>
                <w:sz w:val="16"/>
                <w:szCs w:val="16"/>
              </w:rPr>
            </w:pPr>
            <w:r>
              <w:rPr>
                <w:sz w:val="16"/>
                <w:szCs w:val="16"/>
              </w:rPr>
              <w:t>-</w:t>
            </w:r>
          </w:p>
        </w:tc>
        <w:tc>
          <w:tcPr>
            <w:tcW w:w="309" w:type="pct"/>
            <w:tcBorders>
              <w:top w:val="nil"/>
              <w:left w:val="nil"/>
              <w:bottom w:val="nil"/>
              <w:right w:val="nil"/>
            </w:tcBorders>
            <w:shd w:val="clear" w:color="auto" w:fill="auto"/>
            <w:vAlign w:val="center"/>
            <w:hideMark/>
          </w:tcPr>
          <w:p w14:paraId="08CD8F1B" w14:textId="77777777" w:rsidR="00417BE6" w:rsidRPr="003D08A2" w:rsidRDefault="00417BE6" w:rsidP="00417BE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3D08A2">
              <w:rPr>
                <w:rFonts w:eastAsia="Times New Roman"/>
                <w:sz w:val="16"/>
                <w:szCs w:val="16"/>
                <w:bdr w:val="none" w:sz="0" w:space="0" w:color="auto"/>
                <w:lang w:eastAsia="es-ES"/>
              </w:rPr>
              <w:t>-</w:t>
            </w:r>
          </w:p>
        </w:tc>
        <w:tc>
          <w:tcPr>
            <w:tcW w:w="309" w:type="pct"/>
            <w:tcBorders>
              <w:top w:val="nil"/>
              <w:left w:val="nil"/>
              <w:bottom w:val="nil"/>
              <w:right w:val="nil"/>
            </w:tcBorders>
            <w:shd w:val="clear" w:color="auto" w:fill="auto"/>
            <w:vAlign w:val="center"/>
            <w:hideMark/>
          </w:tcPr>
          <w:p w14:paraId="50F7BEF2" w14:textId="77777777" w:rsidR="00417BE6" w:rsidRPr="003D08A2" w:rsidRDefault="00417BE6" w:rsidP="00417BE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3D08A2">
              <w:rPr>
                <w:rFonts w:eastAsia="Times New Roman"/>
                <w:sz w:val="16"/>
                <w:szCs w:val="16"/>
                <w:bdr w:val="none" w:sz="0" w:space="0" w:color="auto"/>
                <w:lang w:eastAsia="es-ES"/>
              </w:rPr>
              <w:t>-</w:t>
            </w:r>
          </w:p>
        </w:tc>
        <w:tc>
          <w:tcPr>
            <w:tcW w:w="488" w:type="pct"/>
            <w:tcBorders>
              <w:top w:val="nil"/>
              <w:left w:val="nil"/>
              <w:bottom w:val="nil"/>
              <w:right w:val="nil"/>
            </w:tcBorders>
            <w:shd w:val="clear" w:color="auto" w:fill="auto"/>
            <w:vAlign w:val="center"/>
            <w:hideMark/>
          </w:tcPr>
          <w:p w14:paraId="4B653656" w14:textId="77777777" w:rsidR="00417BE6" w:rsidRPr="003D08A2" w:rsidRDefault="00FF5498" w:rsidP="00417BE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rFonts w:eastAsia="Times New Roman"/>
                <w:sz w:val="16"/>
                <w:szCs w:val="16"/>
                <w:bdr w:val="none" w:sz="0" w:space="0" w:color="auto"/>
                <w:lang w:eastAsia="es-ES"/>
              </w:rPr>
              <w:t>6.000,00</w:t>
            </w:r>
          </w:p>
        </w:tc>
        <w:tc>
          <w:tcPr>
            <w:tcW w:w="584" w:type="pct"/>
            <w:tcBorders>
              <w:top w:val="nil"/>
              <w:left w:val="nil"/>
              <w:bottom w:val="nil"/>
              <w:right w:val="nil"/>
            </w:tcBorders>
            <w:shd w:val="clear" w:color="auto" w:fill="auto"/>
            <w:vAlign w:val="center"/>
            <w:hideMark/>
          </w:tcPr>
          <w:p w14:paraId="04E254B7" w14:textId="77777777" w:rsidR="00417BE6" w:rsidRPr="003D08A2" w:rsidRDefault="00417BE6" w:rsidP="00417BE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3D08A2">
              <w:rPr>
                <w:rFonts w:eastAsia="Times New Roman"/>
                <w:b/>
                <w:bCs/>
                <w:sz w:val="16"/>
                <w:szCs w:val="16"/>
                <w:bdr w:val="none" w:sz="0" w:space="0" w:color="auto"/>
                <w:lang w:eastAsia="es-ES"/>
              </w:rPr>
              <w:t>199.607,55</w:t>
            </w:r>
          </w:p>
        </w:tc>
      </w:tr>
      <w:tr w:rsidR="00417BE6" w:rsidRPr="003D08A2" w14:paraId="4D5B07ED" w14:textId="77777777" w:rsidTr="00417BE6">
        <w:trPr>
          <w:trHeight w:val="235"/>
        </w:trPr>
        <w:tc>
          <w:tcPr>
            <w:tcW w:w="1941" w:type="pct"/>
            <w:tcBorders>
              <w:top w:val="single" w:sz="4" w:space="0" w:color="auto"/>
              <w:left w:val="nil"/>
              <w:bottom w:val="single" w:sz="4" w:space="0" w:color="auto"/>
              <w:right w:val="nil"/>
            </w:tcBorders>
            <w:shd w:val="clear" w:color="auto" w:fill="auto"/>
            <w:vAlign w:val="center"/>
            <w:hideMark/>
          </w:tcPr>
          <w:p w14:paraId="091668A9" w14:textId="77777777" w:rsidR="00417BE6" w:rsidRPr="003D08A2" w:rsidRDefault="00417BE6" w:rsidP="00417BE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New Roman" w:hAnsi="Times" w:cs="Times"/>
                <w:sz w:val="20"/>
                <w:szCs w:val="20"/>
                <w:bdr w:val="none" w:sz="0" w:space="0" w:color="auto"/>
                <w:lang w:eastAsia="es-ES"/>
              </w:rPr>
            </w:pPr>
            <w:r w:rsidRPr="003D08A2">
              <w:rPr>
                <w:rFonts w:ascii="Times" w:eastAsia="Times New Roman" w:hAnsi="Times" w:cs="Times"/>
                <w:sz w:val="20"/>
                <w:szCs w:val="20"/>
                <w:bdr w:val="none" w:sz="0" w:space="0" w:color="auto"/>
                <w:lang w:eastAsia="es-ES"/>
              </w:rPr>
              <w:t> </w:t>
            </w:r>
          </w:p>
        </w:tc>
        <w:tc>
          <w:tcPr>
            <w:tcW w:w="585" w:type="pct"/>
            <w:tcBorders>
              <w:top w:val="single" w:sz="4" w:space="0" w:color="auto"/>
              <w:left w:val="nil"/>
              <w:bottom w:val="single" w:sz="4" w:space="0" w:color="auto"/>
              <w:right w:val="nil"/>
            </w:tcBorders>
            <w:shd w:val="clear" w:color="auto" w:fill="auto"/>
            <w:vAlign w:val="center"/>
            <w:hideMark/>
          </w:tcPr>
          <w:p w14:paraId="3BB9C9C7" w14:textId="77777777" w:rsidR="00417BE6" w:rsidRPr="00417BE6" w:rsidRDefault="00417BE6" w:rsidP="00417BE6">
            <w:pPr>
              <w:jc w:val="right"/>
              <w:rPr>
                <w:b/>
                <w:bCs/>
                <w:sz w:val="16"/>
                <w:szCs w:val="16"/>
              </w:rPr>
            </w:pPr>
            <w:r w:rsidRPr="00417BE6">
              <w:rPr>
                <w:b/>
                <w:bCs/>
                <w:sz w:val="16"/>
                <w:szCs w:val="16"/>
              </w:rPr>
              <w:t>193.607,55</w:t>
            </w:r>
          </w:p>
        </w:tc>
        <w:tc>
          <w:tcPr>
            <w:tcW w:w="475" w:type="pct"/>
            <w:tcBorders>
              <w:top w:val="single" w:sz="4" w:space="0" w:color="auto"/>
              <w:left w:val="nil"/>
              <w:bottom w:val="single" w:sz="4" w:space="0" w:color="auto"/>
              <w:right w:val="nil"/>
            </w:tcBorders>
            <w:shd w:val="clear" w:color="auto" w:fill="auto"/>
            <w:vAlign w:val="center"/>
            <w:hideMark/>
          </w:tcPr>
          <w:p w14:paraId="617E9B7A" w14:textId="77777777" w:rsidR="00417BE6" w:rsidRPr="00417BE6" w:rsidRDefault="00417BE6" w:rsidP="00417BE6">
            <w:pPr>
              <w:jc w:val="right"/>
              <w:rPr>
                <w:b/>
                <w:bCs/>
                <w:sz w:val="16"/>
                <w:szCs w:val="16"/>
              </w:rPr>
            </w:pPr>
            <w:r w:rsidRPr="00417BE6">
              <w:rPr>
                <w:b/>
                <w:bCs/>
                <w:sz w:val="16"/>
                <w:szCs w:val="16"/>
              </w:rPr>
              <w:t xml:space="preserve"> -</w:t>
            </w:r>
          </w:p>
        </w:tc>
        <w:tc>
          <w:tcPr>
            <w:tcW w:w="309" w:type="pct"/>
            <w:tcBorders>
              <w:top w:val="single" w:sz="4" w:space="0" w:color="auto"/>
              <w:left w:val="nil"/>
              <w:bottom w:val="single" w:sz="4" w:space="0" w:color="auto"/>
              <w:right w:val="nil"/>
            </w:tcBorders>
            <w:shd w:val="clear" w:color="auto" w:fill="auto"/>
            <w:noWrap/>
            <w:vAlign w:val="center"/>
            <w:hideMark/>
          </w:tcPr>
          <w:p w14:paraId="511F7C66" w14:textId="77777777" w:rsidR="00417BE6" w:rsidRPr="00417BE6" w:rsidRDefault="00FF5498" w:rsidP="00417BE6">
            <w:pPr>
              <w:jc w:val="right"/>
              <w:rPr>
                <w:b/>
                <w:bCs/>
                <w:sz w:val="16"/>
                <w:szCs w:val="16"/>
              </w:rPr>
            </w:pPr>
            <w:r>
              <w:rPr>
                <w:b/>
                <w:bCs/>
                <w:sz w:val="16"/>
                <w:szCs w:val="16"/>
              </w:rPr>
              <w:t>-</w:t>
            </w:r>
          </w:p>
        </w:tc>
        <w:tc>
          <w:tcPr>
            <w:tcW w:w="309" w:type="pct"/>
            <w:tcBorders>
              <w:top w:val="single" w:sz="4" w:space="0" w:color="auto"/>
              <w:left w:val="nil"/>
              <w:bottom w:val="single" w:sz="4" w:space="0" w:color="auto"/>
              <w:right w:val="nil"/>
            </w:tcBorders>
            <w:shd w:val="clear" w:color="auto" w:fill="auto"/>
            <w:vAlign w:val="center"/>
            <w:hideMark/>
          </w:tcPr>
          <w:p w14:paraId="3FF4302B" w14:textId="77777777" w:rsidR="00417BE6" w:rsidRPr="003D08A2" w:rsidRDefault="00417BE6" w:rsidP="00417BE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3D08A2">
              <w:rPr>
                <w:rFonts w:eastAsia="Times New Roman"/>
                <w:b/>
                <w:bCs/>
                <w:sz w:val="16"/>
                <w:szCs w:val="16"/>
                <w:bdr w:val="none" w:sz="0" w:space="0" w:color="auto"/>
                <w:lang w:eastAsia="es-ES"/>
              </w:rPr>
              <w:t>-</w:t>
            </w:r>
          </w:p>
        </w:tc>
        <w:tc>
          <w:tcPr>
            <w:tcW w:w="309" w:type="pct"/>
            <w:tcBorders>
              <w:top w:val="single" w:sz="4" w:space="0" w:color="auto"/>
              <w:left w:val="nil"/>
              <w:bottom w:val="single" w:sz="4" w:space="0" w:color="auto"/>
              <w:right w:val="nil"/>
            </w:tcBorders>
            <w:shd w:val="clear" w:color="auto" w:fill="auto"/>
            <w:vAlign w:val="center"/>
            <w:hideMark/>
          </w:tcPr>
          <w:p w14:paraId="15E8B6AB" w14:textId="77777777" w:rsidR="00417BE6" w:rsidRPr="003D08A2" w:rsidRDefault="00417BE6" w:rsidP="00417BE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3D08A2">
              <w:rPr>
                <w:rFonts w:eastAsia="Times New Roman"/>
                <w:b/>
                <w:bCs/>
                <w:sz w:val="16"/>
                <w:szCs w:val="16"/>
                <w:bdr w:val="none" w:sz="0" w:space="0" w:color="auto"/>
                <w:lang w:eastAsia="es-ES"/>
              </w:rPr>
              <w:t>-</w:t>
            </w:r>
          </w:p>
        </w:tc>
        <w:tc>
          <w:tcPr>
            <w:tcW w:w="488" w:type="pct"/>
            <w:tcBorders>
              <w:top w:val="single" w:sz="4" w:space="0" w:color="auto"/>
              <w:left w:val="nil"/>
              <w:bottom w:val="single" w:sz="4" w:space="0" w:color="auto"/>
              <w:right w:val="nil"/>
            </w:tcBorders>
            <w:shd w:val="clear" w:color="auto" w:fill="auto"/>
            <w:vAlign w:val="center"/>
            <w:hideMark/>
          </w:tcPr>
          <w:p w14:paraId="1BB477D2" w14:textId="77777777" w:rsidR="00417BE6" w:rsidRPr="003D08A2" w:rsidRDefault="00FF5498" w:rsidP="00417BE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rFonts w:eastAsia="Times New Roman"/>
                <w:b/>
                <w:bCs/>
                <w:sz w:val="16"/>
                <w:szCs w:val="16"/>
                <w:bdr w:val="none" w:sz="0" w:space="0" w:color="auto"/>
                <w:lang w:eastAsia="es-ES"/>
              </w:rPr>
              <w:t>6.000,00</w:t>
            </w:r>
          </w:p>
        </w:tc>
        <w:tc>
          <w:tcPr>
            <w:tcW w:w="584" w:type="pct"/>
            <w:tcBorders>
              <w:top w:val="single" w:sz="4" w:space="0" w:color="auto"/>
              <w:left w:val="nil"/>
              <w:bottom w:val="single" w:sz="4" w:space="0" w:color="auto"/>
              <w:right w:val="nil"/>
            </w:tcBorders>
            <w:shd w:val="clear" w:color="auto" w:fill="auto"/>
            <w:vAlign w:val="center"/>
            <w:hideMark/>
          </w:tcPr>
          <w:p w14:paraId="75656184" w14:textId="77777777" w:rsidR="00417BE6" w:rsidRPr="003D08A2" w:rsidRDefault="00417BE6" w:rsidP="00417BE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3D08A2">
              <w:rPr>
                <w:rFonts w:eastAsia="Times New Roman"/>
                <w:b/>
                <w:bCs/>
                <w:sz w:val="16"/>
                <w:szCs w:val="16"/>
                <w:bdr w:val="none" w:sz="0" w:space="0" w:color="auto"/>
                <w:lang w:eastAsia="es-ES"/>
              </w:rPr>
              <w:t>199.607,55</w:t>
            </w:r>
          </w:p>
        </w:tc>
      </w:tr>
    </w:tbl>
    <w:p w14:paraId="384BFC6B" w14:textId="77777777" w:rsidR="006220A2" w:rsidRDefault="006220A2" w:rsidP="006220A2">
      <w:pPr>
        <w:widowControl w:val="0"/>
        <w:spacing w:before="120" w:after="120"/>
        <w:jc w:val="both"/>
        <w:rPr>
          <w:sz w:val="20"/>
          <w:szCs w:val="22"/>
        </w:rPr>
      </w:pPr>
      <w:r w:rsidRPr="001E0DA0">
        <w:rPr>
          <w:sz w:val="20"/>
          <w:szCs w:val="22"/>
        </w:rPr>
        <w:t>Los impo</w:t>
      </w:r>
      <w:r>
        <w:rPr>
          <w:sz w:val="20"/>
          <w:szCs w:val="22"/>
        </w:rPr>
        <w:t>r</w:t>
      </w:r>
      <w:r w:rsidRPr="001E0DA0">
        <w:rPr>
          <w:sz w:val="20"/>
          <w:szCs w:val="22"/>
        </w:rPr>
        <w:t xml:space="preserve">tes de los instrumentos financieros </w:t>
      </w:r>
      <w:r>
        <w:rPr>
          <w:sz w:val="20"/>
          <w:szCs w:val="22"/>
        </w:rPr>
        <w:t>de activo al cierre del ejercicio</w:t>
      </w:r>
      <w:r w:rsidRPr="001E0DA0">
        <w:rPr>
          <w:sz w:val="20"/>
          <w:szCs w:val="22"/>
        </w:rPr>
        <w:t xml:space="preserve"> </w:t>
      </w:r>
      <w:r w:rsidR="009A334E">
        <w:rPr>
          <w:sz w:val="20"/>
          <w:szCs w:val="22"/>
        </w:rPr>
        <w:t>2017</w:t>
      </w:r>
      <w:r>
        <w:rPr>
          <w:sz w:val="20"/>
          <w:szCs w:val="22"/>
        </w:rPr>
        <w:t xml:space="preserve"> es el siguiente:</w:t>
      </w:r>
    </w:p>
    <w:tbl>
      <w:tblPr>
        <w:tblW w:w="5000" w:type="pct"/>
        <w:tblCellMar>
          <w:left w:w="70" w:type="dxa"/>
          <w:right w:w="70" w:type="dxa"/>
        </w:tblCellMar>
        <w:tblLook w:val="04A0" w:firstRow="1" w:lastRow="0" w:firstColumn="1" w:lastColumn="0" w:noHBand="0" w:noVBand="1"/>
      </w:tblPr>
      <w:tblGrid>
        <w:gridCol w:w="3464"/>
        <w:gridCol w:w="1044"/>
        <w:gridCol w:w="847"/>
        <w:gridCol w:w="551"/>
        <w:gridCol w:w="551"/>
        <w:gridCol w:w="551"/>
        <w:gridCol w:w="871"/>
        <w:gridCol w:w="1042"/>
      </w:tblGrid>
      <w:tr w:rsidR="00576388" w:rsidRPr="00576388" w14:paraId="0EFB2CE3" w14:textId="77777777" w:rsidTr="003245BF">
        <w:trPr>
          <w:trHeight w:val="227"/>
        </w:trPr>
        <w:tc>
          <w:tcPr>
            <w:tcW w:w="5000" w:type="pct"/>
            <w:gridSpan w:val="8"/>
            <w:tcBorders>
              <w:top w:val="single" w:sz="4" w:space="0" w:color="auto"/>
              <w:left w:val="nil"/>
              <w:bottom w:val="nil"/>
              <w:right w:val="nil"/>
            </w:tcBorders>
            <w:shd w:val="clear" w:color="auto" w:fill="auto"/>
            <w:vAlign w:val="center"/>
            <w:hideMark/>
          </w:tcPr>
          <w:p w14:paraId="561F6F3C" w14:textId="77777777" w:rsidR="00576388" w:rsidRPr="00576388" w:rsidRDefault="00576388" w:rsidP="0057638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576388">
              <w:rPr>
                <w:rFonts w:eastAsia="Times New Roman"/>
                <w:b/>
                <w:bCs/>
                <w:sz w:val="16"/>
                <w:szCs w:val="16"/>
                <w:bdr w:val="none" w:sz="0" w:space="0" w:color="auto"/>
                <w:lang w:eastAsia="es-ES"/>
              </w:rPr>
              <w:t>ACTIVOS FINANCIEROS</w:t>
            </w:r>
          </w:p>
        </w:tc>
      </w:tr>
      <w:tr w:rsidR="00576388" w:rsidRPr="00576388" w14:paraId="7EE26A56" w14:textId="77777777" w:rsidTr="003245BF">
        <w:trPr>
          <w:trHeight w:val="227"/>
        </w:trPr>
        <w:tc>
          <w:tcPr>
            <w:tcW w:w="1941" w:type="pct"/>
            <w:tcBorders>
              <w:top w:val="single" w:sz="4" w:space="0" w:color="auto"/>
              <w:left w:val="nil"/>
              <w:bottom w:val="single" w:sz="4" w:space="0" w:color="auto"/>
              <w:right w:val="nil"/>
            </w:tcBorders>
            <w:shd w:val="clear" w:color="auto" w:fill="auto"/>
            <w:vAlign w:val="bottom"/>
            <w:hideMark/>
          </w:tcPr>
          <w:p w14:paraId="54F5BD02" w14:textId="77777777" w:rsidR="00576388" w:rsidRPr="00576388" w:rsidRDefault="00576388" w:rsidP="0071126B">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ascii="Times" w:eastAsia="Times New Roman" w:hAnsi="Times" w:cs="Times"/>
                <w:sz w:val="20"/>
                <w:szCs w:val="20"/>
                <w:bdr w:val="none" w:sz="0" w:space="0" w:color="auto"/>
                <w:lang w:eastAsia="es-ES"/>
              </w:rPr>
            </w:pPr>
          </w:p>
        </w:tc>
        <w:tc>
          <w:tcPr>
            <w:tcW w:w="585" w:type="pct"/>
            <w:tcBorders>
              <w:top w:val="single" w:sz="4" w:space="0" w:color="auto"/>
              <w:left w:val="nil"/>
              <w:bottom w:val="single" w:sz="4" w:space="0" w:color="auto"/>
              <w:right w:val="nil"/>
            </w:tcBorders>
            <w:shd w:val="clear" w:color="auto" w:fill="auto"/>
            <w:vAlign w:val="bottom"/>
            <w:hideMark/>
          </w:tcPr>
          <w:p w14:paraId="7260C692" w14:textId="77777777" w:rsidR="00576388" w:rsidRPr="00576388" w:rsidRDefault="00576388" w:rsidP="0071126B">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576388">
              <w:rPr>
                <w:rFonts w:eastAsia="Times New Roman"/>
                <w:b/>
                <w:bCs/>
                <w:sz w:val="16"/>
                <w:szCs w:val="16"/>
                <w:bdr w:val="none" w:sz="0" w:space="0" w:color="auto"/>
                <w:lang w:eastAsia="es-ES"/>
              </w:rPr>
              <w:t>2018</w:t>
            </w:r>
          </w:p>
        </w:tc>
        <w:tc>
          <w:tcPr>
            <w:tcW w:w="475" w:type="pct"/>
            <w:tcBorders>
              <w:top w:val="single" w:sz="4" w:space="0" w:color="auto"/>
              <w:left w:val="nil"/>
              <w:bottom w:val="single" w:sz="4" w:space="0" w:color="auto"/>
              <w:right w:val="nil"/>
            </w:tcBorders>
            <w:shd w:val="clear" w:color="auto" w:fill="auto"/>
            <w:vAlign w:val="bottom"/>
            <w:hideMark/>
          </w:tcPr>
          <w:p w14:paraId="05AECEDF" w14:textId="77777777" w:rsidR="00576388" w:rsidRPr="00576388" w:rsidRDefault="00576388" w:rsidP="0071126B">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576388">
              <w:rPr>
                <w:rFonts w:eastAsia="Times New Roman"/>
                <w:b/>
                <w:bCs/>
                <w:sz w:val="16"/>
                <w:szCs w:val="16"/>
                <w:bdr w:val="none" w:sz="0" w:space="0" w:color="auto"/>
                <w:lang w:eastAsia="es-ES"/>
              </w:rPr>
              <w:t>2019</w:t>
            </w:r>
          </w:p>
        </w:tc>
        <w:tc>
          <w:tcPr>
            <w:tcW w:w="309" w:type="pct"/>
            <w:tcBorders>
              <w:top w:val="single" w:sz="4" w:space="0" w:color="auto"/>
              <w:left w:val="nil"/>
              <w:bottom w:val="single" w:sz="4" w:space="0" w:color="auto"/>
              <w:right w:val="nil"/>
            </w:tcBorders>
            <w:shd w:val="clear" w:color="auto" w:fill="auto"/>
            <w:vAlign w:val="bottom"/>
            <w:hideMark/>
          </w:tcPr>
          <w:p w14:paraId="1E42EFFF" w14:textId="77777777" w:rsidR="00576388" w:rsidRPr="00576388" w:rsidRDefault="00576388" w:rsidP="0071126B">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576388">
              <w:rPr>
                <w:rFonts w:eastAsia="Times New Roman"/>
                <w:b/>
                <w:bCs/>
                <w:sz w:val="16"/>
                <w:szCs w:val="16"/>
                <w:bdr w:val="none" w:sz="0" w:space="0" w:color="auto"/>
                <w:lang w:eastAsia="es-ES"/>
              </w:rPr>
              <w:t>2020</w:t>
            </w:r>
          </w:p>
        </w:tc>
        <w:tc>
          <w:tcPr>
            <w:tcW w:w="309" w:type="pct"/>
            <w:tcBorders>
              <w:top w:val="single" w:sz="4" w:space="0" w:color="auto"/>
              <w:left w:val="nil"/>
              <w:bottom w:val="single" w:sz="4" w:space="0" w:color="auto"/>
              <w:right w:val="nil"/>
            </w:tcBorders>
            <w:shd w:val="clear" w:color="auto" w:fill="auto"/>
            <w:vAlign w:val="bottom"/>
            <w:hideMark/>
          </w:tcPr>
          <w:p w14:paraId="08FDB8D8" w14:textId="77777777" w:rsidR="00576388" w:rsidRPr="00576388" w:rsidRDefault="00576388" w:rsidP="0071126B">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576388">
              <w:rPr>
                <w:rFonts w:eastAsia="Times New Roman"/>
                <w:b/>
                <w:bCs/>
                <w:sz w:val="16"/>
                <w:szCs w:val="16"/>
                <w:bdr w:val="none" w:sz="0" w:space="0" w:color="auto"/>
                <w:lang w:eastAsia="es-ES"/>
              </w:rPr>
              <w:t>2021</w:t>
            </w:r>
          </w:p>
        </w:tc>
        <w:tc>
          <w:tcPr>
            <w:tcW w:w="309" w:type="pct"/>
            <w:tcBorders>
              <w:top w:val="single" w:sz="4" w:space="0" w:color="auto"/>
              <w:left w:val="nil"/>
              <w:bottom w:val="single" w:sz="4" w:space="0" w:color="auto"/>
              <w:right w:val="nil"/>
            </w:tcBorders>
            <w:shd w:val="clear" w:color="auto" w:fill="auto"/>
            <w:vAlign w:val="bottom"/>
            <w:hideMark/>
          </w:tcPr>
          <w:p w14:paraId="08A8FA95" w14:textId="77777777" w:rsidR="00576388" w:rsidRPr="00576388" w:rsidRDefault="00576388" w:rsidP="0071126B">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576388">
              <w:rPr>
                <w:rFonts w:eastAsia="Times New Roman"/>
                <w:b/>
                <w:bCs/>
                <w:sz w:val="16"/>
                <w:szCs w:val="16"/>
                <w:bdr w:val="none" w:sz="0" w:space="0" w:color="auto"/>
                <w:lang w:eastAsia="es-ES"/>
              </w:rPr>
              <w:t>2022</w:t>
            </w:r>
          </w:p>
        </w:tc>
        <w:tc>
          <w:tcPr>
            <w:tcW w:w="488" w:type="pct"/>
            <w:tcBorders>
              <w:top w:val="single" w:sz="4" w:space="0" w:color="auto"/>
              <w:left w:val="nil"/>
              <w:bottom w:val="single" w:sz="4" w:space="0" w:color="auto"/>
              <w:right w:val="nil"/>
            </w:tcBorders>
            <w:shd w:val="clear" w:color="auto" w:fill="auto"/>
            <w:vAlign w:val="bottom"/>
            <w:hideMark/>
          </w:tcPr>
          <w:p w14:paraId="55A1DDE0" w14:textId="77777777" w:rsidR="00576388" w:rsidRPr="00576388" w:rsidRDefault="00576388" w:rsidP="0071126B">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576388">
              <w:rPr>
                <w:rFonts w:eastAsia="Times New Roman"/>
                <w:b/>
                <w:bCs/>
                <w:sz w:val="16"/>
                <w:szCs w:val="16"/>
                <w:bdr w:val="none" w:sz="0" w:space="0" w:color="auto"/>
                <w:lang w:eastAsia="es-ES"/>
              </w:rPr>
              <w:t>+ 5 años</w:t>
            </w:r>
          </w:p>
        </w:tc>
        <w:tc>
          <w:tcPr>
            <w:tcW w:w="585" w:type="pct"/>
            <w:tcBorders>
              <w:top w:val="single" w:sz="4" w:space="0" w:color="auto"/>
              <w:left w:val="nil"/>
              <w:bottom w:val="single" w:sz="4" w:space="0" w:color="auto"/>
              <w:right w:val="nil"/>
            </w:tcBorders>
            <w:shd w:val="clear" w:color="auto" w:fill="auto"/>
            <w:vAlign w:val="bottom"/>
            <w:hideMark/>
          </w:tcPr>
          <w:p w14:paraId="3DC9B99C" w14:textId="77777777" w:rsidR="00576388" w:rsidRPr="00576388" w:rsidRDefault="00576388" w:rsidP="0071126B">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576388">
              <w:rPr>
                <w:rFonts w:eastAsia="Times New Roman"/>
                <w:b/>
                <w:bCs/>
                <w:sz w:val="16"/>
                <w:szCs w:val="16"/>
                <w:bdr w:val="none" w:sz="0" w:space="0" w:color="auto"/>
                <w:lang w:eastAsia="es-ES"/>
              </w:rPr>
              <w:t>Total</w:t>
            </w:r>
          </w:p>
        </w:tc>
      </w:tr>
      <w:tr w:rsidR="00576388" w:rsidRPr="00576388" w14:paraId="46EED78D" w14:textId="77777777" w:rsidTr="0071126B">
        <w:trPr>
          <w:trHeight w:val="202"/>
        </w:trPr>
        <w:tc>
          <w:tcPr>
            <w:tcW w:w="1941" w:type="pct"/>
            <w:tcBorders>
              <w:top w:val="nil"/>
              <w:left w:val="nil"/>
              <w:bottom w:val="nil"/>
              <w:right w:val="nil"/>
            </w:tcBorders>
            <w:shd w:val="clear" w:color="auto" w:fill="auto"/>
            <w:vAlign w:val="center"/>
            <w:hideMark/>
          </w:tcPr>
          <w:p w14:paraId="4F166F2F" w14:textId="77777777" w:rsidR="0071126B" w:rsidRDefault="00576388" w:rsidP="0057638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576388">
              <w:rPr>
                <w:rFonts w:eastAsia="Times New Roman"/>
                <w:sz w:val="16"/>
                <w:szCs w:val="16"/>
                <w:bdr w:val="none" w:sz="0" w:space="0" w:color="auto"/>
                <w:lang w:eastAsia="es-ES"/>
              </w:rPr>
              <w:t>Préstamos y partidas a cobrar</w:t>
            </w:r>
          </w:p>
          <w:p w14:paraId="2AB4475A" w14:textId="77777777" w:rsidR="00576388" w:rsidRPr="00576388" w:rsidRDefault="00576388" w:rsidP="0057638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576388">
              <w:rPr>
                <w:rFonts w:eastAsia="Times New Roman"/>
                <w:sz w:val="16"/>
                <w:szCs w:val="16"/>
                <w:bdr w:val="none" w:sz="0" w:space="0" w:color="auto"/>
                <w:lang w:eastAsia="es-ES"/>
              </w:rPr>
              <w:t>(Nota 8.1.a)</w:t>
            </w:r>
          </w:p>
        </w:tc>
        <w:tc>
          <w:tcPr>
            <w:tcW w:w="585" w:type="pct"/>
            <w:tcBorders>
              <w:top w:val="nil"/>
              <w:left w:val="nil"/>
              <w:bottom w:val="nil"/>
              <w:right w:val="nil"/>
            </w:tcBorders>
            <w:shd w:val="clear" w:color="auto" w:fill="auto"/>
            <w:vAlign w:val="center"/>
            <w:hideMark/>
          </w:tcPr>
          <w:p w14:paraId="61220309" w14:textId="77777777" w:rsidR="00576388" w:rsidRPr="00576388" w:rsidRDefault="00576388" w:rsidP="0057638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76388">
              <w:rPr>
                <w:rFonts w:eastAsia="Times New Roman"/>
                <w:sz w:val="16"/>
                <w:szCs w:val="16"/>
                <w:bdr w:val="none" w:sz="0" w:space="0" w:color="auto"/>
                <w:lang w:eastAsia="es-ES"/>
              </w:rPr>
              <w:t>204.724,58</w:t>
            </w:r>
          </w:p>
        </w:tc>
        <w:tc>
          <w:tcPr>
            <w:tcW w:w="475" w:type="pct"/>
            <w:tcBorders>
              <w:top w:val="nil"/>
              <w:left w:val="nil"/>
              <w:bottom w:val="nil"/>
              <w:right w:val="nil"/>
            </w:tcBorders>
            <w:shd w:val="clear" w:color="auto" w:fill="auto"/>
            <w:vAlign w:val="center"/>
            <w:hideMark/>
          </w:tcPr>
          <w:p w14:paraId="70DB6B13" w14:textId="77777777" w:rsidR="00576388" w:rsidRPr="00576388" w:rsidRDefault="00576388" w:rsidP="0057638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76388">
              <w:rPr>
                <w:rFonts w:eastAsia="Times New Roman"/>
                <w:sz w:val="16"/>
                <w:szCs w:val="16"/>
                <w:bdr w:val="none" w:sz="0" w:space="0" w:color="auto"/>
                <w:lang w:eastAsia="es-ES"/>
              </w:rPr>
              <w:t>6.000,00</w:t>
            </w:r>
          </w:p>
        </w:tc>
        <w:tc>
          <w:tcPr>
            <w:tcW w:w="309" w:type="pct"/>
            <w:tcBorders>
              <w:top w:val="nil"/>
              <w:left w:val="nil"/>
              <w:bottom w:val="nil"/>
              <w:right w:val="nil"/>
            </w:tcBorders>
            <w:shd w:val="clear" w:color="auto" w:fill="auto"/>
            <w:noWrap/>
            <w:vAlign w:val="center"/>
            <w:hideMark/>
          </w:tcPr>
          <w:p w14:paraId="2CA7ACF1" w14:textId="77777777" w:rsidR="00576388" w:rsidRPr="00576388" w:rsidRDefault="00576388" w:rsidP="0057638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76388">
              <w:rPr>
                <w:rFonts w:eastAsia="Times New Roman"/>
                <w:sz w:val="16"/>
                <w:szCs w:val="16"/>
                <w:bdr w:val="none" w:sz="0" w:space="0" w:color="auto"/>
                <w:lang w:eastAsia="es-ES"/>
              </w:rPr>
              <w:t xml:space="preserve"> -</w:t>
            </w:r>
          </w:p>
        </w:tc>
        <w:tc>
          <w:tcPr>
            <w:tcW w:w="309" w:type="pct"/>
            <w:tcBorders>
              <w:top w:val="nil"/>
              <w:left w:val="nil"/>
              <w:bottom w:val="nil"/>
              <w:right w:val="nil"/>
            </w:tcBorders>
            <w:shd w:val="clear" w:color="auto" w:fill="auto"/>
            <w:vAlign w:val="center"/>
            <w:hideMark/>
          </w:tcPr>
          <w:p w14:paraId="37A268E7" w14:textId="77777777" w:rsidR="00576388" w:rsidRPr="00576388" w:rsidRDefault="00576388" w:rsidP="0057638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76388">
              <w:rPr>
                <w:rFonts w:eastAsia="Times New Roman"/>
                <w:sz w:val="16"/>
                <w:szCs w:val="16"/>
                <w:bdr w:val="none" w:sz="0" w:space="0" w:color="auto"/>
                <w:lang w:eastAsia="es-ES"/>
              </w:rPr>
              <w:t>-</w:t>
            </w:r>
          </w:p>
        </w:tc>
        <w:tc>
          <w:tcPr>
            <w:tcW w:w="309" w:type="pct"/>
            <w:tcBorders>
              <w:top w:val="nil"/>
              <w:left w:val="nil"/>
              <w:bottom w:val="nil"/>
              <w:right w:val="nil"/>
            </w:tcBorders>
            <w:shd w:val="clear" w:color="auto" w:fill="auto"/>
            <w:vAlign w:val="center"/>
            <w:hideMark/>
          </w:tcPr>
          <w:p w14:paraId="6C9F271A" w14:textId="77777777" w:rsidR="00576388" w:rsidRPr="00576388" w:rsidRDefault="00576388" w:rsidP="0057638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76388">
              <w:rPr>
                <w:rFonts w:eastAsia="Times New Roman"/>
                <w:sz w:val="16"/>
                <w:szCs w:val="16"/>
                <w:bdr w:val="none" w:sz="0" w:space="0" w:color="auto"/>
                <w:lang w:eastAsia="es-ES"/>
              </w:rPr>
              <w:t>-</w:t>
            </w:r>
          </w:p>
        </w:tc>
        <w:tc>
          <w:tcPr>
            <w:tcW w:w="488" w:type="pct"/>
            <w:tcBorders>
              <w:top w:val="nil"/>
              <w:left w:val="nil"/>
              <w:bottom w:val="nil"/>
              <w:right w:val="nil"/>
            </w:tcBorders>
            <w:shd w:val="clear" w:color="auto" w:fill="auto"/>
            <w:vAlign w:val="center"/>
            <w:hideMark/>
          </w:tcPr>
          <w:p w14:paraId="30AC11B3" w14:textId="77777777" w:rsidR="00576388" w:rsidRPr="00576388" w:rsidRDefault="00576388" w:rsidP="0057638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76388">
              <w:rPr>
                <w:rFonts w:eastAsia="Times New Roman"/>
                <w:sz w:val="16"/>
                <w:szCs w:val="16"/>
                <w:bdr w:val="none" w:sz="0" w:space="0" w:color="auto"/>
                <w:lang w:eastAsia="es-ES"/>
              </w:rPr>
              <w:t>-</w:t>
            </w:r>
          </w:p>
        </w:tc>
        <w:tc>
          <w:tcPr>
            <w:tcW w:w="585" w:type="pct"/>
            <w:tcBorders>
              <w:top w:val="nil"/>
              <w:left w:val="nil"/>
              <w:bottom w:val="nil"/>
              <w:right w:val="nil"/>
            </w:tcBorders>
            <w:shd w:val="clear" w:color="auto" w:fill="auto"/>
            <w:vAlign w:val="center"/>
            <w:hideMark/>
          </w:tcPr>
          <w:p w14:paraId="542FC03D" w14:textId="77777777" w:rsidR="00576388" w:rsidRPr="00576388" w:rsidRDefault="00576388" w:rsidP="0057638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576388">
              <w:rPr>
                <w:rFonts w:eastAsia="Times New Roman"/>
                <w:b/>
                <w:bCs/>
                <w:sz w:val="16"/>
                <w:szCs w:val="16"/>
                <w:bdr w:val="none" w:sz="0" w:space="0" w:color="auto"/>
                <w:lang w:eastAsia="es-ES"/>
              </w:rPr>
              <w:t>210.724,58</w:t>
            </w:r>
          </w:p>
        </w:tc>
      </w:tr>
      <w:tr w:rsidR="00576388" w:rsidRPr="00576388" w14:paraId="35F52597" w14:textId="77777777" w:rsidTr="0071126B">
        <w:trPr>
          <w:trHeight w:val="220"/>
        </w:trPr>
        <w:tc>
          <w:tcPr>
            <w:tcW w:w="1941" w:type="pct"/>
            <w:tcBorders>
              <w:top w:val="single" w:sz="4" w:space="0" w:color="auto"/>
              <w:left w:val="nil"/>
              <w:bottom w:val="single" w:sz="4" w:space="0" w:color="auto"/>
              <w:right w:val="nil"/>
            </w:tcBorders>
            <w:shd w:val="clear" w:color="auto" w:fill="auto"/>
            <w:vAlign w:val="center"/>
            <w:hideMark/>
          </w:tcPr>
          <w:p w14:paraId="53D00B92" w14:textId="77777777" w:rsidR="00576388" w:rsidRPr="00576388" w:rsidRDefault="00576388" w:rsidP="0057638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New Roman" w:hAnsi="Times" w:cs="Times"/>
                <w:sz w:val="20"/>
                <w:szCs w:val="20"/>
                <w:bdr w:val="none" w:sz="0" w:space="0" w:color="auto"/>
                <w:lang w:eastAsia="es-ES"/>
              </w:rPr>
            </w:pPr>
            <w:r w:rsidRPr="00576388">
              <w:rPr>
                <w:rFonts w:ascii="Times" w:eastAsia="Times New Roman" w:hAnsi="Times" w:cs="Times"/>
                <w:sz w:val="20"/>
                <w:szCs w:val="20"/>
                <w:bdr w:val="none" w:sz="0" w:space="0" w:color="auto"/>
                <w:lang w:eastAsia="es-ES"/>
              </w:rPr>
              <w:t> </w:t>
            </w:r>
          </w:p>
        </w:tc>
        <w:tc>
          <w:tcPr>
            <w:tcW w:w="585" w:type="pct"/>
            <w:tcBorders>
              <w:top w:val="single" w:sz="4" w:space="0" w:color="auto"/>
              <w:left w:val="nil"/>
              <w:bottom w:val="single" w:sz="4" w:space="0" w:color="auto"/>
              <w:right w:val="nil"/>
            </w:tcBorders>
            <w:shd w:val="clear" w:color="auto" w:fill="auto"/>
            <w:vAlign w:val="center"/>
            <w:hideMark/>
          </w:tcPr>
          <w:p w14:paraId="6F58C796" w14:textId="77777777" w:rsidR="00576388" w:rsidRPr="00576388" w:rsidRDefault="00576388" w:rsidP="0057638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576388">
              <w:rPr>
                <w:rFonts w:eastAsia="Times New Roman"/>
                <w:b/>
                <w:bCs/>
                <w:sz w:val="16"/>
                <w:szCs w:val="16"/>
                <w:bdr w:val="none" w:sz="0" w:space="0" w:color="auto"/>
                <w:lang w:eastAsia="es-ES"/>
              </w:rPr>
              <w:t>204.724,58</w:t>
            </w:r>
          </w:p>
        </w:tc>
        <w:tc>
          <w:tcPr>
            <w:tcW w:w="475" w:type="pct"/>
            <w:tcBorders>
              <w:top w:val="single" w:sz="4" w:space="0" w:color="auto"/>
              <w:left w:val="nil"/>
              <w:bottom w:val="single" w:sz="4" w:space="0" w:color="auto"/>
              <w:right w:val="nil"/>
            </w:tcBorders>
            <w:shd w:val="clear" w:color="auto" w:fill="auto"/>
            <w:vAlign w:val="center"/>
            <w:hideMark/>
          </w:tcPr>
          <w:p w14:paraId="3BEDC6BE" w14:textId="77777777" w:rsidR="00576388" w:rsidRPr="00576388" w:rsidRDefault="00576388" w:rsidP="0057638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576388">
              <w:rPr>
                <w:rFonts w:eastAsia="Times New Roman"/>
                <w:b/>
                <w:bCs/>
                <w:sz w:val="16"/>
                <w:szCs w:val="16"/>
                <w:bdr w:val="none" w:sz="0" w:space="0" w:color="auto"/>
                <w:lang w:eastAsia="es-ES"/>
              </w:rPr>
              <w:t>6.000,00</w:t>
            </w:r>
          </w:p>
        </w:tc>
        <w:tc>
          <w:tcPr>
            <w:tcW w:w="309" w:type="pct"/>
            <w:tcBorders>
              <w:top w:val="single" w:sz="4" w:space="0" w:color="auto"/>
              <w:left w:val="nil"/>
              <w:bottom w:val="single" w:sz="4" w:space="0" w:color="auto"/>
              <w:right w:val="nil"/>
            </w:tcBorders>
            <w:shd w:val="clear" w:color="auto" w:fill="auto"/>
            <w:noWrap/>
            <w:vAlign w:val="center"/>
            <w:hideMark/>
          </w:tcPr>
          <w:p w14:paraId="2BEE4D9A" w14:textId="77777777" w:rsidR="00576388" w:rsidRPr="00576388" w:rsidRDefault="00576388" w:rsidP="0057638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576388">
              <w:rPr>
                <w:rFonts w:eastAsia="Times New Roman"/>
                <w:b/>
                <w:bCs/>
                <w:sz w:val="18"/>
                <w:szCs w:val="18"/>
                <w:bdr w:val="none" w:sz="0" w:space="0" w:color="auto"/>
                <w:lang w:eastAsia="es-ES"/>
              </w:rPr>
              <w:t xml:space="preserve"> -</w:t>
            </w:r>
          </w:p>
        </w:tc>
        <w:tc>
          <w:tcPr>
            <w:tcW w:w="309" w:type="pct"/>
            <w:tcBorders>
              <w:top w:val="single" w:sz="4" w:space="0" w:color="auto"/>
              <w:left w:val="nil"/>
              <w:bottom w:val="single" w:sz="4" w:space="0" w:color="auto"/>
              <w:right w:val="nil"/>
            </w:tcBorders>
            <w:shd w:val="clear" w:color="auto" w:fill="auto"/>
            <w:vAlign w:val="center"/>
            <w:hideMark/>
          </w:tcPr>
          <w:p w14:paraId="7023D9F8" w14:textId="77777777" w:rsidR="00576388" w:rsidRPr="00576388" w:rsidRDefault="00576388" w:rsidP="0057638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576388">
              <w:rPr>
                <w:rFonts w:eastAsia="Times New Roman"/>
                <w:b/>
                <w:bCs/>
                <w:sz w:val="16"/>
                <w:szCs w:val="16"/>
                <w:bdr w:val="none" w:sz="0" w:space="0" w:color="auto"/>
                <w:lang w:eastAsia="es-ES"/>
              </w:rPr>
              <w:t>-</w:t>
            </w:r>
          </w:p>
        </w:tc>
        <w:tc>
          <w:tcPr>
            <w:tcW w:w="309" w:type="pct"/>
            <w:tcBorders>
              <w:top w:val="single" w:sz="4" w:space="0" w:color="auto"/>
              <w:left w:val="nil"/>
              <w:bottom w:val="single" w:sz="4" w:space="0" w:color="auto"/>
              <w:right w:val="nil"/>
            </w:tcBorders>
            <w:shd w:val="clear" w:color="auto" w:fill="auto"/>
            <w:vAlign w:val="center"/>
            <w:hideMark/>
          </w:tcPr>
          <w:p w14:paraId="2A6DF4CF" w14:textId="77777777" w:rsidR="00576388" w:rsidRPr="00576388" w:rsidRDefault="00576388" w:rsidP="0057638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576388">
              <w:rPr>
                <w:rFonts w:eastAsia="Times New Roman"/>
                <w:b/>
                <w:bCs/>
                <w:sz w:val="16"/>
                <w:szCs w:val="16"/>
                <w:bdr w:val="none" w:sz="0" w:space="0" w:color="auto"/>
                <w:lang w:eastAsia="es-ES"/>
              </w:rPr>
              <w:t>-</w:t>
            </w:r>
          </w:p>
        </w:tc>
        <w:tc>
          <w:tcPr>
            <w:tcW w:w="488" w:type="pct"/>
            <w:tcBorders>
              <w:top w:val="single" w:sz="4" w:space="0" w:color="auto"/>
              <w:left w:val="nil"/>
              <w:bottom w:val="single" w:sz="4" w:space="0" w:color="auto"/>
              <w:right w:val="nil"/>
            </w:tcBorders>
            <w:shd w:val="clear" w:color="auto" w:fill="auto"/>
            <w:vAlign w:val="center"/>
            <w:hideMark/>
          </w:tcPr>
          <w:p w14:paraId="57556A76" w14:textId="77777777" w:rsidR="00576388" w:rsidRPr="00576388" w:rsidRDefault="00576388" w:rsidP="0057638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576388">
              <w:rPr>
                <w:rFonts w:eastAsia="Times New Roman"/>
                <w:b/>
                <w:bCs/>
                <w:sz w:val="16"/>
                <w:szCs w:val="16"/>
                <w:bdr w:val="none" w:sz="0" w:space="0" w:color="auto"/>
                <w:lang w:eastAsia="es-ES"/>
              </w:rPr>
              <w:t>-</w:t>
            </w:r>
          </w:p>
        </w:tc>
        <w:tc>
          <w:tcPr>
            <w:tcW w:w="585" w:type="pct"/>
            <w:tcBorders>
              <w:top w:val="single" w:sz="4" w:space="0" w:color="auto"/>
              <w:left w:val="nil"/>
              <w:bottom w:val="single" w:sz="4" w:space="0" w:color="auto"/>
              <w:right w:val="nil"/>
            </w:tcBorders>
            <w:shd w:val="clear" w:color="auto" w:fill="auto"/>
            <w:vAlign w:val="center"/>
            <w:hideMark/>
          </w:tcPr>
          <w:p w14:paraId="02E212BA" w14:textId="77777777" w:rsidR="00576388" w:rsidRPr="00576388" w:rsidRDefault="00576388" w:rsidP="0057638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576388">
              <w:rPr>
                <w:rFonts w:eastAsia="Times New Roman"/>
                <w:b/>
                <w:bCs/>
                <w:sz w:val="16"/>
                <w:szCs w:val="16"/>
                <w:bdr w:val="none" w:sz="0" w:space="0" w:color="auto"/>
                <w:lang w:eastAsia="es-ES"/>
              </w:rPr>
              <w:t>210.724,58</w:t>
            </w:r>
          </w:p>
        </w:tc>
      </w:tr>
    </w:tbl>
    <w:p w14:paraId="18AFD84B" w14:textId="77777777" w:rsidR="00576388" w:rsidRDefault="00576388" w:rsidP="006220A2">
      <w:pPr>
        <w:widowControl w:val="0"/>
        <w:spacing w:before="120" w:after="120"/>
        <w:jc w:val="both"/>
        <w:rPr>
          <w:sz w:val="20"/>
          <w:szCs w:val="22"/>
        </w:rPr>
      </w:pPr>
    </w:p>
    <w:p w14:paraId="2D0975D6" w14:textId="77777777" w:rsidR="006220A2" w:rsidRPr="00F66E33" w:rsidRDefault="006220A2" w:rsidP="006220A2">
      <w:pPr>
        <w:widowControl w:val="0"/>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9"/>
        <w:rPr>
          <w:b/>
          <w:sz w:val="20"/>
          <w:szCs w:val="22"/>
        </w:rPr>
      </w:pPr>
      <w:r w:rsidRPr="00F66E33">
        <w:rPr>
          <w:b/>
          <w:sz w:val="20"/>
          <w:szCs w:val="22"/>
        </w:rPr>
        <w:t>Pasivos financieros</w:t>
      </w:r>
    </w:p>
    <w:p w14:paraId="5EFA5C3F" w14:textId="77777777" w:rsidR="006220A2" w:rsidRDefault="006220A2" w:rsidP="006220A2">
      <w:pPr>
        <w:spacing w:before="120" w:after="120"/>
        <w:rPr>
          <w:sz w:val="20"/>
        </w:rPr>
      </w:pPr>
      <w:r>
        <w:rPr>
          <w:sz w:val="20"/>
        </w:rPr>
        <w:t>El detalle de los pasivos financieros a corto plazo, es el siguiente, en euros:</w:t>
      </w:r>
    </w:p>
    <w:tbl>
      <w:tblPr>
        <w:tblW w:w="5000" w:type="pct"/>
        <w:jc w:val="center"/>
        <w:tblCellMar>
          <w:left w:w="70" w:type="dxa"/>
          <w:right w:w="70" w:type="dxa"/>
        </w:tblCellMar>
        <w:tblLook w:val="04A0" w:firstRow="1" w:lastRow="0" w:firstColumn="1" w:lastColumn="0" w:noHBand="0" w:noVBand="1"/>
      </w:tblPr>
      <w:tblGrid>
        <w:gridCol w:w="3135"/>
        <w:gridCol w:w="1342"/>
        <w:gridCol w:w="1454"/>
        <w:gridCol w:w="1395"/>
        <w:gridCol w:w="1595"/>
      </w:tblGrid>
      <w:tr w:rsidR="006220A2" w:rsidRPr="0044257D" w14:paraId="01B87650" w14:textId="77777777" w:rsidTr="0071126B">
        <w:trPr>
          <w:trHeight w:val="227"/>
          <w:jc w:val="center"/>
        </w:trPr>
        <w:tc>
          <w:tcPr>
            <w:tcW w:w="1757" w:type="pct"/>
            <w:tcBorders>
              <w:top w:val="single" w:sz="4" w:space="0" w:color="auto"/>
              <w:left w:val="nil"/>
              <w:bottom w:val="nil"/>
              <w:right w:val="nil"/>
            </w:tcBorders>
            <w:shd w:val="clear" w:color="auto" w:fill="auto"/>
            <w:vAlign w:val="bottom"/>
            <w:hideMark/>
          </w:tcPr>
          <w:p w14:paraId="45B1BDFE" w14:textId="77777777" w:rsidR="006220A2" w:rsidRPr="0044257D" w:rsidRDefault="006220A2" w:rsidP="00852114">
            <w:pPr>
              <w:jc w:val="center"/>
              <w:rPr>
                <w:rFonts w:eastAsia="Times New Roman"/>
                <w:b/>
                <w:bCs/>
                <w:sz w:val="18"/>
                <w:szCs w:val="18"/>
              </w:rPr>
            </w:pPr>
          </w:p>
        </w:tc>
        <w:tc>
          <w:tcPr>
            <w:tcW w:w="3243" w:type="pct"/>
            <w:gridSpan w:val="4"/>
            <w:tcBorders>
              <w:top w:val="single" w:sz="4" w:space="0" w:color="auto"/>
              <w:left w:val="nil"/>
              <w:bottom w:val="single" w:sz="4" w:space="0" w:color="auto"/>
              <w:right w:val="nil"/>
            </w:tcBorders>
            <w:shd w:val="clear" w:color="auto" w:fill="auto"/>
            <w:vAlign w:val="bottom"/>
            <w:hideMark/>
          </w:tcPr>
          <w:p w14:paraId="4ED2A2B2" w14:textId="77777777" w:rsidR="006220A2" w:rsidRPr="0044257D" w:rsidRDefault="006220A2" w:rsidP="00852114">
            <w:pPr>
              <w:jc w:val="center"/>
              <w:rPr>
                <w:rFonts w:eastAsia="Times New Roman"/>
                <w:b/>
                <w:bCs/>
                <w:sz w:val="18"/>
                <w:szCs w:val="18"/>
              </w:rPr>
            </w:pPr>
            <w:r w:rsidRPr="0044257D">
              <w:rPr>
                <w:rFonts w:eastAsia="Times New Roman"/>
                <w:b/>
                <w:bCs/>
                <w:sz w:val="18"/>
                <w:szCs w:val="18"/>
              </w:rPr>
              <w:t>Pasivos financieros a corto plazo</w:t>
            </w:r>
          </w:p>
        </w:tc>
      </w:tr>
      <w:tr w:rsidR="006220A2" w:rsidRPr="0044257D" w14:paraId="3F4912A3" w14:textId="77777777" w:rsidTr="0071126B">
        <w:trPr>
          <w:trHeight w:val="227"/>
          <w:jc w:val="center"/>
        </w:trPr>
        <w:tc>
          <w:tcPr>
            <w:tcW w:w="1757" w:type="pct"/>
            <w:tcBorders>
              <w:top w:val="nil"/>
              <w:left w:val="nil"/>
              <w:bottom w:val="nil"/>
              <w:right w:val="nil"/>
            </w:tcBorders>
            <w:shd w:val="clear" w:color="auto" w:fill="auto"/>
            <w:vAlign w:val="bottom"/>
            <w:hideMark/>
          </w:tcPr>
          <w:p w14:paraId="1C9F80E7" w14:textId="77777777" w:rsidR="006220A2" w:rsidRPr="0044257D" w:rsidRDefault="006220A2" w:rsidP="00852114">
            <w:pPr>
              <w:jc w:val="center"/>
              <w:rPr>
                <w:rFonts w:eastAsia="Times New Roman"/>
                <w:b/>
                <w:bCs/>
                <w:sz w:val="18"/>
                <w:szCs w:val="18"/>
              </w:rPr>
            </w:pPr>
          </w:p>
        </w:tc>
        <w:tc>
          <w:tcPr>
            <w:tcW w:w="1567" w:type="pct"/>
            <w:gridSpan w:val="2"/>
            <w:tcBorders>
              <w:top w:val="single" w:sz="4" w:space="0" w:color="auto"/>
              <w:left w:val="nil"/>
              <w:bottom w:val="single" w:sz="4" w:space="0" w:color="auto"/>
              <w:right w:val="nil"/>
            </w:tcBorders>
            <w:shd w:val="clear" w:color="auto" w:fill="auto"/>
            <w:vAlign w:val="bottom"/>
            <w:hideMark/>
          </w:tcPr>
          <w:p w14:paraId="2E20ED59" w14:textId="77777777" w:rsidR="006220A2" w:rsidRDefault="006220A2" w:rsidP="00852114">
            <w:pPr>
              <w:jc w:val="center"/>
              <w:rPr>
                <w:rFonts w:eastAsia="Times New Roman"/>
                <w:b/>
                <w:bCs/>
                <w:sz w:val="18"/>
                <w:szCs w:val="18"/>
              </w:rPr>
            </w:pPr>
            <w:r w:rsidRPr="0044257D">
              <w:rPr>
                <w:rFonts w:eastAsia="Times New Roman"/>
                <w:b/>
                <w:bCs/>
                <w:sz w:val="18"/>
                <w:szCs w:val="18"/>
              </w:rPr>
              <w:t xml:space="preserve">Deudas con entidades </w:t>
            </w:r>
          </w:p>
          <w:p w14:paraId="403E2821" w14:textId="77777777" w:rsidR="006220A2" w:rsidRPr="0044257D" w:rsidRDefault="006220A2" w:rsidP="00852114">
            <w:pPr>
              <w:jc w:val="center"/>
              <w:rPr>
                <w:rFonts w:eastAsia="Times New Roman"/>
                <w:b/>
                <w:bCs/>
                <w:sz w:val="18"/>
                <w:szCs w:val="18"/>
              </w:rPr>
            </w:pPr>
            <w:r w:rsidRPr="0044257D">
              <w:rPr>
                <w:rFonts w:eastAsia="Times New Roman"/>
                <w:b/>
                <w:bCs/>
                <w:sz w:val="18"/>
                <w:szCs w:val="18"/>
              </w:rPr>
              <w:t>de crédito</w:t>
            </w:r>
          </w:p>
        </w:tc>
        <w:tc>
          <w:tcPr>
            <w:tcW w:w="1676" w:type="pct"/>
            <w:gridSpan w:val="2"/>
            <w:tcBorders>
              <w:top w:val="single" w:sz="4" w:space="0" w:color="auto"/>
              <w:left w:val="nil"/>
              <w:bottom w:val="single" w:sz="4" w:space="0" w:color="auto"/>
              <w:right w:val="nil"/>
            </w:tcBorders>
            <w:shd w:val="clear" w:color="auto" w:fill="auto"/>
            <w:vAlign w:val="bottom"/>
            <w:hideMark/>
          </w:tcPr>
          <w:p w14:paraId="2B9647B1" w14:textId="77777777" w:rsidR="006220A2" w:rsidRPr="0044257D" w:rsidRDefault="006220A2" w:rsidP="00852114">
            <w:pPr>
              <w:jc w:val="center"/>
              <w:rPr>
                <w:rFonts w:eastAsia="Times New Roman"/>
                <w:b/>
                <w:bCs/>
                <w:sz w:val="18"/>
                <w:szCs w:val="18"/>
              </w:rPr>
            </w:pPr>
            <w:r w:rsidRPr="0044257D">
              <w:rPr>
                <w:rFonts w:eastAsia="Times New Roman"/>
                <w:b/>
                <w:bCs/>
                <w:sz w:val="18"/>
                <w:szCs w:val="18"/>
              </w:rPr>
              <w:t>Derivados</w:t>
            </w:r>
            <w:r>
              <w:rPr>
                <w:rFonts w:eastAsia="Times New Roman"/>
                <w:b/>
                <w:bCs/>
                <w:sz w:val="18"/>
                <w:szCs w:val="18"/>
              </w:rPr>
              <w:t xml:space="preserve"> y</w:t>
            </w:r>
            <w:r w:rsidRPr="0044257D">
              <w:rPr>
                <w:rFonts w:eastAsia="Times New Roman"/>
                <w:b/>
                <w:bCs/>
                <w:sz w:val="18"/>
                <w:szCs w:val="18"/>
              </w:rPr>
              <w:br/>
              <w:t>Otros</w:t>
            </w:r>
          </w:p>
        </w:tc>
      </w:tr>
      <w:tr w:rsidR="00A75530" w:rsidRPr="0044257D" w14:paraId="35D0ACA9" w14:textId="77777777" w:rsidTr="00C87167">
        <w:trPr>
          <w:trHeight w:val="227"/>
          <w:jc w:val="center"/>
        </w:trPr>
        <w:tc>
          <w:tcPr>
            <w:tcW w:w="1757" w:type="pct"/>
            <w:tcBorders>
              <w:top w:val="nil"/>
              <w:left w:val="nil"/>
              <w:bottom w:val="single" w:sz="4" w:space="0" w:color="auto"/>
              <w:right w:val="nil"/>
            </w:tcBorders>
            <w:shd w:val="clear" w:color="auto" w:fill="auto"/>
            <w:vAlign w:val="bottom"/>
            <w:hideMark/>
          </w:tcPr>
          <w:p w14:paraId="715CE009" w14:textId="77777777" w:rsidR="00A75530" w:rsidRPr="0044257D" w:rsidRDefault="00A75530" w:rsidP="00A75530">
            <w:pPr>
              <w:jc w:val="center"/>
              <w:rPr>
                <w:rFonts w:eastAsia="Times New Roman"/>
                <w:sz w:val="18"/>
                <w:szCs w:val="18"/>
              </w:rPr>
            </w:pPr>
          </w:p>
        </w:tc>
        <w:tc>
          <w:tcPr>
            <w:tcW w:w="752" w:type="pct"/>
            <w:tcBorders>
              <w:top w:val="nil"/>
              <w:left w:val="nil"/>
              <w:bottom w:val="single" w:sz="4" w:space="0" w:color="auto"/>
              <w:right w:val="nil"/>
            </w:tcBorders>
            <w:shd w:val="clear" w:color="auto" w:fill="auto"/>
            <w:vAlign w:val="bottom"/>
          </w:tcPr>
          <w:p w14:paraId="130BBDE5" w14:textId="77777777" w:rsidR="00A75530" w:rsidRPr="00915C40" w:rsidRDefault="00A75530" w:rsidP="00A75530">
            <w:pPr>
              <w:keepNext/>
              <w:keepLines/>
              <w:jc w:val="center"/>
              <w:rPr>
                <w:rFonts w:eastAsia="Times New Roman"/>
                <w:b/>
                <w:bCs/>
                <w:sz w:val="18"/>
                <w:szCs w:val="18"/>
              </w:rPr>
            </w:pPr>
            <w:r>
              <w:rPr>
                <w:rFonts w:eastAsia="Times New Roman"/>
                <w:b/>
                <w:bCs/>
                <w:sz w:val="18"/>
                <w:szCs w:val="18"/>
              </w:rPr>
              <w:t>31/12/2018</w:t>
            </w:r>
          </w:p>
        </w:tc>
        <w:tc>
          <w:tcPr>
            <w:tcW w:w="815" w:type="pct"/>
            <w:tcBorders>
              <w:top w:val="nil"/>
              <w:left w:val="nil"/>
              <w:bottom w:val="single" w:sz="4" w:space="0" w:color="auto"/>
              <w:right w:val="nil"/>
            </w:tcBorders>
            <w:shd w:val="clear" w:color="auto" w:fill="auto"/>
            <w:vAlign w:val="bottom"/>
            <w:hideMark/>
          </w:tcPr>
          <w:p w14:paraId="4480C126" w14:textId="77777777" w:rsidR="00A75530" w:rsidRPr="00915C40" w:rsidRDefault="00A75530" w:rsidP="00A75530">
            <w:pPr>
              <w:keepNext/>
              <w:keepLines/>
              <w:jc w:val="center"/>
              <w:rPr>
                <w:rFonts w:eastAsia="Times New Roman"/>
                <w:b/>
                <w:bCs/>
                <w:sz w:val="18"/>
                <w:szCs w:val="18"/>
              </w:rPr>
            </w:pPr>
            <w:r>
              <w:rPr>
                <w:rFonts w:eastAsia="Times New Roman"/>
                <w:b/>
                <w:bCs/>
                <w:sz w:val="18"/>
                <w:szCs w:val="18"/>
              </w:rPr>
              <w:t>31/12/2017</w:t>
            </w:r>
          </w:p>
        </w:tc>
        <w:tc>
          <w:tcPr>
            <w:tcW w:w="782" w:type="pct"/>
            <w:tcBorders>
              <w:top w:val="nil"/>
              <w:left w:val="nil"/>
              <w:bottom w:val="single" w:sz="4" w:space="0" w:color="auto"/>
              <w:right w:val="nil"/>
            </w:tcBorders>
            <w:shd w:val="clear" w:color="auto" w:fill="auto"/>
            <w:vAlign w:val="bottom"/>
          </w:tcPr>
          <w:p w14:paraId="1A7EA92C" w14:textId="77777777" w:rsidR="00A75530" w:rsidRPr="00915C40" w:rsidRDefault="00A75530" w:rsidP="00A75530">
            <w:pPr>
              <w:keepNext/>
              <w:keepLines/>
              <w:jc w:val="center"/>
              <w:rPr>
                <w:rFonts w:eastAsia="Times New Roman"/>
                <w:b/>
                <w:bCs/>
                <w:sz w:val="18"/>
                <w:szCs w:val="18"/>
              </w:rPr>
            </w:pPr>
            <w:r>
              <w:rPr>
                <w:rFonts w:eastAsia="Times New Roman"/>
                <w:b/>
                <w:bCs/>
                <w:sz w:val="18"/>
                <w:szCs w:val="18"/>
              </w:rPr>
              <w:t>31/12/2018</w:t>
            </w:r>
          </w:p>
        </w:tc>
        <w:tc>
          <w:tcPr>
            <w:tcW w:w="894" w:type="pct"/>
            <w:tcBorders>
              <w:top w:val="nil"/>
              <w:left w:val="nil"/>
              <w:bottom w:val="single" w:sz="4" w:space="0" w:color="auto"/>
              <w:right w:val="nil"/>
            </w:tcBorders>
            <w:shd w:val="clear" w:color="auto" w:fill="auto"/>
            <w:vAlign w:val="bottom"/>
            <w:hideMark/>
          </w:tcPr>
          <w:p w14:paraId="082CB2B6" w14:textId="77777777" w:rsidR="00A75530" w:rsidRPr="00915C40" w:rsidRDefault="00A75530" w:rsidP="00A75530">
            <w:pPr>
              <w:keepNext/>
              <w:keepLines/>
              <w:jc w:val="center"/>
              <w:rPr>
                <w:rFonts w:eastAsia="Times New Roman"/>
                <w:b/>
                <w:bCs/>
                <w:sz w:val="18"/>
                <w:szCs w:val="18"/>
              </w:rPr>
            </w:pPr>
            <w:r>
              <w:rPr>
                <w:rFonts w:eastAsia="Times New Roman"/>
                <w:b/>
                <w:bCs/>
                <w:sz w:val="18"/>
                <w:szCs w:val="18"/>
              </w:rPr>
              <w:t>31/12/2017</w:t>
            </w:r>
          </w:p>
        </w:tc>
      </w:tr>
      <w:tr w:rsidR="00C87167" w:rsidRPr="0044257D" w14:paraId="3CE554C7" w14:textId="77777777" w:rsidTr="0071126B">
        <w:trPr>
          <w:trHeight w:val="255"/>
          <w:jc w:val="center"/>
        </w:trPr>
        <w:tc>
          <w:tcPr>
            <w:tcW w:w="1757" w:type="pct"/>
            <w:tcBorders>
              <w:top w:val="nil"/>
              <w:left w:val="nil"/>
              <w:bottom w:val="nil"/>
              <w:right w:val="nil"/>
            </w:tcBorders>
            <w:shd w:val="clear" w:color="auto" w:fill="auto"/>
            <w:vAlign w:val="center"/>
            <w:hideMark/>
          </w:tcPr>
          <w:p w14:paraId="217CA03F" w14:textId="77777777" w:rsidR="00C87167" w:rsidRPr="0044257D" w:rsidRDefault="00C87167" w:rsidP="00C87167">
            <w:pPr>
              <w:rPr>
                <w:rFonts w:eastAsia="Times New Roman"/>
                <w:sz w:val="18"/>
                <w:szCs w:val="18"/>
              </w:rPr>
            </w:pPr>
            <w:r w:rsidRPr="0044257D">
              <w:rPr>
                <w:rFonts w:eastAsia="Times New Roman"/>
                <w:sz w:val="18"/>
                <w:szCs w:val="18"/>
              </w:rPr>
              <w:t>Débitos y parti</w:t>
            </w:r>
            <w:r>
              <w:rPr>
                <w:rFonts w:eastAsia="Times New Roman"/>
                <w:sz w:val="18"/>
                <w:szCs w:val="18"/>
              </w:rPr>
              <w:t>das a pagar</w:t>
            </w:r>
          </w:p>
        </w:tc>
        <w:tc>
          <w:tcPr>
            <w:tcW w:w="752" w:type="pct"/>
            <w:tcBorders>
              <w:top w:val="nil"/>
              <w:left w:val="nil"/>
              <w:bottom w:val="single" w:sz="4" w:space="0" w:color="auto"/>
              <w:right w:val="nil"/>
            </w:tcBorders>
            <w:shd w:val="clear" w:color="auto" w:fill="auto"/>
            <w:vAlign w:val="center"/>
          </w:tcPr>
          <w:p w14:paraId="451C43FD" w14:textId="77777777" w:rsidR="00C87167" w:rsidRDefault="00C87167" w:rsidP="00C8716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2.654,10</w:t>
            </w:r>
          </w:p>
        </w:tc>
        <w:tc>
          <w:tcPr>
            <w:tcW w:w="815" w:type="pct"/>
            <w:tcBorders>
              <w:top w:val="nil"/>
              <w:left w:val="nil"/>
              <w:bottom w:val="single" w:sz="4" w:space="0" w:color="auto"/>
              <w:right w:val="nil"/>
            </w:tcBorders>
            <w:shd w:val="clear" w:color="auto" w:fill="auto"/>
            <w:vAlign w:val="center"/>
            <w:hideMark/>
          </w:tcPr>
          <w:p w14:paraId="6869161A" w14:textId="77777777" w:rsidR="00C87167" w:rsidRDefault="00C87167" w:rsidP="00C87167">
            <w:pPr>
              <w:jc w:val="right"/>
              <w:rPr>
                <w:sz w:val="18"/>
                <w:szCs w:val="18"/>
              </w:rPr>
            </w:pPr>
            <w:r>
              <w:rPr>
                <w:sz w:val="18"/>
                <w:szCs w:val="18"/>
              </w:rPr>
              <w:t>9.360,41</w:t>
            </w:r>
          </w:p>
        </w:tc>
        <w:tc>
          <w:tcPr>
            <w:tcW w:w="782" w:type="pct"/>
            <w:tcBorders>
              <w:top w:val="nil"/>
              <w:left w:val="nil"/>
              <w:bottom w:val="single" w:sz="4" w:space="0" w:color="auto"/>
              <w:right w:val="nil"/>
            </w:tcBorders>
            <w:shd w:val="clear" w:color="auto" w:fill="auto"/>
            <w:vAlign w:val="center"/>
          </w:tcPr>
          <w:p w14:paraId="2281D171" w14:textId="77777777" w:rsidR="00C87167" w:rsidRDefault="00C87167" w:rsidP="00C87167">
            <w:pPr>
              <w:jc w:val="right"/>
              <w:rPr>
                <w:sz w:val="18"/>
                <w:szCs w:val="18"/>
              </w:rPr>
            </w:pPr>
            <w:r>
              <w:rPr>
                <w:sz w:val="18"/>
                <w:szCs w:val="18"/>
              </w:rPr>
              <w:t>6.092.037,96</w:t>
            </w:r>
          </w:p>
        </w:tc>
        <w:tc>
          <w:tcPr>
            <w:tcW w:w="894" w:type="pct"/>
            <w:tcBorders>
              <w:top w:val="nil"/>
              <w:left w:val="nil"/>
              <w:bottom w:val="single" w:sz="4" w:space="0" w:color="auto"/>
              <w:right w:val="nil"/>
            </w:tcBorders>
            <w:shd w:val="clear" w:color="auto" w:fill="auto"/>
            <w:vAlign w:val="center"/>
            <w:hideMark/>
          </w:tcPr>
          <w:p w14:paraId="694CA867" w14:textId="77777777" w:rsidR="00C87167" w:rsidRDefault="00C87167" w:rsidP="00C87167">
            <w:pPr>
              <w:jc w:val="right"/>
              <w:rPr>
                <w:sz w:val="18"/>
                <w:szCs w:val="18"/>
              </w:rPr>
            </w:pPr>
            <w:r>
              <w:rPr>
                <w:sz w:val="18"/>
                <w:szCs w:val="18"/>
              </w:rPr>
              <w:t>6.761.441,25</w:t>
            </w:r>
          </w:p>
        </w:tc>
      </w:tr>
      <w:tr w:rsidR="00C87167" w:rsidRPr="0044257D" w14:paraId="5856DEF3" w14:textId="77777777" w:rsidTr="0071126B">
        <w:trPr>
          <w:trHeight w:val="255"/>
          <w:jc w:val="center"/>
        </w:trPr>
        <w:tc>
          <w:tcPr>
            <w:tcW w:w="1757" w:type="pct"/>
            <w:tcBorders>
              <w:top w:val="single" w:sz="4" w:space="0" w:color="auto"/>
              <w:left w:val="nil"/>
              <w:bottom w:val="single" w:sz="4" w:space="0" w:color="auto"/>
              <w:right w:val="nil"/>
            </w:tcBorders>
            <w:shd w:val="clear" w:color="auto" w:fill="auto"/>
            <w:vAlign w:val="center"/>
            <w:hideMark/>
          </w:tcPr>
          <w:p w14:paraId="44F23C92" w14:textId="77777777" w:rsidR="00C87167" w:rsidRPr="0044257D" w:rsidRDefault="00C87167" w:rsidP="00C87167">
            <w:pPr>
              <w:rPr>
                <w:rFonts w:eastAsia="Times New Roman"/>
                <w:b/>
                <w:bCs/>
                <w:sz w:val="18"/>
                <w:szCs w:val="18"/>
              </w:rPr>
            </w:pPr>
            <w:r w:rsidRPr="0044257D">
              <w:rPr>
                <w:rFonts w:eastAsia="Times New Roman"/>
                <w:b/>
                <w:bCs/>
                <w:sz w:val="18"/>
                <w:szCs w:val="18"/>
              </w:rPr>
              <w:t>Total</w:t>
            </w:r>
          </w:p>
        </w:tc>
        <w:tc>
          <w:tcPr>
            <w:tcW w:w="752" w:type="pct"/>
            <w:tcBorders>
              <w:top w:val="nil"/>
              <w:left w:val="nil"/>
              <w:bottom w:val="single" w:sz="4" w:space="0" w:color="auto"/>
              <w:right w:val="nil"/>
            </w:tcBorders>
            <w:shd w:val="clear" w:color="auto" w:fill="auto"/>
            <w:vAlign w:val="center"/>
          </w:tcPr>
          <w:p w14:paraId="1C0A848F" w14:textId="77777777" w:rsidR="00C87167" w:rsidRDefault="00C87167" w:rsidP="00C87167">
            <w:pPr>
              <w:jc w:val="right"/>
              <w:rPr>
                <w:b/>
                <w:bCs/>
                <w:sz w:val="18"/>
                <w:szCs w:val="18"/>
              </w:rPr>
            </w:pPr>
            <w:r>
              <w:rPr>
                <w:b/>
                <w:bCs/>
                <w:sz w:val="18"/>
                <w:szCs w:val="18"/>
              </w:rPr>
              <w:t>2.654,10</w:t>
            </w:r>
          </w:p>
        </w:tc>
        <w:tc>
          <w:tcPr>
            <w:tcW w:w="815" w:type="pct"/>
            <w:tcBorders>
              <w:top w:val="nil"/>
              <w:left w:val="nil"/>
              <w:bottom w:val="single" w:sz="4" w:space="0" w:color="auto"/>
              <w:right w:val="nil"/>
            </w:tcBorders>
            <w:shd w:val="clear" w:color="auto" w:fill="auto"/>
            <w:vAlign w:val="center"/>
            <w:hideMark/>
          </w:tcPr>
          <w:p w14:paraId="5A8C1B6B" w14:textId="77777777" w:rsidR="00C87167" w:rsidRDefault="00C87167" w:rsidP="00C87167">
            <w:pPr>
              <w:jc w:val="right"/>
              <w:rPr>
                <w:b/>
                <w:bCs/>
                <w:sz w:val="18"/>
                <w:szCs w:val="18"/>
              </w:rPr>
            </w:pPr>
            <w:r>
              <w:rPr>
                <w:b/>
                <w:bCs/>
                <w:sz w:val="18"/>
                <w:szCs w:val="18"/>
              </w:rPr>
              <w:t>9.360,41</w:t>
            </w:r>
          </w:p>
        </w:tc>
        <w:tc>
          <w:tcPr>
            <w:tcW w:w="782" w:type="pct"/>
            <w:tcBorders>
              <w:top w:val="nil"/>
              <w:left w:val="nil"/>
              <w:bottom w:val="single" w:sz="4" w:space="0" w:color="auto"/>
              <w:right w:val="nil"/>
            </w:tcBorders>
            <w:shd w:val="clear" w:color="auto" w:fill="auto"/>
            <w:vAlign w:val="center"/>
          </w:tcPr>
          <w:p w14:paraId="4C04BDEC" w14:textId="77777777" w:rsidR="00C87167" w:rsidRDefault="00C87167" w:rsidP="00C87167">
            <w:pPr>
              <w:jc w:val="right"/>
              <w:rPr>
                <w:b/>
                <w:bCs/>
                <w:sz w:val="18"/>
                <w:szCs w:val="18"/>
              </w:rPr>
            </w:pPr>
            <w:r>
              <w:rPr>
                <w:b/>
                <w:bCs/>
                <w:sz w:val="18"/>
                <w:szCs w:val="18"/>
              </w:rPr>
              <w:t>6.092.037,96</w:t>
            </w:r>
          </w:p>
        </w:tc>
        <w:tc>
          <w:tcPr>
            <w:tcW w:w="894" w:type="pct"/>
            <w:tcBorders>
              <w:top w:val="nil"/>
              <w:left w:val="nil"/>
              <w:bottom w:val="single" w:sz="4" w:space="0" w:color="auto"/>
              <w:right w:val="nil"/>
            </w:tcBorders>
            <w:shd w:val="clear" w:color="auto" w:fill="auto"/>
            <w:vAlign w:val="center"/>
            <w:hideMark/>
          </w:tcPr>
          <w:p w14:paraId="6CF6EFB5" w14:textId="77777777" w:rsidR="00C87167" w:rsidRDefault="00C87167" w:rsidP="00C87167">
            <w:pPr>
              <w:jc w:val="right"/>
              <w:rPr>
                <w:b/>
                <w:bCs/>
                <w:sz w:val="18"/>
                <w:szCs w:val="18"/>
              </w:rPr>
            </w:pPr>
            <w:r>
              <w:rPr>
                <w:b/>
                <w:bCs/>
                <w:sz w:val="18"/>
                <w:szCs w:val="18"/>
              </w:rPr>
              <w:t>6.761.441,25</w:t>
            </w:r>
          </w:p>
        </w:tc>
      </w:tr>
    </w:tbl>
    <w:p w14:paraId="17B3F535" w14:textId="77777777" w:rsidR="006220A2" w:rsidRPr="00E0533C" w:rsidRDefault="006220A2" w:rsidP="00345D0E">
      <w:pPr>
        <w:keepNext/>
        <w:keepLines/>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200"/>
        <w:ind w:left="0" w:firstLine="0"/>
        <w:outlineLvl w:val="9"/>
        <w:rPr>
          <w:i/>
          <w:sz w:val="20"/>
          <w:szCs w:val="22"/>
        </w:rPr>
      </w:pPr>
      <w:r w:rsidRPr="004A0607">
        <w:rPr>
          <w:i/>
          <w:sz w:val="20"/>
          <w:szCs w:val="22"/>
          <w:u w:val="single"/>
        </w:rPr>
        <w:t>Débitos y partidas a pagar</w:t>
      </w:r>
    </w:p>
    <w:p w14:paraId="6DD2BF6D" w14:textId="77777777" w:rsidR="006220A2" w:rsidRDefault="006220A2" w:rsidP="00345D0E">
      <w:pPr>
        <w:keepNext/>
        <w:keepLines/>
        <w:widowControl w:val="0"/>
        <w:spacing w:before="120" w:after="120"/>
        <w:jc w:val="both"/>
        <w:rPr>
          <w:sz w:val="20"/>
        </w:rPr>
      </w:pPr>
      <w:r>
        <w:rPr>
          <w:sz w:val="20"/>
        </w:rPr>
        <w:t>Su</w:t>
      </w:r>
      <w:r w:rsidRPr="00956F04">
        <w:rPr>
          <w:sz w:val="20"/>
        </w:rPr>
        <w:t xml:space="preserve"> detalle </w:t>
      </w:r>
      <w:r w:rsidR="0063457A">
        <w:rPr>
          <w:sz w:val="20"/>
        </w:rPr>
        <w:t>a 31 de diciembre de 2018 y 2017</w:t>
      </w:r>
      <w:r>
        <w:rPr>
          <w:sz w:val="20"/>
        </w:rPr>
        <w:t xml:space="preserve"> se indica a continuación:</w:t>
      </w:r>
    </w:p>
    <w:tbl>
      <w:tblPr>
        <w:tblW w:w="6804" w:type="dxa"/>
        <w:jc w:val="center"/>
        <w:tblCellMar>
          <w:left w:w="70" w:type="dxa"/>
          <w:right w:w="70" w:type="dxa"/>
        </w:tblCellMar>
        <w:tblLook w:val="04A0" w:firstRow="1" w:lastRow="0" w:firstColumn="1" w:lastColumn="0" w:noHBand="0" w:noVBand="1"/>
      </w:tblPr>
      <w:tblGrid>
        <w:gridCol w:w="4100"/>
        <w:gridCol w:w="1352"/>
        <w:gridCol w:w="1352"/>
      </w:tblGrid>
      <w:tr w:rsidR="003245BF" w:rsidRPr="0063457A" w14:paraId="5527E5AC" w14:textId="77777777" w:rsidTr="003245BF">
        <w:trPr>
          <w:trHeight w:val="227"/>
          <w:jc w:val="center"/>
        </w:trPr>
        <w:tc>
          <w:tcPr>
            <w:tcW w:w="0" w:type="auto"/>
            <w:tcBorders>
              <w:top w:val="single" w:sz="4" w:space="0" w:color="auto"/>
              <w:left w:val="nil"/>
              <w:right w:val="nil"/>
            </w:tcBorders>
            <w:shd w:val="clear" w:color="auto" w:fill="auto"/>
            <w:noWrap/>
            <w:vAlign w:val="center"/>
          </w:tcPr>
          <w:p w14:paraId="4906BC3F" w14:textId="77777777" w:rsidR="003245BF" w:rsidRPr="0063457A" w:rsidRDefault="003245BF" w:rsidP="00345D0E">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0" w:type="auto"/>
            <w:gridSpan w:val="2"/>
            <w:tcBorders>
              <w:top w:val="single" w:sz="4" w:space="0" w:color="auto"/>
              <w:left w:val="nil"/>
              <w:bottom w:val="single" w:sz="4" w:space="0" w:color="auto"/>
              <w:right w:val="nil"/>
            </w:tcBorders>
            <w:shd w:val="clear" w:color="auto" w:fill="auto"/>
            <w:noWrap/>
            <w:vAlign w:val="bottom"/>
          </w:tcPr>
          <w:p w14:paraId="22709C46" w14:textId="77777777" w:rsidR="003245BF" w:rsidRPr="0063457A" w:rsidRDefault="003245BF" w:rsidP="00345D0E">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Pr>
                <w:rFonts w:eastAsia="Times New Roman"/>
                <w:b/>
                <w:bCs/>
                <w:sz w:val="18"/>
                <w:szCs w:val="18"/>
                <w:bdr w:val="none" w:sz="0" w:space="0" w:color="auto"/>
                <w:lang w:eastAsia="es-ES"/>
              </w:rPr>
              <w:t>Euros</w:t>
            </w:r>
          </w:p>
        </w:tc>
      </w:tr>
      <w:tr w:rsidR="00A75530" w:rsidRPr="0063457A" w14:paraId="08492E06" w14:textId="77777777" w:rsidTr="003245BF">
        <w:trPr>
          <w:trHeight w:val="227"/>
          <w:jc w:val="center"/>
        </w:trPr>
        <w:tc>
          <w:tcPr>
            <w:tcW w:w="0" w:type="auto"/>
            <w:tcBorders>
              <w:left w:val="nil"/>
              <w:bottom w:val="single" w:sz="4" w:space="0" w:color="auto"/>
              <w:right w:val="nil"/>
            </w:tcBorders>
            <w:shd w:val="clear" w:color="auto" w:fill="auto"/>
            <w:noWrap/>
            <w:vAlign w:val="center"/>
            <w:hideMark/>
          </w:tcPr>
          <w:p w14:paraId="76A2D2D2" w14:textId="77777777" w:rsidR="00A75530" w:rsidRPr="0063457A" w:rsidRDefault="00A75530" w:rsidP="00A75530">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63457A">
              <w:rPr>
                <w:rFonts w:eastAsia="Times New Roman"/>
                <w:sz w:val="18"/>
                <w:szCs w:val="18"/>
                <w:bdr w:val="none" w:sz="0" w:space="0" w:color="auto"/>
                <w:lang w:eastAsia="es-ES"/>
              </w:rPr>
              <w:t> </w:t>
            </w:r>
          </w:p>
        </w:tc>
        <w:tc>
          <w:tcPr>
            <w:tcW w:w="0" w:type="auto"/>
            <w:tcBorders>
              <w:top w:val="single" w:sz="4" w:space="0" w:color="auto"/>
              <w:left w:val="nil"/>
              <w:bottom w:val="single" w:sz="4" w:space="0" w:color="auto"/>
              <w:right w:val="nil"/>
            </w:tcBorders>
            <w:shd w:val="clear" w:color="auto" w:fill="auto"/>
            <w:noWrap/>
            <w:vAlign w:val="bottom"/>
            <w:hideMark/>
          </w:tcPr>
          <w:p w14:paraId="5F7EAC3C" w14:textId="77777777" w:rsidR="00A75530" w:rsidRPr="00915C40" w:rsidRDefault="00A75530" w:rsidP="00A75530">
            <w:pPr>
              <w:keepNext/>
              <w:keepLines/>
              <w:jc w:val="center"/>
              <w:rPr>
                <w:rFonts w:eastAsia="Times New Roman"/>
                <w:b/>
                <w:bCs/>
                <w:sz w:val="18"/>
                <w:szCs w:val="18"/>
              </w:rPr>
            </w:pPr>
            <w:r>
              <w:rPr>
                <w:rFonts w:eastAsia="Times New Roman"/>
                <w:b/>
                <w:bCs/>
                <w:sz w:val="18"/>
                <w:szCs w:val="18"/>
              </w:rPr>
              <w:t>31/12/2018</w:t>
            </w:r>
          </w:p>
        </w:tc>
        <w:tc>
          <w:tcPr>
            <w:tcW w:w="0" w:type="auto"/>
            <w:tcBorders>
              <w:top w:val="single" w:sz="4" w:space="0" w:color="auto"/>
              <w:left w:val="nil"/>
              <w:bottom w:val="single" w:sz="4" w:space="0" w:color="auto"/>
              <w:right w:val="nil"/>
            </w:tcBorders>
            <w:shd w:val="clear" w:color="auto" w:fill="auto"/>
            <w:noWrap/>
            <w:vAlign w:val="bottom"/>
            <w:hideMark/>
          </w:tcPr>
          <w:p w14:paraId="19A27402" w14:textId="77777777" w:rsidR="00A75530" w:rsidRPr="00915C40" w:rsidRDefault="00A75530" w:rsidP="00A75530">
            <w:pPr>
              <w:keepNext/>
              <w:keepLines/>
              <w:jc w:val="center"/>
              <w:rPr>
                <w:rFonts w:eastAsia="Times New Roman"/>
                <w:b/>
                <w:bCs/>
                <w:sz w:val="18"/>
                <w:szCs w:val="18"/>
              </w:rPr>
            </w:pPr>
            <w:r>
              <w:rPr>
                <w:rFonts w:eastAsia="Times New Roman"/>
                <w:b/>
                <w:bCs/>
                <w:sz w:val="18"/>
                <w:szCs w:val="18"/>
              </w:rPr>
              <w:t>31/12/2017</w:t>
            </w:r>
          </w:p>
        </w:tc>
      </w:tr>
      <w:tr w:rsidR="0063457A" w:rsidRPr="0063457A" w14:paraId="3669FE7E" w14:textId="77777777" w:rsidTr="003245BF">
        <w:trPr>
          <w:trHeight w:val="238"/>
          <w:jc w:val="center"/>
        </w:trPr>
        <w:tc>
          <w:tcPr>
            <w:tcW w:w="0" w:type="auto"/>
            <w:tcBorders>
              <w:top w:val="nil"/>
              <w:left w:val="nil"/>
              <w:bottom w:val="nil"/>
              <w:right w:val="nil"/>
            </w:tcBorders>
            <w:shd w:val="clear" w:color="auto" w:fill="auto"/>
            <w:noWrap/>
            <w:vAlign w:val="center"/>
            <w:hideMark/>
          </w:tcPr>
          <w:p w14:paraId="7A773F9E" w14:textId="77777777" w:rsidR="0063457A" w:rsidRPr="0063457A" w:rsidRDefault="0063457A" w:rsidP="00345D0E">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63457A">
              <w:rPr>
                <w:rFonts w:eastAsia="Times New Roman"/>
                <w:b/>
                <w:bCs/>
                <w:sz w:val="18"/>
                <w:szCs w:val="18"/>
                <w:bdr w:val="none" w:sz="0" w:space="0" w:color="auto"/>
                <w:lang w:eastAsia="es-ES"/>
              </w:rPr>
              <w:t>Débitos y partidas a pagar a corto plazo:</w:t>
            </w:r>
          </w:p>
        </w:tc>
        <w:tc>
          <w:tcPr>
            <w:tcW w:w="0" w:type="auto"/>
            <w:tcBorders>
              <w:top w:val="nil"/>
              <w:left w:val="nil"/>
              <w:bottom w:val="nil"/>
              <w:right w:val="nil"/>
            </w:tcBorders>
            <w:shd w:val="clear" w:color="auto" w:fill="auto"/>
            <w:noWrap/>
            <w:vAlign w:val="center"/>
            <w:hideMark/>
          </w:tcPr>
          <w:p w14:paraId="4BD08D61" w14:textId="77777777" w:rsidR="0063457A" w:rsidRPr="0063457A" w:rsidRDefault="0063457A" w:rsidP="00345D0E">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0" w:type="auto"/>
            <w:tcBorders>
              <w:top w:val="nil"/>
              <w:left w:val="nil"/>
              <w:bottom w:val="nil"/>
              <w:right w:val="nil"/>
            </w:tcBorders>
            <w:shd w:val="clear" w:color="auto" w:fill="auto"/>
            <w:noWrap/>
            <w:vAlign w:val="center"/>
            <w:hideMark/>
          </w:tcPr>
          <w:p w14:paraId="1ACC9B2E" w14:textId="77777777" w:rsidR="0063457A" w:rsidRPr="0063457A" w:rsidRDefault="0063457A" w:rsidP="00345D0E">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20"/>
                <w:szCs w:val="20"/>
                <w:bdr w:val="none" w:sz="0" w:space="0" w:color="auto"/>
                <w:lang w:eastAsia="es-ES"/>
              </w:rPr>
            </w:pPr>
          </w:p>
        </w:tc>
      </w:tr>
      <w:tr w:rsidR="0063457A" w:rsidRPr="0063457A" w14:paraId="343400A5" w14:textId="77777777" w:rsidTr="003245BF">
        <w:trPr>
          <w:trHeight w:val="238"/>
          <w:jc w:val="center"/>
        </w:trPr>
        <w:tc>
          <w:tcPr>
            <w:tcW w:w="0" w:type="auto"/>
            <w:tcBorders>
              <w:top w:val="nil"/>
              <w:left w:val="nil"/>
              <w:bottom w:val="nil"/>
              <w:right w:val="nil"/>
            </w:tcBorders>
            <w:shd w:val="clear" w:color="auto" w:fill="auto"/>
            <w:noWrap/>
            <w:vAlign w:val="center"/>
            <w:hideMark/>
          </w:tcPr>
          <w:p w14:paraId="1B54E5E4" w14:textId="77777777" w:rsidR="0063457A" w:rsidRPr="0063457A" w:rsidRDefault="0063457A" w:rsidP="00345D0E">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63457A">
              <w:rPr>
                <w:rFonts w:eastAsia="Times New Roman"/>
                <w:sz w:val="18"/>
                <w:szCs w:val="18"/>
                <w:bdr w:val="none" w:sz="0" w:space="0" w:color="auto"/>
                <w:lang w:eastAsia="es-ES"/>
              </w:rPr>
              <w:t>Deudas con entidades de crédito</w:t>
            </w:r>
          </w:p>
        </w:tc>
        <w:tc>
          <w:tcPr>
            <w:tcW w:w="0" w:type="auto"/>
            <w:tcBorders>
              <w:top w:val="nil"/>
              <w:left w:val="nil"/>
              <w:bottom w:val="nil"/>
              <w:right w:val="nil"/>
            </w:tcBorders>
            <w:shd w:val="clear" w:color="auto" w:fill="auto"/>
            <w:noWrap/>
            <w:vAlign w:val="center"/>
            <w:hideMark/>
          </w:tcPr>
          <w:p w14:paraId="2304258F" w14:textId="77777777" w:rsidR="0063457A" w:rsidRPr="0063457A" w:rsidRDefault="0063457A" w:rsidP="00345D0E">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63457A">
              <w:rPr>
                <w:rFonts w:eastAsia="Times New Roman"/>
                <w:sz w:val="18"/>
                <w:szCs w:val="18"/>
                <w:bdr w:val="none" w:sz="0" w:space="0" w:color="auto"/>
                <w:lang w:eastAsia="es-ES"/>
              </w:rPr>
              <w:t>2.654,10</w:t>
            </w:r>
          </w:p>
        </w:tc>
        <w:tc>
          <w:tcPr>
            <w:tcW w:w="0" w:type="auto"/>
            <w:tcBorders>
              <w:top w:val="nil"/>
              <w:left w:val="nil"/>
              <w:bottom w:val="nil"/>
              <w:right w:val="nil"/>
            </w:tcBorders>
            <w:shd w:val="clear" w:color="auto" w:fill="auto"/>
            <w:noWrap/>
            <w:vAlign w:val="center"/>
            <w:hideMark/>
          </w:tcPr>
          <w:p w14:paraId="7121AE98" w14:textId="77777777" w:rsidR="0063457A" w:rsidRPr="0063457A" w:rsidRDefault="0063457A" w:rsidP="00345D0E">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63457A">
              <w:rPr>
                <w:rFonts w:eastAsia="Times New Roman"/>
                <w:sz w:val="18"/>
                <w:szCs w:val="18"/>
                <w:bdr w:val="none" w:sz="0" w:space="0" w:color="auto"/>
                <w:lang w:eastAsia="es-ES"/>
              </w:rPr>
              <w:t>9.360,41</w:t>
            </w:r>
          </w:p>
        </w:tc>
      </w:tr>
      <w:tr w:rsidR="0063457A" w:rsidRPr="0063457A" w14:paraId="50D97524" w14:textId="77777777" w:rsidTr="003245BF">
        <w:trPr>
          <w:trHeight w:val="238"/>
          <w:jc w:val="center"/>
        </w:trPr>
        <w:tc>
          <w:tcPr>
            <w:tcW w:w="0" w:type="auto"/>
            <w:tcBorders>
              <w:top w:val="nil"/>
              <w:left w:val="nil"/>
              <w:bottom w:val="nil"/>
              <w:right w:val="nil"/>
            </w:tcBorders>
            <w:shd w:val="clear" w:color="auto" w:fill="auto"/>
            <w:noWrap/>
            <w:vAlign w:val="center"/>
            <w:hideMark/>
          </w:tcPr>
          <w:p w14:paraId="4A09847F" w14:textId="77777777" w:rsidR="0063457A" w:rsidRPr="0063457A" w:rsidRDefault="0063457A" w:rsidP="00345D0E">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63457A">
              <w:rPr>
                <w:rFonts w:eastAsia="Times New Roman"/>
                <w:sz w:val="18"/>
                <w:szCs w:val="18"/>
                <w:bdr w:val="none" w:sz="0" w:space="0" w:color="auto"/>
                <w:lang w:eastAsia="es-ES"/>
              </w:rPr>
              <w:t>Acreedores comerciales</w:t>
            </w:r>
          </w:p>
        </w:tc>
        <w:tc>
          <w:tcPr>
            <w:tcW w:w="0" w:type="auto"/>
            <w:tcBorders>
              <w:top w:val="nil"/>
              <w:left w:val="nil"/>
              <w:bottom w:val="nil"/>
              <w:right w:val="nil"/>
            </w:tcBorders>
            <w:shd w:val="clear" w:color="auto" w:fill="auto"/>
            <w:noWrap/>
            <w:vAlign w:val="center"/>
            <w:hideMark/>
          </w:tcPr>
          <w:p w14:paraId="6A2CCBB5" w14:textId="77777777" w:rsidR="0063457A" w:rsidRPr="0063457A" w:rsidRDefault="0063457A" w:rsidP="00345D0E">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63457A">
              <w:rPr>
                <w:rFonts w:eastAsia="Times New Roman"/>
                <w:sz w:val="18"/>
                <w:szCs w:val="18"/>
                <w:bdr w:val="none" w:sz="0" w:space="0" w:color="auto"/>
                <w:lang w:eastAsia="es-ES"/>
              </w:rPr>
              <w:t>6.014.500,35</w:t>
            </w:r>
          </w:p>
        </w:tc>
        <w:tc>
          <w:tcPr>
            <w:tcW w:w="0" w:type="auto"/>
            <w:tcBorders>
              <w:top w:val="nil"/>
              <w:left w:val="nil"/>
              <w:bottom w:val="nil"/>
              <w:right w:val="nil"/>
            </w:tcBorders>
            <w:shd w:val="clear" w:color="auto" w:fill="auto"/>
            <w:noWrap/>
            <w:vAlign w:val="center"/>
            <w:hideMark/>
          </w:tcPr>
          <w:p w14:paraId="538FDB35" w14:textId="77777777" w:rsidR="0063457A" w:rsidRPr="0063457A" w:rsidRDefault="0063457A" w:rsidP="00345D0E">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63457A">
              <w:rPr>
                <w:rFonts w:eastAsia="Times New Roman"/>
                <w:sz w:val="18"/>
                <w:szCs w:val="18"/>
                <w:bdr w:val="none" w:sz="0" w:space="0" w:color="auto"/>
                <w:lang w:eastAsia="es-ES"/>
              </w:rPr>
              <w:t>6.672.272,13</w:t>
            </w:r>
          </w:p>
        </w:tc>
      </w:tr>
      <w:tr w:rsidR="0063457A" w:rsidRPr="0063457A" w14:paraId="7CD63892" w14:textId="77777777" w:rsidTr="00C93969">
        <w:trPr>
          <w:trHeight w:val="238"/>
          <w:jc w:val="center"/>
        </w:trPr>
        <w:tc>
          <w:tcPr>
            <w:tcW w:w="0" w:type="auto"/>
            <w:tcBorders>
              <w:top w:val="nil"/>
              <w:left w:val="nil"/>
              <w:bottom w:val="nil"/>
              <w:right w:val="nil"/>
            </w:tcBorders>
            <w:shd w:val="clear" w:color="auto" w:fill="auto"/>
            <w:noWrap/>
            <w:vAlign w:val="center"/>
            <w:hideMark/>
          </w:tcPr>
          <w:p w14:paraId="416FCDB4" w14:textId="77777777" w:rsidR="0063457A" w:rsidRPr="0063457A" w:rsidRDefault="0063457A" w:rsidP="00345D0E">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63457A">
              <w:rPr>
                <w:rFonts w:eastAsia="Times New Roman"/>
                <w:sz w:val="18"/>
                <w:szCs w:val="18"/>
                <w:bdr w:val="none" w:sz="0" w:space="0" w:color="auto"/>
                <w:lang w:eastAsia="es-ES"/>
              </w:rPr>
              <w:t>Fianzas</w:t>
            </w:r>
          </w:p>
        </w:tc>
        <w:tc>
          <w:tcPr>
            <w:tcW w:w="0" w:type="auto"/>
            <w:tcBorders>
              <w:top w:val="nil"/>
              <w:left w:val="nil"/>
              <w:bottom w:val="nil"/>
              <w:right w:val="nil"/>
            </w:tcBorders>
            <w:shd w:val="clear" w:color="auto" w:fill="auto"/>
            <w:noWrap/>
            <w:vAlign w:val="center"/>
            <w:hideMark/>
          </w:tcPr>
          <w:p w14:paraId="7933543E" w14:textId="77777777" w:rsidR="0063457A" w:rsidRPr="0063457A" w:rsidRDefault="00C93969" w:rsidP="00C9396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rFonts w:eastAsia="Times New Roman"/>
                <w:sz w:val="18"/>
                <w:szCs w:val="18"/>
                <w:bdr w:val="none" w:sz="0" w:space="0" w:color="auto"/>
                <w:lang w:eastAsia="es-ES"/>
              </w:rPr>
              <w:t>-</w:t>
            </w:r>
          </w:p>
        </w:tc>
        <w:tc>
          <w:tcPr>
            <w:tcW w:w="0" w:type="auto"/>
            <w:tcBorders>
              <w:top w:val="nil"/>
              <w:left w:val="nil"/>
              <w:bottom w:val="nil"/>
              <w:right w:val="nil"/>
            </w:tcBorders>
            <w:shd w:val="clear" w:color="auto" w:fill="auto"/>
            <w:noWrap/>
            <w:vAlign w:val="center"/>
            <w:hideMark/>
          </w:tcPr>
          <w:p w14:paraId="4133D745" w14:textId="77777777" w:rsidR="0063457A" w:rsidRPr="0063457A" w:rsidRDefault="0063457A" w:rsidP="00345D0E">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63457A">
              <w:rPr>
                <w:rFonts w:eastAsia="Times New Roman"/>
                <w:sz w:val="18"/>
                <w:szCs w:val="18"/>
                <w:bdr w:val="none" w:sz="0" w:space="0" w:color="auto"/>
                <w:lang w:eastAsia="es-ES"/>
              </w:rPr>
              <w:t>8.792,46</w:t>
            </w:r>
          </w:p>
        </w:tc>
      </w:tr>
      <w:tr w:rsidR="0063457A" w:rsidRPr="0063457A" w14:paraId="46B991E7" w14:textId="77777777" w:rsidTr="003245BF">
        <w:trPr>
          <w:trHeight w:val="238"/>
          <w:jc w:val="center"/>
        </w:trPr>
        <w:tc>
          <w:tcPr>
            <w:tcW w:w="0" w:type="auto"/>
            <w:tcBorders>
              <w:top w:val="nil"/>
              <w:left w:val="nil"/>
              <w:bottom w:val="nil"/>
              <w:right w:val="nil"/>
            </w:tcBorders>
            <w:shd w:val="clear" w:color="auto" w:fill="auto"/>
            <w:noWrap/>
            <w:vAlign w:val="center"/>
            <w:hideMark/>
          </w:tcPr>
          <w:p w14:paraId="41453652" w14:textId="77777777" w:rsidR="0063457A" w:rsidRPr="0063457A" w:rsidRDefault="0063457A" w:rsidP="00345D0E">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63457A">
              <w:rPr>
                <w:rFonts w:eastAsia="Times New Roman"/>
                <w:sz w:val="18"/>
                <w:szCs w:val="18"/>
                <w:bdr w:val="none" w:sz="0" w:space="0" w:color="auto"/>
                <w:lang w:eastAsia="es-ES"/>
              </w:rPr>
              <w:t>Personal</w:t>
            </w:r>
          </w:p>
        </w:tc>
        <w:tc>
          <w:tcPr>
            <w:tcW w:w="0" w:type="auto"/>
            <w:tcBorders>
              <w:top w:val="nil"/>
              <w:left w:val="nil"/>
              <w:bottom w:val="nil"/>
              <w:right w:val="nil"/>
            </w:tcBorders>
            <w:shd w:val="clear" w:color="auto" w:fill="auto"/>
            <w:noWrap/>
            <w:vAlign w:val="center"/>
            <w:hideMark/>
          </w:tcPr>
          <w:p w14:paraId="1741B63E" w14:textId="77777777" w:rsidR="0063457A" w:rsidRPr="0063457A" w:rsidRDefault="0063457A" w:rsidP="00345D0E">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63457A">
              <w:rPr>
                <w:rFonts w:eastAsia="Times New Roman"/>
                <w:sz w:val="18"/>
                <w:szCs w:val="18"/>
                <w:bdr w:val="none" w:sz="0" w:space="0" w:color="auto"/>
                <w:lang w:eastAsia="es-ES"/>
              </w:rPr>
              <w:t>77</w:t>
            </w:r>
            <w:r w:rsidR="003245BF">
              <w:rPr>
                <w:rFonts w:eastAsia="Times New Roman"/>
                <w:sz w:val="18"/>
                <w:szCs w:val="18"/>
                <w:bdr w:val="none" w:sz="0" w:space="0" w:color="auto"/>
                <w:lang w:eastAsia="es-ES"/>
              </w:rPr>
              <w:t>.</w:t>
            </w:r>
            <w:r w:rsidRPr="0063457A">
              <w:rPr>
                <w:rFonts w:eastAsia="Times New Roman"/>
                <w:sz w:val="18"/>
                <w:szCs w:val="18"/>
                <w:bdr w:val="none" w:sz="0" w:space="0" w:color="auto"/>
                <w:lang w:eastAsia="es-ES"/>
              </w:rPr>
              <w:t>537,61</w:t>
            </w:r>
          </w:p>
        </w:tc>
        <w:tc>
          <w:tcPr>
            <w:tcW w:w="0" w:type="auto"/>
            <w:tcBorders>
              <w:top w:val="nil"/>
              <w:left w:val="nil"/>
              <w:bottom w:val="nil"/>
              <w:right w:val="nil"/>
            </w:tcBorders>
            <w:shd w:val="clear" w:color="auto" w:fill="auto"/>
            <w:noWrap/>
            <w:vAlign w:val="center"/>
            <w:hideMark/>
          </w:tcPr>
          <w:p w14:paraId="4EF922D1" w14:textId="77777777" w:rsidR="0063457A" w:rsidRPr="0063457A" w:rsidRDefault="0063457A" w:rsidP="00345D0E">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63457A">
              <w:rPr>
                <w:rFonts w:eastAsia="Times New Roman"/>
                <w:sz w:val="18"/>
                <w:szCs w:val="18"/>
                <w:bdr w:val="none" w:sz="0" w:space="0" w:color="auto"/>
                <w:lang w:eastAsia="es-ES"/>
              </w:rPr>
              <w:t>80.376,66</w:t>
            </w:r>
          </w:p>
        </w:tc>
      </w:tr>
      <w:tr w:rsidR="0063457A" w:rsidRPr="0063457A" w14:paraId="2EE4A97E" w14:textId="77777777" w:rsidTr="003245BF">
        <w:trPr>
          <w:trHeight w:val="238"/>
          <w:jc w:val="center"/>
        </w:trPr>
        <w:tc>
          <w:tcPr>
            <w:tcW w:w="0" w:type="auto"/>
            <w:tcBorders>
              <w:top w:val="single" w:sz="4" w:space="0" w:color="auto"/>
              <w:left w:val="nil"/>
              <w:bottom w:val="single" w:sz="4" w:space="0" w:color="auto"/>
              <w:right w:val="nil"/>
            </w:tcBorders>
            <w:shd w:val="clear" w:color="auto" w:fill="auto"/>
            <w:noWrap/>
            <w:vAlign w:val="center"/>
            <w:hideMark/>
          </w:tcPr>
          <w:p w14:paraId="581F2CEC" w14:textId="77777777" w:rsidR="0063457A" w:rsidRPr="0063457A" w:rsidRDefault="0063457A" w:rsidP="0063457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63457A">
              <w:rPr>
                <w:rFonts w:eastAsia="Times New Roman"/>
                <w:b/>
                <w:bCs/>
                <w:sz w:val="18"/>
                <w:szCs w:val="18"/>
                <w:bdr w:val="none" w:sz="0" w:space="0" w:color="auto"/>
                <w:lang w:eastAsia="es-ES"/>
              </w:rPr>
              <w:t>Total</w:t>
            </w:r>
          </w:p>
        </w:tc>
        <w:tc>
          <w:tcPr>
            <w:tcW w:w="0" w:type="auto"/>
            <w:tcBorders>
              <w:top w:val="single" w:sz="4" w:space="0" w:color="auto"/>
              <w:left w:val="nil"/>
              <w:bottom w:val="single" w:sz="4" w:space="0" w:color="auto"/>
              <w:right w:val="nil"/>
            </w:tcBorders>
            <w:shd w:val="clear" w:color="auto" w:fill="auto"/>
            <w:noWrap/>
            <w:vAlign w:val="center"/>
            <w:hideMark/>
          </w:tcPr>
          <w:p w14:paraId="3F0B4A0D" w14:textId="77777777" w:rsidR="0063457A" w:rsidRPr="0063457A" w:rsidRDefault="0063457A" w:rsidP="0063457A">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63457A">
              <w:rPr>
                <w:rFonts w:eastAsia="Times New Roman"/>
                <w:b/>
                <w:bCs/>
                <w:sz w:val="18"/>
                <w:szCs w:val="18"/>
                <w:bdr w:val="none" w:sz="0" w:space="0" w:color="auto"/>
                <w:lang w:eastAsia="es-ES"/>
              </w:rPr>
              <w:t>6.094.692,06</w:t>
            </w:r>
          </w:p>
        </w:tc>
        <w:tc>
          <w:tcPr>
            <w:tcW w:w="0" w:type="auto"/>
            <w:tcBorders>
              <w:top w:val="single" w:sz="4" w:space="0" w:color="auto"/>
              <w:left w:val="nil"/>
              <w:bottom w:val="single" w:sz="4" w:space="0" w:color="auto"/>
              <w:right w:val="nil"/>
            </w:tcBorders>
            <w:shd w:val="clear" w:color="auto" w:fill="auto"/>
            <w:noWrap/>
            <w:vAlign w:val="center"/>
            <w:hideMark/>
          </w:tcPr>
          <w:p w14:paraId="2F24B947" w14:textId="77777777" w:rsidR="0063457A" w:rsidRPr="0063457A" w:rsidRDefault="0063457A" w:rsidP="0063457A">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63457A">
              <w:rPr>
                <w:rFonts w:eastAsia="Times New Roman"/>
                <w:b/>
                <w:bCs/>
                <w:sz w:val="18"/>
                <w:szCs w:val="18"/>
                <w:bdr w:val="none" w:sz="0" w:space="0" w:color="auto"/>
                <w:lang w:eastAsia="es-ES"/>
              </w:rPr>
              <w:t>6.770.801,66</w:t>
            </w:r>
          </w:p>
        </w:tc>
      </w:tr>
    </w:tbl>
    <w:p w14:paraId="1547124E" w14:textId="77777777" w:rsidR="006220A2" w:rsidRPr="00AB4061" w:rsidRDefault="006220A2" w:rsidP="006220A2">
      <w:pPr>
        <w:widowControl w:val="0"/>
        <w:spacing w:before="200"/>
        <w:jc w:val="both"/>
        <w:rPr>
          <w:spacing w:val="-1"/>
          <w:sz w:val="20"/>
          <w:szCs w:val="22"/>
        </w:rPr>
      </w:pPr>
      <w:r w:rsidRPr="00AB4061">
        <w:rPr>
          <w:spacing w:val="-1"/>
          <w:sz w:val="20"/>
          <w:szCs w:val="22"/>
        </w:rPr>
        <w:t xml:space="preserve">El valor contable de las deudas a corto plazo se aproxima a su valor razonable, dado que el efecto del descuento no es significativo. </w:t>
      </w:r>
    </w:p>
    <w:p w14:paraId="6295F168" w14:textId="77777777" w:rsidR="006220A2" w:rsidRPr="000734A2" w:rsidRDefault="006220A2" w:rsidP="006220A2">
      <w:pPr>
        <w:widowControl w:val="0"/>
        <w:spacing w:before="120"/>
        <w:jc w:val="both"/>
        <w:rPr>
          <w:spacing w:val="-1"/>
          <w:sz w:val="20"/>
          <w:szCs w:val="22"/>
        </w:rPr>
      </w:pPr>
      <w:r w:rsidRPr="00AB4061">
        <w:rPr>
          <w:spacing w:val="-1"/>
          <w:sz w:val="20"/>
          <w:szCs w:val="22"/>
        </w:rPr>
        <w:t>El importe reflejado en el epígrafe de deudas con entidades de crédito recoge el importe de las Visas pendientes de pago a 31 de diciembre de 201</w:t>
      </w:r>
      <w:r w:rsidR="00AB4061" w:rsidRPr="00AB4061">
        <w:rPr>
          <w:spacing w:val="-1"/>
          <w:sz w:val="20"/>
          <w:szCs w:val="22"/>
        </w:rPr>
        <w:t>8</w:t>
      </w:r>
      <w:r w:rsidRPr="00AB4061">
        <w:rPr>
          <w:spacing w:val="-1"/>
          <w:sz w:val="20"/>
          <w:szCs w:val="22"/>
        </w:rPr>
        <w:t>.</w:t>
      </w:r>
    </w:p>
    <w:p w14:paraId="2D5B1007" w14:textId="77777777" w:rsidR="006220A2" w:rsidRPr="00AB4061" w:rsidRDefault="006220A2" w:rsidP="00AB4061">
      <w:pPr>
        <w:pStyle w:val="Ttulo5"/>
        <w:keepNext w:val="0"/>
        <w:tabs>
          <w:tab w:val="left" w:pos="284"/>
        </w:tabs>
        <w:spacing w:before="200"/>
        <w:rPr>
          <w:rFonts w:ascii="Arial" w:hAnsi="Arial" w:cs="Arial"/>
          <w:b/>
          <w:i/>
          <w:color w:val="auto"/>
          <w:sz w:val="20"/>
          <w:szCs w:val="22"/>
          <w:u w:val="single"/>
        </w:rPr>
      </w:pPr>
      <w:r w:rsidRPr="00AB4061">
        <w:rPr>
          <w:rFonts w:ascii="Arial" w:hAnsi="Arial" w:cs="Arial"/>
          <w:i/>
          <w:color w:val="auto"/>
          <w:sz w:val="20"/>
          <w:szCs w:val="22"/>
          <w:u w:val="single"/>
        </w:rPr>
        <w:t>Acreedores comerciales</w:t>
      </w:r>
    </w:p>
    <w:p w14:paraId="1982AFF1" w14:textId="77777777" w:rsidR="006220A2" w:rsidRPr="0012495B" w:rsidRDefault="006220A2" w:rsidP="006220A2">
      <w:pPr>
        <w:widowControl w:val="0"/>
        <w:spacing w:before="120"/>
        <w:jc w:val="both"/>
        <w:rPr>
          <w:snapToGrid w:val="0"/>
          <w:sz w:val="20"/>
          <w:szCs w:val="22"/>
        </w:rPr>
      </w:pPr>
      <w:r w:rsidRPr="000734A2">
        <w:rPr>
          <w:snapToGrid w:val="0"/>
          <w:sz w:val="20"/>
          <w:szCs w:val="22"/>
        </w:rPr>
        <w:t>La totalidad del saldo recogido en este epígrafe se debe a los saldos acreedores pendientes de pago que se desprenden de las actividad</w:t>
      </w:r>
      <w:r>
        <w:rPr>
          <w:snapToGrid w:val="0"/>
          <w:sz w:val="20"/>
          <w:szCs w:val="22"/>
        </w:rPr>
        <w:t xml:space="preserve">es comerciales de la Sociedad. </w:t>
      </w:r>
    </w:p>
    <w:p w14:paraId="45A46A65" w14:textId="77777777" w:rsidR="006220A2" w:rsidRPr="00025187" w:rsidRDefault="006220A2" w:rsidP="006220A2">
      <w:pPr>
        <w:keepNext/>
        <w:keepLines/>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200"/>
        <w:ind w:left="0" w:firstLine="0"/>
        <w:outlineLvl w:val="9"/>
        <w:rPr>
          <w:i/>
          <w:sz w:val="20"/>
          <w:szCs w:val="22"/>
          <w:u w:val="single"/>
        </w:rPr>
      </w:pPr>
      <w:r>
        <w:rPr>
          <w:i/>
          <w:sz w:val="20"/>
          <w:szCs w:val="22"/>
          <w:u w:val="single"/>
        </w:rPr>
        <w:t>Clasificación por vencimiento</w:t>
      </w:r>
    </w:p>
    <w:p w14:paraId="4F928739" w14:textId="77777777" w:rsidR="006220A2" w:rsidRDefault="006220A2" w:rsidP="006220A2">
      <w:pPr>
        <w:keepNext/>
        <w:keepLines/>
        <w:widowControl w:val="0"/>
        <w:spacing w:before="120" w:after="120"/>
        <w:jc w:val="both"/>
        <w:rPr>
          <w:sz w:val="20"/>
          <w:szCs w:val="22"/>
        </w:rPr>
      </w:pPr>
      <w:r w:rsidRPr="0039296B">
        <w:rPr>
          <w:sz w:val="20"/>
          <w:szCs w:val="22"/>
        </w:rPr>
        <w:t>Los importes de los instrumentos financieros de pasivo al cierre de 201</w:t>
      </w:r>
      <w:r w:rsidR="00241C65" w:rsidRPr="0039296B">
        <w:rPr>
          <w:sz w:val="20"/>
          <w:szCs w:val="22"/>
        </w:rPr>
        <w:t>8</w:t>
      </w:r>
      <w:r w:rsidRPr="0039296B">
        <w:rPr>
          <w:sz w:val="20"/>
          <w:szCs w:val="22"/>
        </w:rPr>
        <w:t xml:space="preserve"> son los siguientes:</w:t>
      </w:r>
    </w:p>
    <w:tbl>
      <w:tblPr>
        <w:tblW w:w="5000" w:type="pct"/>
        <w:jc w:val="center"/>
        <w:tblCellMar>
          <w:left w:w="70" w:type="dxa"/>
          <w:right w:w="70" w:type="dxa"/>
        </w:tblCellMar>
        <w:tblLook w:val="04A0" w:firstRow="1" w:lastRow="0" w:firstColumn="1" w:lastColumn="0" w:noHBand="0" w:noVBand="1"/>
      </w:tblPr>
      <w:tblGrid>
        <w:gridCol w:w="2269"/>
        <w:gridCol w:w="1092"/>
        <w:gridCol w:w="889"/>
        <w:gridCol w:w="990"/>
        <w:gridCol w:w="846"/>
        <w:gridCol w:w="626"/>
        <w:gridCol w:w="933"/>
        <w:gridCol w:w="1276"/>
      </w:tblGrid>
      <w:tr w:rsidR="006220A2" w:rsidRPr="009F505C" w14:paraId="7EA448F8" w14:textId="77777777" w:rsidTr="00AB4061">
        <w:trPr>
          <w:trHeight w:val="227"/>
          <w:jc w:val="center"/>
        </w:trPr>
        <w:tc>
          <w:tcPr>
            <w:tcW w:w="5000" w:type="pct"/>
            <w:gridSpan w:val="8"/>
            <w:tcBorders>
              <w:top w:val="single" w:sz="4" w:space="0" w:color="auto"/>
              <w:left w:val="nil"/>
              <w:bottom w:val="single" w:sz="4" w:space="0" w:color="auto"/>
              <w:right w:val="nil"/>
            </w:tcBorders>
            <w:shd w:val="clear" w:color="auto" w:fill="auto"/>
            <w:vAlign w:val="bottom"/>
            <w:hideMark/>
          </w:tcPr>
          <w:p w14:paraId="435A6A14" w14:textId="77777777" w:rsidR="006220A2" w:rsidRPr="00EE2732" w:rsidRDefault="006220A2" w:rsidP="0071126B">
            <w:pPr>
              <w:keepNext/>
              <w:keepLines/>
              <w:jc w:val="center"/>
              <w:rPr>
                <w:rFonts w:eastAsia="Times New Roman"/>
                <w:b/>
                <w:bCs/>
                <w:sz w:val="16"/>
                <w:szCs w:val="16"/>
              </w:rPr>
            </w:pPr>
            <w:r w:rsidRPr="00EE2732">
              <w:rPr>
                <w:rFonts w:eastAsia="Times New Roman"/>
                <w:b/>
                <w:bCs/>
                <w:sz w:val="16"/>
                <w:szCs w:val="16"/>
              </w:rPr>
              <w:t>PASIVOS FINANCIEROS</w:t>
            </w:r>
          </w:p>
        </w:tc>
      </w:tr>
      <w:tr w:rsidR="00AB4061" w:rsidRPr="009F505C" w14:paraId="7E6EFCB3" w14:textId="77777777" w:rsidTr="00AB4061">
        <w:trPr>
          <w:trHeight w:val="227"/>
          <w:jc w:val="center"/>
        </w:trPr>
        <w:tc>
          <w:tcPr>
            <w:tcW w:w="1272" w:type="pct"/>
            <w:tcBorders>
              <w:top w:val="nil"/>
              <w:left w:val="nil"/>
              <w:bottom w:val="single" w:sz="4" w:space="0" w:color="auto"/>
              <w:right w:val="nil"/>
            </w:tcBorders>
            <w:shd w:val="clear" w:color="auto" w:fill="auto"/>
            <w:vAlign w:val="bottom"/>
            <w:hideMark/>
          </w:tcPr>
          <w:p w14:paraId="7F904BC6" w14:textId="77777777" w:rsidR="006220A2" w:rsidRPr="009F505C" w:rsidRDefault="006220A2" w:rsidP="0071126B">
            <w:pPr>
              <w:keepNext/>
              <w:keepLines/>
              <w:rPr>
                <w:rFonts w:eastAsia="Times New Roman"/>
                <w:sz w:val="16"/>
                <w:szCs w:val="16"/>
              </w:rPr>
            </w:pPr>
            <w:r w:rsidRPr="009F505C">
              <w:rPr>
                <w:rFonts w:eastAsia="Times New Roman"/>
                <w:sz w:val="16"/>
                <w:szCs w:val="16"/>
              </w:rPr>
              <w:t> </w:t>
            </w:r>
          </w:p>
        </w:tc>
        <w:tc>
          <w:tcPr>
            <w:tcW w:w="612" w:type="pct"/>
            <w:tcBorders>
              <w:top w:val="nil"/>
              <w:left w:val="nil"/>
              <w:bottom w:val="single" w:sz="4" w:space="0" w:color="auto"/>
              <w:right w:val="nil"/>
            </w:tcBorders>
            <w:shd w:val="clear" w:color="auto" w:fill="auto"/>
            <w:vAlign w:val="bottom"/>
            <w:hideMark/>
          </w:tcPr>
          <w:p w14:paraId="5DB7EA88" w14:textId="77777777" w:rsidR="006220A2" w:rsidRPr="009F505C" w:rsidRDefault="00EE2732" w:rsidP="0071126B">
            <w:pPr>
              <w:keepNext/>
              <w:keepLines/>
              <w:jc w:val="center"/>
              <w:rPr>
                <w:rFonts w:eastAsia="Times New Roman"/>
                <w:b/>
                <w:bCs/>
                <w:sz w:val="16"/>
                <w:szCs w:val="16"/>
              </w:rPr>
            </w:pPr>
            <w:r>
              <w:rPr>
                <w:rFonts w:eastAsia="Times New Roman"/>
                <w:b/>
                <w:bCs/>
                <w:sz w:val="16"/>
                <w:szCs w:val="16"/>
              </w:rPr>
              <w:t>2019</w:t>
            </w:r>
          </w:p>
        </w:tc>
        <w:tc>
          <w:tcPr>
            <w:tcW w:w="498" w:type="pct"/>
            <w:tcBorders>
              <w:top w:val="nil"/>
              <w:left w:val="nil"/>
              <w:bottom w:val="single" w:sz="4" w:space="0" w:color="auto"/>
              <w:right w:val="nil"/>
            </w:tcBorders>
            <w:shd w:val="clear" w:color="auto" w:fill="auto"/>
            <w:vAlign w:val="bottom"/>
            <w:hideMark/>
          </w:tcPr>
          <w:p w14:paraId="73AD4A21" w14:textId="77777777" w:rsidR="006220A2" w:rsidRPr="00EE2732" w:rsidRDefault="00EE2732" w:rsidP="0071126B">
            <w:pPr>
              <w:keepNext/>
              <w:keepLines/>
              <w:jc w:val="center"/>
              <w:rPr>
                <w:rFonts w:eastAsia="Times New Roman"/>
                <w:b/>
                <w:bCs/>
                <w:sz w:val="16"/>
                <w:szCs w:val="16"/>
              </w:rPr>
            </w:pPr>
            <w:r>
              <w:rPr>
                <w:rFonts w:eastAsia="Times New Roman"/>
                <w:b/>
                <w:bCs/>
                <w:sz w:val="16"/>
                <w:szCs w:val="16"/>
              </w:rPr>
              <w:t>2020</w:t>
            </w:r>
          </w:p>
        </w:tc>
        <w:tc>
          <w:tcPr>
            <w:tcW w:w="555" w:type="pct"/>
            <w:tcBorders>
              <w:top w:val="nil"/>
              <w:left w:val="nil"/>
              <w:bottom w:val="single" w:sz="4" w:space="0" w:color="auto"/>
              <w:right w:val="nil"/>
            </w:tcBorders>
            <w:shd w:val="clear" w:color="auto" w:fill="auto"/>
            <w:vAlign w:val="bottom"/>
            <w:hideMark/>
          </w:tcPr>
          <w:p w14:paraId="5A01D550" w14:textId="77777777" w:rsidR="006220A2" w:rsidRPr="00EE2732" w:rsidRDefault="00EE2732" w:rsidP="0071126B">
            <w:pPr>
              <w:keepNext/>
              <w:keepLines/>
              <w:jc w:val="center"/>
              <w:rPr>
                <w:rFonts w:eastAsia="Times New Roman"/>
                <w:b/>
                <w:bCs/>
                <w:sz w:val="16"/>
                <w:szCs w:val="16"/>
              </w:rPr>
            </w:pPr>
            <w:r>
              <w:rPr>
                <w:rFonts w:eastAsia="Times New Roman"/>
                <w:b/>
                <w:bCs/>
                <w:sz w:val="16"/>
                <w:szCs w:val="16"/>
              </w:rPr>
              <w:t>2021</w:t>
            </w:r>
          </w:p>
        </w:tc>
        <w:tc>
          <w:tcPr>
            <w:tcW w:w="474" w:type="pct"/>
            <w:tcBorders>
              <w:top w:val="nil"/>
              <w:left w:val="nil"/>
              <w:bottom w:val="single" w:sz="4" w:space="0" w:color="auto"/>
              <w:right w:val="nil"/>
            </w:tcBorders>
            <w:shd w:val="clear" w:color="auto" w:fill="auto"/>
            <w:vAlign w:val="bottom"/>
            <w:hideMark/>
          </w:tcPr>
          <w:p w14:paraId="13614BB0" w14:textId="77777777" w:rsidR="006220A2" w:rsidRPr="009F505C" w:rsidRDefault="00EE2732" w:rsidP="0071126B">
            <w:pPr>
              <w:keepNext/>
              <w:keepLines/>
              <w:jc w:val="center"/>
              <w:rPr>
                <w:rFonts w:eastAsia="Times New Roman"/>
                <w:b/>
                <w:bCs/>
                <w:sz w:val="16"/>
                <w:szCs w:val="16"/>
              </w:rPr>
            </w:pPr>
            <w:r>
              <w:rPr>
                <w:rFonts w:eastAsia="Times New Roman"/>
                <w:b/>
                <w:bCs/>
                <w:sz w:val="16"/>
                <w:szCs w:val="16"/>
              </w:rPr>
              <w:t>2022</w:t>
            </w:r>
          </w:p>
        </w:tc>
        <w:tc>
          <w:tcPr>
            <w:tcW w:w="351" w:type="pct"/>
            <w:tcBorders>
              <w:top w:val="nil"/>
              <w:left w:val="nil"/>
              <w:bottom w:val="single" w:sz="4" w:space="0" w:color="auto"/>
              <w:right w:val="nil"/>
            </w:tcBorders>
            <w:shd w:val="clear" w:color="auto" w:fill="auto"/>
            <w:vAlign w:val="bottom"/>
            <w:hideMark/>
          </w:tcPr>
          <w:p w14:paraId="16A14873" w14:textId="77777777" w:rsidR="006220A2" w:rsidRPr="009F505C" w:rsidRDefault="00EE2732" w:rsidP="0071126B">
            <w:pPr>
              <w:keepNext/>
              <w:keepLines/>
              <w:jc w:val="center"/>
              <w:rPr>
                <w:rFonts w:eastAsia="Times New Roman"/>
                <w:b/>
                <w:bCs/>
                <w:sz w:val="16"/>
                <w:szCs w:val="16"/>
              </w:rPr>
            </w:pPr>
            <w:r>
              <w:rPr>
                <w:rFonts w:eastAsia="Times New Roman"/>
                <w:b/>
                <w:bCs/>
                <w:sz w:val="16"/>
                <w:szCs w:val="16"/>
              </w:rPr>
              <w:t>2023</w:t>
            </w:r>
          </w:p>
        </w:tc>
        <w:tc>
          <w:tcPr>
            <w:tcW w:w="523" w:type="pct"/>
            <w:tcBorders>
              <w:top w:val="nil"/>
              <w:left w:val="nil"/>
              <w:bottom w:val="single" w:sz="4" w:space="0" w:color="auto"/>
              <w:right w:val="nil"/>
            </w:tcBorders>
            <w:shd w:val="clear" w:color="auto" w:fill="auto"/>
            <w:vAlign w:val="bottom"/>
            <w:hideMark/>
          </w:tcPr>
          <w:p w14:paraId="44652F61" w14:textId="77777777" w:rsidR="006220A2" w:rsidRPr="009F505C" w:rsidRDefault="006220A2" w:rsidP="0071126B">
            <w:pPr>
              <w:keepNext/>
              <w:keepLines/>
              <w:jc w:val="center"/>
              <w:rPr>
                <w:rFonts w:eastAsia="Times New Roman"/>
                <w:b/>
                <w:bCs/>
                <w:sz w:val="16"/>
                <w:szCs w:val="16"/>
              </w:rPr>
            </w:pPr>
            <w:r w:rsidRPr="009F505C">
              <w:rPr>
                <w:rFonts w:eastAsia="Times New Roman"/>
                <w:b/>
                <w:bCs/>
                <w:sz w:val="16"/>
                <w:szCs w:val="16"/>
              </w:rPr>
              <w:t xml:space="preserve"> +5 años</w:t>
            </w:r>
          </w:p>
        </w:tc>
        <w:tc>
          <w:tcPr>
            <w:tcW w:w="715" w:type="pct"/>
            <w:tcBorders>
              <w:top w:val="nil"/>
              <w:left w:val="nil"/>
              <w:bottom w:val="single" w:sz="4" w:space="0" w:color="auto"/>
              <w:right w:val="nil"/>
            </w:tcBorders>
            <w:shd w:val="clear" w:color="auto" w:fill="auto"/>
            <w:vAlign w:val="bottom"/>
            <w:hideMark/>
          </w:tcPr>
          <w:p w14:paraId="78D780A4" w14:textId="77777777" w:rsidR="006220A2" w:rsidRPr="009F505C" w:rsidRDefault="006220A2" w:rsidP="0071126B">
            <w:pPr>
              <w:keepNext/>
              <w:keepLines/>
              <w:jc w:val="center"/>
              <w:rPr>
                <w:rFonts w:eastAsia="Times New Roman"/>
                <w:b/>
                <w:bCs/>
                <w:sz w:val="16"/>
                <w:szCs w:val="16"/>
              </w:rPr>
            </w:pPr>
            <w:r w:rsidRPr="009F505C">
              <w:rPr>
                <w:rFonts w:eastAsia="Times New Roman"/>
                <w:b/>
                <w:bCs/>
                <w:sz w:val="16"/>
                <w:szCs w:val="16"/>
              </w:rPr>
              <w:t>Total</w:t>
            </w:r>
          </w:p>
        </w:tc>
      </w:tr>
      <w:tr w:rsidR="00AB4061" w:rsidRPr="009F505C" w14:paraId="0B0D4BAC" w14:textId="77777777" w:rsidTr="00AB4061">
        <w:trPr>
          <w:trHeight w:val="255"/>
          <w:jc w:val="center"/>
        </w:trPr>
        <w:tc>
          <w:tcPr>
            <w:tcW w:w="1272" w:type="pct"/>
            <w:tcBorders>
              <w:top w:val="single" w:sz="4" w:space="0" w:color="auto"/>
              <w:left w:val="nil"/>
              <w:bottom w:val="single" w:sz="4" w:space="0" w:color="auto"/>
              <w:right w:val="nil"/>
            </w:tcBorders>
            <w:shd w:val="clear" w:color="auto" w:fill="auto"/>
            <w:vAlign w:val="center"/>
            <w:hideMark/>
          </w:tcPr>
          <w:p w14:paraId="02E1593D" w14:textId="77777777" w:rsidR="006220A2" w:rsidRPr="00EE2732" w:rsidRDefault="006220A2" w:rsidP="0071126B">
            <w:pPr>
              <w:keepNext/>
              <w:keepLines/>
              <w:rPr>
                <w:rFonts w:eastAsia="Times New Roman"/>
                <w:sz w:val="16"/>
                <w:szCs w:val="16"/>
              </w:rPr>
            </w:pPr>
            <w:r w:rsidRPr="00EE2732">
              <w:rPr>
                <w:rFonts w:eastAsia="Times New Roman"/>
                <w:sz w:val="16"/>
                <w:szCs w:val="16"/>
              </w:rPr>
              <w:t>Deudas con entidades de</w:t>
            </w:r>
          </w:p>
          <w:p w14:paraId="1A293687" w14:textId="77777777" w:rsidR="006220A2" w:rsidRPr="00EE2732" w:rsidRDefault="006220A2" w:rsidP="0071126B">
            <w:pPr>
              <w:keepNext/>
              <w:keepLines/>
              <w:rPr>
                <w:rFonts w:eastAsia="Times New Roman"/>
                <w:sz w:val="16"/>
                <w:szCs w:val="16"/>
              </w:rPr>
            </w:pPr>
            <w:r w:rsidRPr="00EE2732">
              <w:rPr>
                <w:rFonts w:eastAsia="Times New Roman"/>
                <w:sz w:val="16"/>
                <w:szCs w:val="16"/>
              </w:rPr>
              <w:t>crédito (Nota 8.2.a)</w:t>
            </w:r>
          </w:p>
        </w:tc>
        <w:tc>
          <w:tcPr>
            <w:tcW w:w="612" w:type="pct"/>
            <w:tcBorders>
              <w:top w:val="single" w:sz="4" w:space="0" w:color="auto"/>
              <w:left w:val="nil"/>
              <w:bottom w:val="single" w:sz="4" w:space="0" w:color="auto"/>
              <w:right w:val="nil"/>
            </w:tcBorders>
            <w:shd w:val="clear" w:color="auto" w:fill="auto"/>
            <w:vAlign w:val="center"/>
            <w:hideMark/>
          </w:tcPr>
          <w:p w14:paraId="3A1DA9D2" w14:textId="77777777" w:rsidR="006220A2" w:rsidRPr="009F505C" w:rsidRDefault="00EE2732" w:rsidP="0071126B">
            <w:pPr>
              <w:keepNext/>
              <w:keepLines/>
              <w:jc w:val="right"/>
              <w:rPr>
                <w:rFonts w:eastAsia="Times New Roman"/>
                <w:sz w:val="16"/>
                <w:szCs w:val="16"/>
              </w:rPr>
            </w:pPr>
            <w:r>
              <w:rPr>
                <w:rFonts w:eastAsia="Times New Roman"/>
                <w:sz w:val="16"/>
                <w:szCs w:val="16"/>
              </w:rPr>
              <w:t>2.654,10</w:t>
            </w:r>
          </w:p>
        </w:tc>
        <w:tc>
          <w:tcPr>
            <w:tcW w:w="498" w:type="pct"/>
            <w:tcBorders>
              <w:top w:val="single" w:sz="4" w:space="0" w:color="auto"/>
              <w:left w:val="nil"/>
              <w:bottom w:val="single" w:sz="4" w:space="0" w:color="auto"/>
              <w:right w:val="nil"/>
            </w:tcBorders>
            <w:shd w:val="clear" w:color="auto" w:fill="auto"/>
            <w:vAlign w:val="center"/>
            <w:hideMark/>
          </w:tcPr>
          <w:p w14:paraId="1F08A06D" w14:textId="77777777" w:rsidR="006220A2" w:rsidRPr="009F505C" w:rsidRDefault="006220A2" w:rsidP="0071126B">
            <w:pPr>
              <w:keepNext/>
              <w:keepLines/>
              <w:jc w:val="right"/>
              <w:rPr>
                <w:rFonts w:eastAsia="Times New Roman"/>
                <w:sz w:val="16"/>
                <w:szCs w:val="16"/>
              </w:rPr>
            </w:pPr>
            <w:r w:rsidRPr="009F505C">
              <w:rPr>
                <w:rFonts w:eastAsia="Times New Roman"/>
                <w:sz w:val="16"/>
                <w:szCs w:val="16"/>
              </w:rPr>
              <w:t>-</w:t>
            </w:r>
          </w:p>
        </w:tc>
        <w:tc>
          <w:tcPr>
            <w:tcW w:w="555" w:type="pct"/>
            <w:tcBorders>
              <w:top w:val="single" w:sz="4" w:space="0" w:color="auto"/>
              <w:left w:val="nil"/>
              <w:bottom w:val="single" w:sz="4" w:space="0" w:color="auto"/>
              <w:right w:val="nil"/>
            </w:tcBorders>
            <w:shd w:val="clear" w:color="auto" w:fill="auto"/>
            <w:vAlign w:val="center"/>
            <w:hideMark/>
          </w:tcPr>
          <w:p w14:paraId="28FF45D9" w14:textId="77777777" w:rsidR="006220A2" w:rsidRPr="009F505C" w:rsidRDefault="006220A2" w:rsidP="0071126B">
            <w:pPr>
              <w:keepNext/>
              <w:keepLines/>
              <w:jc w:val="right"/>
              <w:rPr>
                <w:rFonts w:eastAsia="Times New Roman"/>
                <w:sz w:val="16"/>
                <w:szCs w:val="16"/>
              </w:rPr>
            </w:pPr>
            <w:r w:rsidRPr="009F505C">
              <w:rPr>
                <w:rFonts w:eastAsia="Times New Roman"/>
                <w:sz w:val="16"/>
                <w:szCs w:val="16"/>
              </w:rPr>
              <w:t>-</w:t>
            </w:r>
          </w:p>
        </w:tc>
        <w:tc>
          <w:tcPr>
            <w:tcW w:w="474" w:type="pct"/>
            <w:tcBorders>
              <w:top w:val="single" w:sz="4" w:space="0" w:color="auto"/>
              <w:left w:val="nil"/>
              <w:bottom w:val="single" w:sz="4" w:space="0" w:color="auto"/>
              <w:right w:val="nil"/>
            </w:tcBorders>
            <w:shd w:val="clear" w:color="auto" w:fill="auto"/>
            <w:vAlign w:val="center"/>
            <w:hideMark/>
          </w:tcPr>
          <w:p w14:paraId="64275DE9" w14:textId="77777777" w:rsidR="006220A2" w:rsidRPr="009F505C" w:rsidRDefault="006220A2" w:rsidP="0071126B">
            <w:pPr>
              <w:keepNext/>
              <w:keepLines/>
              <w:jc w:val="right"/>
              <w:rPr>
                <w:rFonts w:eastAsia="Times New Roman"/>
                <w:sz w:val="16"/>
                <w:szCs w:val="16"/>
              </w:rPr>
            </w:pPr>
            <w:r w:rsidRPr="009F505C">
              <w:rPr>
                <w:rFonts w:eastAsia="Times New Roman"/>
                <w:sz w:val="16"/>
                <w:szCs w:val="16"/>
              </w:rPr>
              <w:t>-</w:t>
            </w:r>
          </w:p>
        </w:tc>
        <w:tc>
          <w:tcPr>
            <w:tcW w:w="351" w:type="pct"/>
            <w:tcBorders>
              <w:top w:val="single" w:sz="4" w:space="0" w:color="auto"/>
              <w:left w:val="nil"/>
              <w:bottom w:val="single" w:sz="4" w:space="0" w:color="auto"/>
              <w:right w:val="nil"/>
            </w:tcBorders>
            <w:shd w:val="clear" w:color="auto" w:fill="auto"/>
            <w:vAlign w:val="center"/>
            <w:hideMark/>
          </w:tcPr>
          <w:p w14:paraId="554AA9CE" w14:textId="77777777" w:rsidR="006220A2" w:rsidRPr="009F505C" w:rsidRDefault="006220A2" w:rsidP="0071126B">
            <w:pPr>
              <w:keepNext/>
              <w:keepLines/>
              <w:jc w:val="right"/>
              <w:rPr>
                <w:rFonts w:eastAsia="Times New Roman"/>
                <w:sz w:val="16"/>
                <w:szCs w:val="16"/>
              </w:rPr>
            </w:pPr>
          </w:p>
        </w:tc>
        <w:tc>
          <w:tcPr>
            <w:tcW w:w="523" w:type="pct"/>
            <w:tcBorders>
              <w:top w:val="single" w:sz="4" w:space="0" w:color="auto"/>
              <w:left w:val="nil"/>
              <w:bottom w:val="single" w:sz="4" w:space="0" w:color="auto"/>
              <w:right w:val="nil"/>
            </w:tcBorders>
            <w:shd w:val="clear" w:color="auto" w:fill="auto"/>
            <w:vAlign w:val="center"/>
            <w:hideMark/>
          </w:tcPr>
          <w:p w14:paraId="2C612ED6" w14:textId="77777777" w:rsidR="006220A2" w:rsidRPr="009F505C" w:rsidRDefault="006220A2" w:rsidP="0071126B">
            <w:pPr>
              <w:keepNext/>
              <w:keepLines/>
              <w:jc w:val="right"/>
              <w:rPr>
                <w:rFonts w:eastAsia="Times New Roman"/>
                <w:sz w:val="16"/>
                <w:szCs w:val="16"/>
              </w:rPr>
            </w:pPr>
            <w:r w:rsidRPr="009F505C">
              <w:rPr>
                <w:rFonts w:eastAsia="Times New Roman"/>
                <w:sz w:val="16"/>
                <w:szCs w:val="16"/>
              </w:rPr>
              <w:t>-</w:t>
            </w:r>
          </w:p>
        </w:tc>
        <w:tc>
          <w:tcPr>
            <w:tcW w:w="715" w:type="pct"/>
            <w:tcBorders>
              <w:top w:val="single" w:sz="4" w:space="0" w:color="auto"/>
              <w:left w:val="nil"/>
              <w:bottom w:val="single" w:sz="4" w:space="0" w:color="auto"/>
              <w:right w:val="nil"/>
            </w:tcBorders>
            <w:shd w:val="clear" w:color="auto" w:fill="auto"/>
            <w:vAlign w:val="center"/>
            <w:hideMark/>
          </w:tcPr>
          <w:p w14:paraId="274E89E8" w14:textId="77777777" w:rsidR="006220A2" w:rsidRPr="009F505C" w:rsidRDefault="00EE2732" w:rsidP="0071126B">
            <w:pPr>
              <w:keepNext/>
              <w:keepLines/>
              <w:jc w:val="right"/>
              <w:rPr>
                <w:rFonts w:eastAsia="Times New Roman"/>
                <w:b/>
                <w:bCs/>
                <w:sz w:val="16"/>
                <w:szCs w:val="16"/>
              </w:rPr>
            </w:pPr>
            <w:r>
              <w:rPr>
                <w:rFonts w:eastAsia="Times New Roman"/>
                <w:b/>
                <w:bCs/>
                <w:sz w:val="16"/>
                <w:szCs w:val="16"/>
              </w:rPr>
              <w:t>2.654,10</w:t>
            </w:r>
          </w:p>
        </w:tc>
      </w:tr>
      <w:tr w:rsidR="00AB4061" w:rsidRPr="009F505C" w14:paraId="2FD78CA1" w14:textId="77777777" w:rsidTr="00AB4061">
        <w:trPr>
          <w:trHeight w:val="255"/>
          <w:jc w:val="center"/>
        </w:trPr>
        <w:tc>
          <w:tcPr>
            <w:tcW w:w="1272" w:type="pct"/>
            <w:tcBorders>
              <w:top w:val="single" w:sz="4" w:space="0" w:color="auto"/>
              <w:left w:val="nil"/>
              <w:bottom w:val="nil"/>
              <w:right w:val="nil"/>
            </w:tcBorders>
            <w:shd w:val="clear" w:color="auto" w:fill="auto"/>
            <w:vAlign w:val="center"/>
            <w:hideMark/>
          </w:tcPr>
          <w:p w14:paraId="181CB66A" w14:textId="77777777" w:rsidR="00AB4061" w:rsidRDefault="00AB4061" w:rsidP="0071126B">
            <w:pPr>
              <w:keepNext/>
              <w:keepLines/>
              <w:rPr>
                <w:rFonts w:eastAsia="Times New Roman"/>
                <w:sz w:val="16"/>
                <w:szCs w:val="16"/>
              </w:rPr>
            </w:pPr>
            <w:r>
              <w:rPr>
                <w:rFonts w:eastAsia="Times New Roman"/>
                <w:sz w:val="16"/>
                <w:szCs w:val="16"/>
              </w:rPr>
              <w:t>Débitos y partidas a pagar a</w:t>
            </w:r>
          </w:p>
          <w:p w14:paraId="208ECB70" w14:textId="77777777" w:rsidR="006220A2" w:rsidRPr="00EE2732" w:rsidRDefault="006220A2" w:rsidP="0071126B">
            <w:pPr>
              <w:keepNext/>
              <w:keepLines/>
              <w:rPr>
                <w:rFonts w:eastAsia="Times New Roman"/>
                <w:sz w:val="16"/>
                <w:szCs w:val="16"/>
              </w:rPr>
            </w:pPr>
            <w:r w:rsidRPr="00EE2732">
              <w:rPr>
                <w:rFonts w:eastAsia="Times New Roman"/>
                <w:sz w:val="16"/>
                <w:szCs w:val="16"/>
              </w:rPr>
              <w:t>otras empresas (Nota 8.2.a)</w:t>
            </w:r>
          </w:p>
        </w:tc>
        <w:tc>
          <w:tcPr>
            <w:tcW w:w="612" w:type="pct"/>
            <w:tcBorders>
              <w:top w:val="single" w:sz="4" w:space="0" w:color="auto"/>
              <w:left w:val="nil"/>
              <w:bottom w:val="nil"/>
              <w:right w:val="nil"/>
            </w:tcBorders>
            <w:shd w:val="clear" w:color="auto" w:fill="auto"/>
            <w:vAlign w:val="center"/>
            <w:hideMark/>
          </w:tcPr>
          <w:p w14:paraId="211F53BE" w14:textId="77777777" w:rsidR="006220A2" w:rsidRPr="009F505C" w:rsidRDefault="00EE2732" w:rsidP="0071126B">
            <w:pPr>
              <w:keepNext/>
              <w:keepLines/>
              <w:jc w:val="right"/>
              <w:rPr>
                <w:rFonts w:eastAsia="Times New Roman"/>
                <w:sz w:val="16"/>
                <w:szCs w:val="16"/>
              </w:rPr>
            </w:pPr>
            <w:r>
              <w:rPr>
                <w:rFonts w:eastAsia="Times New Roman"/>
                <w:sz w:val="16"/>
                <w:szCs w:val="16"/>
              </w:rPr>
              <w:t>6.092.037,96</w:t>
            </w:r>
          </w:p>
        </w:tc>
        <w:tc>
          <w:tcPr>
            <w:tcW w:w="498" w:type="pct"/>
            <w:tcBorders>
              <w:top w:val="single" w:sz="4" w:space="0" w:color="auto"/>
              <w:left w:val="nil"/>
              <w:bottom w:val="nil"/>
              <w:right w:val="nil"/>
            </w:tcBorders>
            <w:shd w:val="clear" w:color="auto" w:fill="auto"/>
            <w:vAlign w:val="center"/>
            <w:hideMark/>
          </w:tcPr>
          <w:p w14:paraId="49DC6183" w14:textId="77777777" w:rsidR="006220A2" w:rsidRPr="009F505C" w:rsidRDefault="006220A2" w:rsidP="0071126B">
            <w:pPr>
              <w:keepNext/>
              <w:keepLines/>
              <w:jc w:val="right"/>
              <w:rPr>
                <w:rFonts w:eastAsia="Times New Roman"/>
                <w:sz w:val="16"/>
                <w:szCs w:val="16"/>
              </w:rPr>
            </w:pPr>
            <w:r w:rsidRPr="009F505C">
              <w:rPr>
                <w:rFonts w:eastAsia="Times New Roman"/>
                <w:sz w:val="16"/>
                <w:szCs w:val="16"/>
              </w:rPr>
              <w:t>-</w:t>
            </w:r>
          </w:p>
        </w:tc>
        <w:tc>
          <w:tcPr>
            <w:tcW w:w="555" w:type="pct"/>
            <w:tcBorders>
              <w:top w:val="single" w:sz="4" w:space="0" w:color="auto"/>
              <w:left w:val="nil"/>
              <w:bottom w:val="nil"/>
              <w:right w:val="nil"/>
            </w:tcBorders>
            <w:shd w:val="clear" w:color="auto" w:fill="auto"/>
            <w:vAlign w:val="center"/>
            <w:hideMark/>
          </w:tcPr>
          <w:p w14:paraId="2695AEFD" w14:textId="77777777" w:rsidR="006220A2" w:rsidRPr="009F505C" w:rsidRDefault="006220A2" w:rsidP="0071126B">
            <w:pPr>
              <w:keepNext/>
              <w:keepLines/>
              <w:jc w:val="right"/>
              <w:rPr>
                <w:rFonts w:eastAsia="Times New Roman"/>
                <w:sz w:val="16"/>
                <w:szCs w:val="16"/>
              </w:rPr>
            </w:pPr>
            <w:r w:rsidRPr="009F505C">
              <w:rPr>
                <w:rFonts w:eastAsia="Times New Roman"/>
                <w:sz w:val="16"/>
                <w:szCs w:val="16"/>
              </w:rPr>
              <w:t>-</w:t>
            </w:r>
          </w:p>
        </w:tc>
        <w:tc>
          <w:tcPr>
            <w:tcW w:w="474" w:type="pct"/>
            <w:tcBorders>
              <w:top w:val="single" w:sz="4" w:space="0" w:color="auto"/>
              <w:left w:val="nil"/>
              <w:bottom w:val="nil"/>
              <w:right w:val="nil"/>
            </w:tcBorders>
            <w:shd w:val="clear" w:color="auto" w:fill="auto"/>
            <w:vAlign w:val="center"/>
            <w:hideMark/>
          </w:tcPr>
          <w:p w14:paraId="5766F5ED" w14:textId="77777777" w:rsidR="006220A2" w:rsidRPr="009F505C" w:rsidRDefault="006220A2" w:rsidP="0071126B">
            <w:pPr>
              <w:keepNext/>
              <w:keepLines/>
              <w:jc w:val="right"/>
              <w:rPr>
                <w:rFonts w:eastAsia="Times New Roman"/>
                <w:sz w:val="16"/>
                <w:szCs w:val="16"/>
              </w:rPr>
            </w:pPr>
            <w:r w:rsidRPr="009F505C">
              <w:rPr>
                <w:rFonts w:eastAsia="Times New Roman"/>
                <w:sz w:val="16"/>
                <w:szCs w:val="16"/>
              </w:rPr>
              <w:t>-</w:t>
            </w:r>
          </w:p>
        </w:tc>
        <w:tc>
          <w:tcPr>
            <w:tcW w:w="351" w:type="pct"/>
            <w:tcBorders>
              <w:top w:val="single" w:sz="4" w:space="0" w:color="auto"/>
              <w:left w:val="nil"/>
              <w:bottom w:val="nil"/>
              <w:right w:val="nil"/>
            </w:tcBorders>
            <w:shd w:val="clear" w:color="auto" w:fill="auto"/>
            <w:vAlign w:val="center"/>
            <w:hideMark/>
          </w:tcPr>
          <w:p w14:paraId="23F57305" w14:textId="77777777" w:rsidR="006220A2" w:rsidRPr="009F505C" w:rsidRDefault="006220A2" w:rsidP="0071126B">
            <w:pPr>
              <w:keepNext/>
              <w:keepLines/>
              <w:jc w:val="right"/>
              <w:rPr>
                <w:rFonts w:eastAsia="Times New Roman"/>
                <w:sz w:val="16"/>
                <w:szCs w:val="16"/>
              </w:rPr>
            </w:pPr>
          </w:p>
        </w:tc>
        <w:tc>
          <w:tcPr>
            <w:tcW w:w="523" w:type="pct"/>
            <w:tcBorders>
              <w:top w:val="single" w:sz="4" w:space="0" w:color="auto"/>
              <w:left w:val="nil"/>
              <w:bottom w:val="nil"/>
              <w:right w:val="nil"/>
            </w:tcBorders>
            <w:shd w:val="clear" w:color="auto" w:fill="auto"/>
            <w:vAlign w:val="center"/>
            <w:hideMark/>
          </w:tcPr>
          <w:p w14:paraId="1A4A4C34" w14:textId="77777777" w:rsidR="006220A2" w:rsidRPr="009F505C" w:rsidRDefault="006220A2" w:rsidP="0071126B">
            <w:pPr>
              <w:keepNext/>
              <w:keepLines/>
              <w:jc w:val="right"/>
              <w:rPr>
                <w:rFonts w:eastAsia="Times New Roman"/>
                <w:sz w:val="16"/>
                <w:szCs w:val="16"/>
              </w:rPr>
            </w:pPr>
            <w:r w:rsidRPr="009F505C">
              <w:rPr>
                <w:rFonts w:eastAsia="Times New Roman"/>
                <w:sz w:val="16"/>
                <w:szCs w:val="16"/>
              </w:rPr>
              <w:t>-</w:t>
            </w:r>
          </w:p>
        </w:tc>
        <w:tc>
          <w:tcPr>
            <w:tcW w:w="715" w:type="pct"/>
            <w:tcBorders>
              <w:top w:val="single" w:sz="4" w:space="0" w:color="auto"/>
              <w:left w:val="nil"/>
              <w:bottom w:val="nil"/>
              <w:right w:val="nil"/>
            </w:tcBorders>
            <w:shd w:val="clear" w:color="auto" w:fill="auto"/>
            <w:vAlign w:val="center"/>
            <w:hideMark/>
          </w:tcPr>
          <w:p w14:paraId="2F5A2203" w14:textId="77777777" w:rsidR="006220A2" w:rsidRPr="009F505C" w:rsidRDefault="00EE2732" w:rsidP="0071126B">
            <w:pPr>
              <w:keepNext/>
              <w:keepLines/>
              <w:jc w:val="right"/>
              <w:rPr>
                <w:rFonts w:eastAsia="Times New Roman"/>
                <w:b/>
                <w:bCs/>
                <w:sz w:val="16"/>
                <w:szCs w:val="16"/>
              </w:rPr>
            </w:pPr>
            <w:r>
              <w:rPr>
                <w:rFonts w:eastAsia="Times New Roman"/>
                <w:b/>
                <w:bCs/>
                <w:sz w:val="16"/>
                <w:szCs w:val="16"/>
              </w:rPr>
              <w:t>6.092.037,96</w:t>
            </w:r>
          </w:p>
        </w:tc>
      </w:tr>
      <w:tr w:rsidR="00AB4061" w:rsidRPr="009F505C" w14:paraId="02DC06E9" w14:textId="77777777" w:rsidTr="00AB4061">
        <w:trPr>
          <w:trHeight w:val="255"/>
          <w:jc w:val="center"/>
        </w:trPr>
        <w:tc>
          <w:tcPr>
            <w:tcW w:w="1272" w:type="pct"/>
            <w:tcBorders>
              <w:top w:val="single" w:sz="4" w:space="0" w:color="auto"/>
              <w:left w:val="nil"/>
              <w:bottom w:val="single" w:sz="4" w:space="0" w:color="auto"/>
              <w:right w:val="nil"/>
            </w:tcBorders>
            <w:shd w:val="clear" w:color="auto" w:fill="auto"/>
            <w:vAlign w:val="center"/>
            <w:hideMark/>
          </w:tcPr>
          <w:p w14:paraId="7B3AD786" w14:textId="77777777" w:rsidR="006220A2" w:rsidRPr="009F505C" w:rsidRDefault="006220A2" w:rsidP="0071126B">
            <w:pPr>
              <w:keepNext/>
              <w:keepLines/>
              <w:rPr>
                <w:rFonts w:eastAsia="Times New Roman"/>
                <w:sz w:val="16"/>
                <w:szCs w:val="16"/>
              </w:rPr>
            </w:pPr>
            <w:r w:rsidRPr="009F505C">
              <w:rPr>
                <w:rFonts w:eastAsia="Times New Roman"/>
                <w:sz w:val="16"/>
                <w:szCs w:val="16"/>
              </w:rPr>
              <w:t> </w:t>
            </w:r>
          </w:p>
        </w:tc>
        <w:tc>
          <w:tcPr>
            <w:tcW w:w="612" w:type="pct"/>
            <w:tcBorders>
              <w:top w:val="single" w:sz="4" w:space="0" w:color="auto"/>
              <w:left w:val="nil"/>
              <w:bottom w:val="single" w:sz="4" w:space="0" w:color="auto"/>
              <w:right w:val="nil"/>
            </w:tcBorders>
            <w:shd w:val="clear" w:color="auto" w:fill="auto"/>
            <w:vAlign w:val="center"/>
            <w:hideMark/>
          </w:tcPr>
          <w:p w14:paraId="1B6B241F" w14:textId="77777777" w:rsidR="006220A2" w:rsidRPr="009F505C" w:rsidRDefault="00EE2732" w:rsidP="0071126B">
            <w:pPr>
              <w:keepNext/>
              <w:keepLines/>
              <w:jc w:val="right"/>
              <w:rPr>
                <w:rFonts w:eastAsia="Times New Roman"/>
                <w:b/>
                <w:bCs/>
                <w:sz w:val="16"/>
                <w:szCs w:val="16"/>
              </w:rPr>
            </w:pPr>
            <w:r>
              <w:rPr>
                <w:rFonts w:eastAsia="Times New Roman"/>
                <w:b/>
                <w:bCs/>
                <w:sz w:val="16"/>
                <w:szCs w:val="16"/>
              </w:rPr>
              <w:t>6.094.692,06</w:t>
            </w:r>
          </w:p>
        </w:tc>
        <w:tc>
          <w:tcPr>
            <w:tcW w:w="498" w:type="pct"/>
            <w:tcBorders>
              <w:top w:val="single" w:sz="4" w:space="0" w:color="auto"/>
              <w:left w:val="nil"/>
              <w:bottom w:val="single" w:sz="4" w:space="0" w:color="auto"/>
              <w:right w:val="nil"/>
            </w:tcBorders>
            <w:shd w:val="clear" w:color="auto" w:fill="auto"/>
            <w:vAlign w:val="center"/>
            <w:hideMark/>
          </w:tcPr>
          <w:p w14:paraId="78557739" w14:textId="77777777" w:rsidR="006220A2" w:rsidRPr="009F505C" w:rsidRDefault="006220A2" w:rsidP="0071126B">
            <w:pPr>
              <w:keepNext/>
              <w:keepLines/>
              <w:jc w:val="right"/>
              <w:rPr>
                <w:rFonts w:eastAsia="Times New Roman"/>
                <w:b/>
                <w:bCs/>
                <w:sz w:val="16"/>
                <w:szCs w:val="16"/>
              </w:rPr>
            </w:pPr>
            <w:r>
              <w:rPr>
                <w:rFonts w:eastAsia="Times New Roman"/>
                <w:b/>
                <w:bCs/>
                <w:sz w:val="16"/>
                <w:szCs w:val="16"/>
              </w:rPr>
              <w:t>-</w:t>
            </w:r>
          </w:p>
        </w:tc>
        <w:tc>
          <w:tcPr>
            <w:tcW w:w="555" w:type="pct"/>
            <w:tcBorders>
              <w:top w:val="single" w:sz="4" w:space="0" w:color="auto"/>
              <w:left w:val="nil"/>
              <w:bottom w:val="single" w:sz="4" w:space="0" w:color="auto"/>
              <w:right w:val="nil"/>
            </w:tcBorders>
            <w:shd w:val="clear" w:color="auto" w:fill="auto"/>
            <w:vAlign w:val="center"/>
            <w:hideMark/>
          </w:tcPr>
          <w:p w14:paraId="01CBCE3B" w14:textId="77777777" w:rsidR="006220A2" w:rsidRPr="009F505C" w:rsidRDefault="006220A2" w:rsidP="0071126B">
            <w:pPr>
              <w:keepNext/>
              <w:keepLines/>
              <w:jc w:val="right"/>
              <w:rPr>
                <w:rFonts w:eastAsia="Times New Roman"/>
                <w:b/>
                <w:bCs/>
                <w:sz w:val="16"/>
                <w:szCs w:val="16"/>
              </w:rPr>
            </w:pPr>
            <w:r>
              <w:rPr>
                <w:rFonts w:eastAsia="Times New Roman"/>
                <w:b/>
                <w:bCs/>
                <w:sz w:val="16"/>
                <w:szCs w:val="16"/>
              </w:rPr>
              <w:t>-</w:t>
            </w:r>
          </w:p>
        </w:tc>
        <w:tc>
          <w:tcPr>
            <w:tcW w:w="474" w:type="pct"/>
            <w:tcBorders>
              <w:top w:val="single" w:sz="4" w:space="0" w:color="auto"/>
              <w:left w:val="nil"/>
              <w:bottom w:val="single" w:sz="4" w:space="0" w:color="auto"/>
              <w:right w:val="nil"/>
            </w:tcBorders>
            <w:shd w:val="clear" w:color="auto" w:fill="auto"/>
            <w:vAlign w:val="center"/>
            <w:hideMark/>
          </w:tcPr>
          <w:p w14:paraId="02B35F1D" w14:textId="77777777" w:rsidR="006220A2" w:rsidRPr="009F505C" w:rsidRDefault="006220A2" w:rsidP="0071126B">
            <w:pPr>
              <w:keepNext/>
              <w:keepLines/>
              <w:jc w:val="right"/>
              <w:rPr>
                <w:rFonts w:eastAsia="Times New Roman"/>
                <w:b/>
                <w:bCs/>
                <w:sz w:val="16"/>
                <w:szCs w:val="16"/>
              </w:rPr>
            </w:pPr>
            <w:r>
              <w:rPr>
                <w:rFonts w:eastAsia="Times New Roman"/>
                <w:b/>
                <w:bCs/>
                <w:sz w:val="16"/>
                <w:szCs w:val="16"/>
              </w:rPr>
              <w:t>-</w:t>
            </w:r>
          </w:p>
        </w:tc>
        <w:tc>
          <w:tcPr>
            <w:tcW w:w="351" w:type="pct"/>
            <w:tcBorders>
              <w:top w:val="single" w:sz="4" w:space="0" w:color="auto"/>
              <w:left w:val="nil"/>
              <w:bottom w:val="single" w:sz="4" w:space="0" w:color="auto"/>
              <w:right w:val="nil"/>
            </w:tcBorders>
            <w:shd w:val="clear" w:color="auto" w:fill="auto"/>
            <w:vAlign w:val="center"/>
            <w:hideMark/>
          </w:tcPr>
          <w:p w14:paraId="36549F6C" w14:textId="77777777" w:rsidR="006220A2" w:rsidRPr="009F505C" w:rsidRDefault="006220A2" w:rsidP="0071126B">
            <w:pPr>
              <w:keepNext/>
              <w:keepLines/>
              <w:jc w:val="right"/>
              <w:rPr>
                <w:rFonts w:eastAsia="Times New Roman"/>
                <w:b/>
                <w:bCs/>
                <w:sz w:val="16"/>
                <w:szCs w:val="16"/>
              </w:rPr>
            </w:pPr>
            <w:r>
              <w:rPr>
                <w:rFonts w:eastAsia="Times New Roman"/>
                <w:b/>
                <w:bCs/>
                <w:sz w:val="16"/>
                <w:szCs w:val="16"/>
              </w:rPr>
              <w:t>-</w:t>
            </w:r>
          </w:p>
        </w:tc>
        <w:tc>
          <w:tcPr>
            <w:tcW w:w="523" w:type="pct"/>
            <w:tcBorders>
              <w:top w:val="single" w:sz="4" w:space="0" w:color="auto"/>
              <w:left w:val="nil"/>
              <w:bottom w:val="single" w:sz="4" w:space="0" w:color="auto"/>
              <w:right w:val="nil"/>
            </w:tcBorders>
            <w:shd w:val="clear" w:color="auto" w:fill="auto"/>
            <w:vAlign w:val="center"/>
            <w:hideMark/>
          </w:tcPr>
          <w:p w14:paraId="6774D26F" w14:textId="77777777" w:rsidR="006220A2" w:rsidRPr="009F505C" w:rsidRDefault="006220A2" w:rsidP="0071126B">
            <w:pPr>
              <w:keepNext/>
              <w:keepLines/>
              <w:jc w:val="right"/>
              <w:rPr>
                <w:rFonts w:eastAsia="Times New Roman"/>
                <w:b/>
                <w:bCs/>
                <w:sz w:val="16"/>
                <w:szCs w:val="16"/>
              </w:rPr>
            </w:pPr>
            <w:r>
              <w:rPr>
                <w:rFonts w:eastAsia="Times New Roman"/>
                <w:b/>
                <w:bCs/>
                <w:sz w:val="16"/>
                <w:szCs w:val="16"/>
              </w:rPr>
              <w:t>-</w:t>
            </w:r>
          </w:p>
        </w:tc>
        <w:tc>
          <w:tcPr>
            <w:tcW w:w="715" w:type="pct"/>
            <w:tcBorders>
              <w:top w:val="single" w:sz="4" w:space="0" w:color="auto"/>
              <w:left w:val="nil"/>
              <w:bottom w:val="single" w:sz="4" w:space="0" w:color="auto"/>
              <w:right w:val="nil"/>
            </w:tcBorders>
            <w:shd w:val="clear" w:color="auto" w:fill="auto"/>
            <w:vAlign w:val="center"/>
            <w:hideMark/>
          </w:tcPr>
          <w:p w14:paraId="07B9ED94" w14:textId="77777777" w:rsidR="006220A2" w:rsidRPr="009F505C" w:rsidRDefault="00EE2732" w:rsidP="0071126B">
            <w:pPr>
              <w:keepNext/>
              <w:keepLines/>
              <w:jc w:val="right"/>
              <w:rPr>
                <w:rFonts w:eastAsia="Times New Roman"/>
                <w:b/>
                <w:bCs/>
                <w:sz w:val="16"/>
                <w:szCs w:val="16"/>
              </w:rPr>
            </w:pPr>
            <w:r>
              <w:rPr>
                <w:rFonts w:eastAsia="Times New Roman"/>
                <w:b/>
                <w:bCs/>
                <w:sz w:val="16"/>
                <w:szCs w:val="16"/>
              </w:rPr>
              <w:t>6.094.692,06</w:t>
            </w:r>
          </w:p>
        </w:tc>
      </w:tr>
    </w:tbl>
    <w:p w14:paraId="4E01B857" w14:textId="77777777" w:rsidR="006220A2" w:rsidRPr="001E0DA0" w:rsidRDefault="006220A2" w:rsidP="006220A2">
      <w:pPr>
        <w:widowControl w:val="0"/>
        <w:spacing w:before="200" w:after="120"/>
        <w:jc w:val="both"/>
        <w:rPr>
          <w:sz w:val="20"/>
          <w:szCs w:val="22"/>
        </w:rPr>
      </w:pPr>
      <w:r w:rsidRPr="001E0DA0">
        <w:rPr>
          <w:sz w:val="20"/>
          <w:szCs w:val="22"/>
        </w:rPr>
        <w:t>Los impo</w:t>
      </w:r>
      <w:r>
        <w:rPr>
          <w:sz w:val="20"/>
          <w:szCs w:val="22"/>
        </w:rPr>
        <w:t>r</w:t>
      </w:r>
      <w:r w:rsidRPr="001E0DA0">
        <w:rPr>
          <w:sz w:val="20"/>
          <w:szCs w:val="22"/>
        </w:rPr>
        <w:t xml:space="preserve">tes de los instrumentos financieros </w:t>
      </w:r>
      <w:r>
        <w:rPr>
          <w:sz w:val="20"/>
          <w:szCs w:val="22"/>
        </w:rPr>
        <w:t xml:space="preserve">de pasivo </w:t>
      </w:r>
      <w:r w:rsidRPr="001E0DA0">
        <w:rPr>
          <w:sz w:val="20"/>
          <w:szCs w:val="22"/>
        </w:rPr>
        <w:t>a</w:t>
      </w:r>
      <w:r>
        <w:rPr>
          <w:sz w:val="20"/>
          <w:szCs w:val="22"/>
        </w:rPr>
        <w:t>l cierre de 2</w:t>
      </w:r>
      <w:r w:rsidRPr="001E0DA0">
        <w:rPr>
          <w:sz w:val="20"/>
          <w:szCs w:val="22"/>
        </w:rPr>
        <w:t>01</w:t>
      </w:r>
      <w:r w:rsidR="00323C6B">
        <w:rPr>
          <w:sz w:val="20"/>
          <w:szCs w:val="22"/>
        </w:rPr>
        <w:t>7</w:t>
      </w:r>
      <w:r w:rsidRPr="001E0DA0">
        <w:rPr>
          <w:sz w:val="20"/>
          <w:szCs w:val="22"/>
        </w:rPr>
        <w:t xml:space="preserve"> </w:t>
      </w:r>
      <w:r>
        <w:rPr>
          <w:sz w:val="20"/>
          <w:szCs w:val="22"/>
        </w:rPr>
        <w:t>son</w:t>
      </w:r>
      <w:r w:rsidRPr="001E0DA0">
        <w:rPr>
          <w:sz w:val="20"/>
          <w:szCs w:val="22"/>
        </w:rPr>
        <w:t xml:space="preserve"> los siguientes:</w:t>
      </w:r>
    </w:p>
    <w:tbl>
      <w:tblPr>
        <w:tblW w:w="5000" w:type="pct"/>
        <w:jc w:val="center"/>
        <w:tblCellMar>
          <w:left w:w="70" w:type="dxa"/>
          <w:right w:w="70" w:type="dxa"/>
        </w:tblCellMar>
        <w:tblLook w:val="04A0" w:firstRow="1" w:lastRow="0" w:firstColumn="1" w:lastColumn="0" w:noHBand="0" w:noVBand="1"/>
      </w:tblPr>
      <w:tblGrid>
        <w:gridCol w:w="2302"/>
        <w:gridCol w:w="1195"/>
        <w:gridCol w:w="937"/>
        <w:gridCol w:w="717"/>
        <w:gridCol w:w="717"/>
        <w:gridCol w:w="717"/>
        <w:gridCol w:w="1142"/>
        <w:gridCol w:w="1194"/>
      </w:tblGrid>
      <w:tr w:rsidR="006220A2" w:rsidRPr="00786257" w14:paraId="16749816" w14:textId="77777777" w:rsidTr="00C73E63">
        <w:trPr>
          <w:trHeight w:val="227"/>
          <w:jc w:val="center"/>
        </w:trPr>
        <w:tc>
          <w:tcPr>
            <w:tcW w:w="5000" w:type="pct"/>
            <w:gridSpan w:val="8"/>
            <w:tcBorders>
              <w:top w:val="single" w:sz="4" w:space="0" w:color="auto"/>
              <w:left w:val="nil"/>
              <w:bottom w:val="single" w:sz="4" w:space="0" w:color="auto"/>
              <w:right w:val="nil"/>
            </w:tcBorders>
            <w:shd w:val="clear" w:color="auto" w:fill="auto"/>
            <w:vAlign w:val="bottom"/>
            <w:hideMark/>
          </w:tcPr>
          <w:p w14:paraId="3309B514" w14:textId="77777777" w:rsidR="006220A2" w:rsidRPr="00786257" w:rsidRDefault="006220A2" w:rsidP="00852114">
            <w:pPr>
              <w:jc w:val="center"/>
              <w:rPr>
                <w:rFonts w:eastAsia="Times New Roman"/>
                <w:b/>
                <w:bCs/>
                <w:sz w:val="16"/>
                <w:szCs w:val="16"/>
              </w:rPr>
            </w:pPr>
            <w:r w:rsidRPr="00786257">
              <w:rPr>
                <w:rFonts w:eastAsia="Times New Roman"/>
                <w:b/>
                <w:bCs/>
                <w:sz w:val="16"/>
                <w:szCs w:val="16"/>
              </w:rPr>
              <w:t>PASIVOS FINANCIEROS</w:t>
            </w:r>
          </w:p>
        </w:tc>
      </w:tr>
      <w:tr w:rsidR="006220A2" w:rsidRPr="00786257" w14:paraId="172E4DEF" w14:textId="77777777" w:rsidTr="00C73E63">
        <w:trPr>
          <w:trHeight w:val="227"/>
          <w:jc w:val="center"/>
        </w:trPr>
        <w:tc>
          <w:tcPr>
            <w:tcW w:w="1290" w:type="pct"/>
            <w:tcBorders>
              <w:top w:val="nil"/>
              <w:left w:val="nil"/>
              <w:bottom w:val="single" w:sz="4" w:space="0" w:color="auto"/>
              <w:right w:val="nil"/>
            </w:tcBorders>
            <w:shd w:val="clear" w:color="auto" w:fill="auto"/>
            <w:vAlign w:val="bottom"/>
            <w:hideMark/>
          </w:tcPr>
          <w:p w14:paraId="11FB32FA" w14:textId="77777777" w:rsidR="006220A2" w:rsidRPr="00786257" w:rsidRDefault="006220A2" w:rsidP="00852114">
            <w:pPr>
              <w:rPr>
                <w:rFonts w:eastAsia="Times New Roman" w:cs="Times"/>
                <w:sz w:val="20"/>
              </w:rPr>
            </w:pPr>
            <w:r w:rsidRPr="00786257">
              <w:rPr>
                <w:rFonts w:eastAsia="Times New Roman" w:cs="Times"/>
                <w:sz w:val="20"/>
              </w:rPr>
              <w:t> </w:t>
            </w:r>
          </w:p>
        </w:tc>
        <w:tc>
          <w:tcPr>
            <w:tcW w:w="670" w:type="pct"/>
            <w:tcBorders>
              <w:top w:val="nil"/>
              <w:left w:val="nil"/>
              <w:bottom w:val="single" w:sz="4" w:space="0" w:color="auto"/>
              <w:right w:val="nil"/>
            </w:tcBorders>
            <w:shd w:val="clear" w:color="auto" w:fill="auto"/>
            <w:vAlign w:val="bottom"/>
            <w:hideMark/>
          </w:tcPr>
          <w:p w14:paraId="6CDF5006" w14:textId="77777777" w:rsidR="006220A2" w:rsidRPr="00123766" w:rsidRDefault="00323C6B" w:rsidP="00852114">
            <w:pPr>
              <w:keepNext/>
              <w:keepLines/>
              <w:jc w:val="center"/>
              <w:rPr>
                <w:rFonts w:eastAsia="Times New Roman"/>
                <w:b/>
                <w:bCs/>
                <w:sz w:val="16"/>
                <w:szCs w:val="16"/>
              </w:rPr>
            </w:pPr>
            <w:r>
              <w:rPr>
                <w:rFonts w:eastAsia="Times New Roman"/>
                <w:b/>
                <w:bCs/>
                <w:sz w:val="16"/>
                <w:szCs w:val="16"/>
              </w:rPr>
              <w:t>2018</w:t>
            </w:r>
          </w:p>
        </w:tc>
        <w:tc>
          <w:tcPr>
            <w:tcW w:w="525" w:type="pct"/>
            <w:tcBorders>
              <w:top w:val="nil"/>
              <w:left w:val="nil"/>
              <w:bottom w:val="single" w:sz="4" w:space="0" w:color="auto"/>
              <w:right w:val="nil"/>
            </w:tcBorders>
            <w:shd w:val="clear" w:color="auto" w:fill="auto"/>
            <w:vAlign w:val="bottom"/>
            <w:hideMark/>
          </w:tcPr>
          <w:p w14:paraId="4E0DE0A7" w14:textId="77777777" w:rsidR="006220A2" w:rsidRPr="00123766" w:rsidRDefault="00323C6B" w:rsidP="00852114">
            <w:pPr>
              <w:keepNext/>
              <w:keepLines/>
              <w:jc w:val="center"/>
              <w:rPr>
                <w:rFonts w:eastAsia="Times New Roman"/>
                <w:b/>
                <w:bCs/>
                <w:sz w:val="16"/>
                <w:szCs w:val="16"/>
              </w:rPr>
            </w:pPr>
            <w:r>
              <w:rPr>
                <w:rFonts w:eastAsia="Times New Roman"/>
                <w:b/>
                <w:bCs/>
                <w:sz w:val="16"/>
                <w:szCs w:val="16"/>
              </w:rPr>
              <w:t>2019</w:t>
            </w:r>
          </w:p>
        </w:tc>
        <w:tc>
          <w:tcPr>
            <w:tcW w:w="402" w:type="pct"/>
            <w:tcBorders>
              <w:top w:val="nil"/>
              <w:left w:val="nil"/>
              <w:bottom w:val="single" w:sz="4" w:space="0" w:color="auto"/>
              <w:right w:val="nil"/>
            </w:tcBorders>
            <w:shd w:val="clear" w:color="auto" w:fill="auto"/>
            <w:vAlign w:val="bottom"/>
            <w:hideMark/>
          </w:tcPr>
          <w:p w14:paraId="057044DB" w14:textId="77777777" w:rsidR="006220A2" w:rsidRPr="00123766" w:rsidRDefault="00323C6B" w:rsidP="00852114">
            <w:pPr>
              <w:keepNext/>
              <w:keepLines/>
              <w:jc w:val="center"/>
              <w:rPr>
                <w:rFonts w:eastAsia="Times New Roman"/>
                <w:b/>
                <w:bCs/>
                <w:sz w:val="16"/>
                <w:szCs w:val="16"/>
              </w:rPr>
            </w:pPr>
            <w:r>
              <w:rPr>
                <w:rFonts w:eastAsia="Times New Roman"/>
                <w:b/>
                <w:bCs/>
                <w:sz w:val="16"/>
                <w:szCs w:val="16"/>
              </w:rPr>
              <w:t>2020</w:t>
            </w:r>
          </w:p>
        </w:tc>
        <w:tc>
          <w:tcPr>
            <w:tcW w:w="402" w:type="pct"/>
            <w:tcBorders>
              <w:top w:val="nil"/>
              <w:left w:val="nil"/>
              <w:bottom w:val="single" w:sz="4" w:space="0" w:color="auto"/>
              <w:right w:val="nil"/>
            </w:tcBorders>
            <w:shd w:val="clear" w:color="auto" w:fill="auto"/>
            <w:vAlign w:val="bottom"/>
            <w:hideMark/>
          </w:tcPr>
          <w:p w14:paraId="3F0E4566" w14:textId="77777777" w:rsidR="006220A2" w:rsidRPr="00123766" w:rsidRDefault="00323C6B" w:rsidP="00852114">
            <w:pPr>
              <w:keepNext/>
              <w:keepLines/>
              <w:jc w:val="center"/>
              <w:rPr>
                <w:rFonts w:eastAsia="Times New Roman"/>
                <w:b/>
                <w:bCs/>
                <w:sz w:val="16"/>
                <w:szCs w:val="16"/>
              </w:rPr>
            </w:pPr>
            <w:r>
              <w:rPr>
                <w:rFonts w:eastAsia="Times New Roman"/>
                <w:b/>
                <w:bCs/>
                <w:sz w:val="16"/>
                <w:szCs w:val="16"/>
              </w:rPr>
              <w:t>2021</w:t>
            </w:r>
          </w:p>
        </w:tc>
        <w:tc>
          <w:tcPr>
            <w:tcW w:w="402" w:type="pct"/>
            <w:tcBorders>
              <w:top w:val="nil"/>
              <w:left w:val="nil"/>
              <w:bottom w:val="single" w:sz="4" w:space="0" w:color="auto"/>
              <w:right w:val="nil"/>
            </w:tcBorders>
            <w:shd w:val="clear" w:color="auto" w:fill="auto"/>
            <w:vAlign w:val="bottom"/>
            <w:hideMark/>
          </w:tcPr>
          <w:p w14:paraId="21892A9B" w14:textId="77777777" w:rsidR="006220A2" w:rsidRPr="00123766" w:rsidRDefault="00323C6B" w:rsidP="00852114">
            <w:pPr>
              <w:keepNext/>
              <w:keepLines/>
              <w:jc w:val="center"/>
              <w:rPr>
                <w:rFonts w:eastAsia="Times New Roman"/>
                <w:b/>
                <w:bCs/>
                <w:sz w:val="16"/>
                <w:szCs w:val="16"/>
              </w:rPr>
            </w:pPr>
            <w:r>
              <w:rPr>
                <w:rFonts w:eastAsia="Times New Roman"/>
                <w:b/>
                <w:bCs/>
                <w:sz w:val="16"/>
                <w:szCs w:val="16"/>
              </w:rPr>
              <w:t>2022</w:t>
            </w:r>
          </w:p>
        </w:tc>
        <w:tc>
          <w:tcPr>
            <w:tcW w:w="640" w:type="pct"/>
            <w:tcBorders>
              <w:top w:val="nil"/>
              <w:left w:val="nil"/>
              <w:bottom w:val="single" w:sz="4" w:space="0" w:color="auto"/>
              <w:right w:val="nil"/>
            </w:tcBorders>
            <w:shd w:val="clear" w:color="auto" w:fill="auto"/>
            <w:vAlign w:val="bottom"/>
            <w:hideMark/>
          </w:tcPr>
          <w:p w14:paraId="263439E7" w14:textId="77777777" w:rsidR="006220A2" w:rsidRPr="00123766" w:rsidRDefault="006220A2" w:rsidP="00852114">
            <w:pPr>
              <w:keepNext/>
              <w:keepLines/>
              <w:jc w:val="center"/>
              <w:rPr>
                <w:rFonts w:eastAsia="Times New Roman"/>
                <w:b/>
                <w:bCs/>
                <w:sz w:val="16"/>
                <w:szCs w:val="16"/>
              </w:rPr>
            </w:pPr>
            <w:r>
              <w:rPr>
                <w:rFonts w:eastAsia="Times New Roman"/>
                <w:b/>
                <w:bCs/>
                <w:sz w:val="16"/>
                <w:szCs w:val="16"/>
                <w:lang w:val="en-US"/>
              </w:rPr>
              <w:t>+ 5 años</w:t>
            </w:r>
          </w:p>
        </w:tc>
        <w:tc>
          <w:tcPr>
            <w:tcW w:w="669" w:type="pct"/>
            <w:tcBorders>
              <w:top w:val="nil"/>
              <w:left w:val="nil"/>
              <w:bottom w:val="single" w:sz="4" w:space="0" w:color="auto"/>
              <w:right w:val="nil"/>
            </w:tcBorders>
            <w:shd w:val="clear" w:color="auto" w:fill="auto"/>
            <w:vAlign w:val="bottom"/>
            <w:hideMark/>
          </w:tcPr>
          <w:p w14:paraId="3C9E123C" w14:textId="77777777" w:rsidR="006220A2" w:rsidRPr="00123766" w:rsidRDefault="006220A2" w:rsidP="00852114">
            <w:pPr>
              <w:keepNext/>
              <w:keepLines/>
              <w:jc w:val="center"/>
              <w:rPr>
                <w:rFonts w:eastAsia="Times New Roman"/>
                <w:b/>
                <w:bCs/>
                <w:sz w:val="16"/>
                <w:szCs w:val="16"/>
              </w:rPr>
            </w:pPr>
            <w:r w:rsidRPr="00123766">
              <w:rPr>
                <w:rFonts w:eastAsia="Times New Roman"/>
                <w:b/>
                <w:bCs/>
                <w:sz w:val="16"/>
                <w:szCs w:val="16"/>
              </w:rPr>
              <w:t>Total</w:t>
            </w:r>
          </w:p>
        </w:tc>
      </w:tr>
      <w:tr w:rsidR="006220A2" w:rsidRPr="00786257" w14:paraId="6A2EB83B" w14:textId="77777777" w:rsidTr="00AB4061">
        <w:trPr>
          <w:trHeight w:val="255"/>
          <w:jc w:val="center"/>
        </w:trPr>
        <w:tc>
          <w:tcPr>
            <w:tcW w:w="1290" w:type="pct"/>
            <w:tcBorders>
              <w:top w:val="single" w:sz="4" w:space="0" w:color="auto"/>
              <w:left w:val="nil"/>
              <w:bottom w:val="single" w:sz="4" w:space="0" w:color="auto"/>
              <w:right w:val="nil"/>
            </w:tcBorders>
            <w:shd w:val="clear" w:color="auto" w:fill="auto"/>
            <w:vAlign w:val="center"/>
            <w:hideMark/>
          </w:tcPr>
          <w:p w14:paraId="66707DE6" w14:textId="77777777" w:rsidR="006220A2" w:rsidRPr="00786257" w:rsidRDefault="006220A2" w:rsidP="00852114">
            <w:pPr>
              <w:rPr>
                <w:rFonts w:eastAsia="Times New Roman"/>
                <w:sz w:val="16"/>
                <w:szCs w:val="16"/>
              </w:rPr>
            </w:pPr>
            <w:r w:rsidRPr="00786257">
              <w:rPr>
                <w:rFonts w:eastAsia="Times New Roman"/>
                <w:sz w:val="16"/>
                <w:szCs w:val="16"/>
              </w:rPr>
              <w:t>Deudas co</w:t>
            </w:r>
            <w:r>
              <w:rPr>
                <w:rFonts w:eastAsia="Times New Roman"/>
                <w:sz w:val="16"/>
                <w:szCs w:val="16"/>
              </w:rPr>
              <w:t>n ent. de crédito(Nota 8.2.a)</w:t>
            </w:r>
          </w:p>
        </w:tc>
        <w:tc>
          <w:tcPr>
            <w:tcW w:w="670" w:type="pct"/>
            <w:tcBorders>
              <w:top w:val="single" w:sz="4" w:space="0" w:color="auto"/>
              <w:left w:val="nil"/>
              <w:bottom w:val="single" w:sz="4" w:space="0" w:color="auto"/>
              <w:right w:val="nil"/>
            </w:tcBorders>
            <w:shd w:val="clear" w:color="auto" w:fill="auto"/>
            <w:vAlign w:val="center"/>
            <w:hideMark/>
          </w:tcPr>
          <w:p w14:paraId="049AC39D" w14:textId="77777777" w:rsidR="006220A2" w:rsidRPr="00033791" w:rsidRDefault="00323C6B" w:rsidP="00852114">
            <w:pPr>
              <w:jc w:val="right"/>
              <w:rPr>
                <w:rFonts w:eastAsia="Times New Roman"/>
                <w:sz w:val="16"/>
                <w:szCs w:val="16"/>
              </w:rPr>
            </w:pPr>
            <w:r>
              <w:rPr>
                <w:rFonts w:eastAsia="Times New Roman"/>
                <w:sz w:val="16"/>
                <w:szCs w:val="16"/>
                <w:lang w:val="en-US"/>
              </w:rPr>
              <w:t>9.360,41</w:t>
            </w:r>
          </w:p>
        </w:tc>
        <w:tc>
          <w:tcPr>
            <w:tcW w:w="525" w:type="pct"/>
            <w:tcBorders>
              <w:top w:val="single" w:sz="4" w:space="0" w:color="auto"/>
              <w:left w:val="nil"/>
              <w:bottom w:val="single" w:sz="4" w:space="0" w:color="auto"/>
              <w:right w:val="nil"/>
            </w:tcBorders>
            <w:shd w:val="clear" w:color="auto" w:fill="auto"/>
            <w:vAlign w:val="center"/>
            <w:hideMark/>
          </w:tcPr>
          <w:p w14:paraId="404F1675" w14:textId="77777777" w:rsidR="006220A2" w:rsidRPr="00033791" w:rsidRDefault="006220A2" w:rsidP="00852114">
            <w:pPr>
              <w:jc w:val="right"/>
              <w:rPr>
                <w:rFonts w:eastAsia="Times New Roman"/>
                <w:sz w:val="16"/>
                <w:szCs w:val="16"/>
              </w:rPr>
            </w:pPr>
            <w:r w:rsidRPr="00033791">
              <w:rPr>
                <w:rFonts w:eastAsia="Times New Roman"/>
                <w:sz w:val="16"/>
                <w:szCs w:val="16"/>
                <w:lang w:val="en-US"/>
              </w:rPr>
              <w:t>-</w:t>
            </w:r>
          </w:p>
        </w:tc>
        <w:tc>
          <w:tcPr>
            <w:tcW w:w="402" w:type="pct"/>
            <w:tcBorders>
              <w:top w:val="single" w:sz="4" w:space="0" w:color="auto"/>
              <w:left w:val="nil"/>
              <w:bottom w:val="single" w:sz="4" w:space="0" w:color="auto"/>
              <w:right w:val="nil"/>
            </w:tcBorders>
            <w:shd w:val="clear" w:color="auto" w:fill="auto"/>
            <w:vAlign w:val="center"/>
            <w:hideMark/>
          </w:tcPr>
          <w:p w14:paraId="351D57BA" w14:textId="77777777" w:rsidR="006220A2" w:rsidRPr="00033791" w:rsidRDefault="006220A2" w:rsidP="00852114">
            <w:pPr>
              <w:jc w:val="right"/>
              <w:rPr>
                <w:rFonts w:eastAsia="Times New Roman"/>
                <w:sz w:val="16"/>
                <w:szCs w:val="16"/>
              </w:rPr>
            </w:pPr>
            <w:r w:rsidRPr="00033791">
              <w:rPr>
                <w:rFonts w:eastAsia="Times New Roman"/>
                <w:sz w:val="16"/>
                <w:szCs w:val="16"/>
                <w:lang w:val="en-US"/>
              </w:rPr>
              <w:t>-</w:t>
            </w:r>
          </w:p>
        </w:tc>
        <w:tc>
          <w:tcPr>
            <w:tcW w:w="402" w:type="pct"/>
            <w:tcBorders>
              <w:top w:val="single" w:sz="4" w:space="0" w:color="auto"/>
              <w:left w:val="nil"/>
              <w:bottom w:val="single" w:sz="4" w:space="0" w:color="auto"/>
              <w:right w:val="nil"/>
            </w:tcBorders>
            <w:shd w:val="clear" w:color="auto" w:fill="auto"/>
            <w:vAlign w:val="center"/>
            <w:hideMark/>
          </w:tcPr>
          <w:p w14:paraId="41BB5083" w14:textId="77777777" w:rsidR="006220A2" w:rsidRPr="00033791" w:rsidRDefault="006220A2" w:rsidP="00852114">
            <w:pPr>
              <w:jc w:val="right"/>
              <w:rPr>
                <w:rFonts w:eastAsia="Times New Roman"/>
                <w:sz w:val="16"/>
                <w:szCs w:val="16"/>
              </w:rPr>
            </w:pPr>
            <w:r w:rsidRPr="00033791">
              <w:rPr>
                <w:rFonts w:eastAsia="Times New Roman"/>
                <w:sz w:val="16"/>
                <w:szCs w:val="16"/>
                <w:lang w:val="en-US"/>
              </w:rPr>
              <w:t>-</w:t>
            </w:r>
          </w:p>
        </w:tc>
        <w:tc>
          <w:tcPr>
            <w:tcW w:w="402" w:type="pct"/>
            <w:tcBorders>
              <w:top w:val="single" w:sz="4" w:space="0" w:color="auto"/>
              <w:left w:val="nil"/>
              <w:bottom w:val="single" w:sz="4" w:space="0" w:color="auto"/>
              <w:right w:val="nil"/>
            </w:tcBorders>
            <w:shd w:val="clear" w:color="auto" w:fill="auto"/>
            <w:vAlign w:val="center"/>
            <w:hideMark/>
          </w:tcPr>
          <w:p w14:paraId="4A0C988B" w14:textId="77777777" w:rsidR="006220A2" w:rsidRPr="00033791" w:rsidRDefault="006220A2" w:rsidP="00852114">
            <w:pPr>
              <w:jc w:val="right"/>
              <w:rPr>
                <w:rFonts w:eastAsia="Times New Roman"/>
                <w:sz w:val="16"/>
                <w:szCs w:val="16"/>
              </w:rPr>
            </w:pPr>
            <w:r w:rsidRPr="00033791">
              <w:rPr>
                <w:rFonts w:eastAsia="Times New Roman"/>
                <w:sz w:val="16"/>
                <w:szCs w:val="16"/>
                <w:lang w:val="en-US"/>
              </w:rPr>
              <w:t>-</w:t>
            </w:r>
          </w:p>
        </w:tc>
        <w:tc>
          <w:tcPr>
            <w:tcW w:w="640" w:type="pct"/>
            <w:tcBorders>
              <w:top w:val="single" w:sz="4" w:space="0" w:color="auto"/>
              <w:left w:val="nil"/>
              <w:bottom w:val="single" w:sz="4" w:space="0" w:color="auto"/>
              <w:right w:val="nil"/>
            </w:tcBorders>
            <w:shd w:val="clear" w:color="auto" w:fill="auto"/>
            <w:vAlign w:val="center"/>
            <w:hideMark/>
          </w:tcPr>
          <w:p w14:paraId="6044D600" w14:textId="77777777" w:rsidR="006220A2" w:rsidRPr="00033791" w:rsidRDefault="006220A2" w:rsidP="00852114">
            <w:pPr>
              <w:jc w:val="right"/>
              <w:rPr>
                <w:rFonts w:eastAsia="Times New Roman"/>
                <w:sz w:val="16"/>
                <w:szCs w:val="16"/>
              </w:rPr>
            </w:pPr>
            <w:r w:rsidRPr="00033791">
              <w:rPr>
                <w:rFonts w:eastAsia="Times New Roman"/>
                <w:sz w:val="16"/>
                <w:szCs w:val="16"/>
                <w:lang w:val="en-US"/>
              </w:rPr>
              <w:t>-</w:t>
            </w:r>
          </w:p>
        </w:tc>
        <w:tc>
          <w:tcPr>
            <w:tcW w:w="669" w:type="pct"/>
            <w:tcBorders>
              <w:top w:val="single" w:sz="4" w:space="0" w:color="auto"/>
              <w:left w:val="nil"/>
              <w:bottom w:val="single" w:sz="4" w:space="0" w:color="auto"/>
              <w:right w:val="nil"/>
            </w:tcBorders>
            <w:shd w:val="clear" w:color="auto" w:fill="auto"/>
            <w:vAlign w:val="center"/>
            <w:hideMark/>
          </w:tcPr>
          <w:p w14:paraId="4BD29F1B" w14:textId="77777777" w:rsidR="006220A2" w:rsidRPr="00033791" w:rsidRDefault="00323C6B" w:rsidP="00852114">
            <w:pPr>
              <w:jc w:val="right"/>
              <w:rPr>
                <w:rFonts w:eastAsia="Times New Roman"/>
                <w:b/>
                <w:bCs/>
                <w:sz w:val="16"/>
                <w:szCs w:val="16"/>
              </w:rPr>
            </w:pPr>
            <w:r>
              <w:rPr>
                <w:rFonts w:eastAsia="Times New Roman"/>
                <w:b/>
                <w:bCs/>
                <w:sz w:val="16"/>
                <w:szCs w:val="16"/>
              </w:rPr>
              <w:t>9.360,41</w:t>
            </w:r>
          </w:p>
        </w:tc>
      </w:tr>
      <w:tr w:rsidR="006220A2" w:rsidRPr="00786257" w14:paraId="15DA0106" w14:textId="77777777" w:rsidTr="00AB4061">
        <w:trPr>
          <w:trHeight w:val="255"/>
          <w:jc w:val="center"/>
        </w:trPr>
        <w:tc>
          <w:tcPr>
            <w:tcW w:w="1290" w:type="pct"/>
            <w:tcBorders>
              <w:top w:val="single" w:sz="4" w:space="0" w:color="auto"/>
              <w:left w:val="nil"/>
              <w:bottom w:val="nil"/>
              <w:right w:val="nil"/>
            </w:tcBorders>
            <w:shd w:val="clear" w:color="auto" w:fill="auto"/>
            <w:vAlign w:val="center"/>
            <w:hideMark/>
          </w:tcPr>
          <w:p w14:paraId="1D5E9F14" w14:textId="77777777" w:rsidR="006220A2" w:rsidRPr="00786257" w:rsidRDefault="006220A2" w:rsidP="00852114">
            <w:pPr>
              <w:rPr>
                <w:rFonts w:eastAsia="Times New Roman"/>
                <w:sz w:val="16"/>
                <w:szCs w:val="16"/>
              </w:rPr>
            </w:pPr>
            <w:r w:rsidRPr="00786257">
              <w:rPr>
                <w:rFonts w:eastAsia="Times New Roman"/>
                <w:sz w:val="16"/>
                <w:szCs w:val="16"/>
              </w:rPr>
              <w:t>Débitos y par</w:t>
            </w:r>
            <w:r>
              <w:rPr>
                <w:rFonts w:eastAsia="Times New Roman"/>
                <w:sz w:val="16"/>
                <w:szCs w:val="16"/>
              </w:rPr>
              <w:t>tidas a pagar a otras empresas(Nota 8.2.a)</w:t>
            </w:r>
          </w:p>
        </w:tc>
        <w:tc>
          <w:tcPr>
            <w:tcW w:w="670" w:type="pct"/>
            <w:tcBorders>
              <w:top w:val="single" w:sz="4" w:space="0" w:color="auto"/>
              <w:left w:val="nil"/>
              <w:bottom w:val="nil"/>
              <w:right w:val="nil"/>
            </w:tcBorders>
            <w:shd w:val="clear" w:color="auto" w:fill="auto"/>
            <w:vAlign w:val="center"/>
            <w:hideMark/>
          </w:tcPr>
          <w:p w14:paraId="52098E78" w14:textId="77777777" w:rsidR="006220A2" w:rsidRPr="00033791" w:rsidRDefault="00323C6B" w:rsidP="00852114">
            <w:pPr>
              <w:jc w:val="right"/>
              <w:rPr>
                <w:rFonts w:eastAsia="Times New Roman"/>
                <w:sz w:val="16"/>
                <w:szCs w:val="16"/>
              </w:rPr>
            </w:pPr>
            <w:r>
              <w:rPr>
                <w:rFonts w:eastAsia="Times New Roman"/>
                <w:sz w:val="16"/>
                <w:szCs w:val="16"/>
              </w:rPr>
              <w:t>6.761.441,25</w:t>
            </w:r>
          </w:p>
        </w:tc>
        <w:tc>
          <w:tcPr>
            <w:tcW w:w="525" w:type="pct"/>
            <w:tcBorders>
              <w:top w:val="single" w:sz="4" w:space="0" w:color="auto"/>
              <w:left w:val="nil"/>
              <w:bottom w:val="nil"/>
              <w:right w:val="nil"/>
            </w:tcBorders>
            <w:shd w:val="clear" w:color="auto" w:fill="auto"/>
            <w:vAlign w:val="center"/>
            <w:hideMark/>
          </w:tcPr>
          <w:p w14:paraId="53AB6104" w14:textId="77777777" w:rsidR="006220A2" w:rsidRPr="00033791" w:rsidRDefault="006220A2" w:rsidP="00852114">
            <w:pPr>
              <w:jc w:val="right"/>
              <w:rPr>
                <w:rFonts w:eastAsia="Times New Roman"/>
                <w:sz w:val="16"/>
                <w:szCs w:val="16"/>
              </w:rPr>
            </w:pPr>
            <w:r w:rsidRPr="00033791">
              <w:rPr>
                <w:rFonts w:eastAsia="Times New Roman"/>
                <w:sz w:val="16"/>
                <w:szCs w:val="16"/>
              </w:rPr>
              <w:t>-</w:t>
            </w:r>
          </w:p>
        </w:tc>
        <w:tc>
          <w:tcPr>
            <w:tcW w:w="402" w:type="pct"/>
            <w:tcBorders>
              <w:top w:val="single" w:sz="4" w:space="0" w:color="auto"/>
              <w:left w:val="nil"/>
              <w:bottom w:val="nil"/>
              <w:right w:val="nil"/>
            </w:tcBorders>
            <w:shd w:val="clear" w:color="auto" w:fill="auto"/>
            <w:vAlign w:val="center"/>
            <w:hideMark/>
          </w:tcPr>
          <w:p w14:paraId="70B5C4F8" w14:textId="77777777" w:rsidR="006220A2" w:rsidRPr="00033791" w:rsidRDefault="006220A2" w:rsidP="00852114">
            <w:pPr>
              <w:jc w:val="right"/>
              <w:rPr>
                <w:rFonts w:eastAsia="Times New Roman"/>
                <w:sz w:val="16"/>
                <w:szCs w:val="16"/>
              </w:rPr>
            </w:pPr>
            <w:r w:rsidRPr="00033791">
              <w:rPr>
                <w:rFonts w:eastAsia="Times New Roman"/>
                <w:sz w:val="16"/>
                <w:szCs w:val="16"/>
              </w:rPr>
              <w:t>-</w:t>
            </w:r>
          </w:p>
        </w:tc>
        <w:tc>
          <w:tcPr>
            <w:tcW w:w="402" w:type="pct"/>
            <w:tcBorders>
              <w:top w:val="single" w:sz="4" w:space="0" w:color="auto"/>
              <w:left w:val="nil"/>
              <w:bottom w:val="nil"/>
              <w:right w:val="nil"/>
            </w:tcBorders>
            <w:shd w:val="clear" w:color="auto" w:fill="auto"/>
            <w:vAlign w:val="center"/>
            <w:hideMark/>
          </w:tcPr>
          <w:p w14:paraId="08525B3A" w14:textId="77777777" w:rsidR="006220A2" w:rsidRPr="00033791" w:rsidRDefault="006220A2" w:rsidP="00852114">
            <w:pPr>
              <w:jc w:val="right"/>
              <w:rPr>
                <w:rFonts w:eastAsia="Times New Roman"/>
                <w:sz w:val="16"/>
                <w:szCs w:val="16"/>
              </w:rPr>
            </w:pPr>
            <w:r w:rsidRPr="00033791">
              <w:rPr>
                <w:rFonts w:eastAsia="Times New Roman"/>
                <w:sz w:val="16"/>
                <w:szCs w:val="16"/>
              </w:rPr>
              <w:t>-</w:t>
            </w:r>
          </w:p>
        </w:tc>
        <w:tc>
          <w:tcPr>
            <w:tcW w:w="402" w:type="pct"/>
            <w:tcBorders>
              <w:top w:val="single" w:sz="4" w:space="0" w:color="auto"/>
              <w:left w:val="nil"/>
              <w:bottom w:val="nil"/>
              <w:right w:val="nil"/>
            </w:tcBorders>
            <w:shd w:val="clear" w:color="auto" w:fill="auto"/>
            <w:vAlign w:val="center"/>
            <w:hideMark/>
          </w:tcPr>
          <w:p w14:paraId="5A8280BB" w14:textId="77777777" w:rsidR="006220A2" w:rsidRPr="00033791" w:rsidRDefault="006220A2" w:rsidP="00852114">
            <w:pPr>
              <w:jc w:val="right"/>
              <w:rPr>
                <w:rFonts w:eastAsia="Times New Roman"/>
                <w:sz w:val="16"/>
                <w:szCs w:val="16"/>
              </w:rPr>
            </w:pPr>
            <w:r w:rsidRPr="00033791">
              <w:rPr>
                <w:rFonts w:eastAsia="Times New Roman"/>
                <w:sz w:val="16"/>
                <w:szCs w:val="16"/>
              </w:rPr>
              <w:t>-</w:t>
            </w:r>
          </w:p>
        </w:tc>
        <w:tc>
          <w:tcPr>
            <w:tcW w:w="640" w:type="pct"/>
            <w:tcBorders>
              <w:top w:val="single" w:sz="4" w:space="0" w:color="auto"/>
              <w:left w:val="nil"/>
              <w:bottom w:val="nil"/>
              <w:right w:val="nil"/>
            </w:tcBorders>
            <w:shd w:val="clear" w:color="auto" w:fill="auto"/>
            <w:vAlign w:val="center"/>
            <w:hideMark/>
          </w:tcPr>
          <w:p w14:paraId="5B917CC5" w14:textId="77777777" w:rsidR="006220A2" w:rsidRPr="00033791" w:rsidRDefault="006220A2" w:rsidP="00852114">
            <w:pPr>
              <w:jc w:val="right"/>
              <w:rPr>
                <w:rFonts w:eastAsia="Times New Roman"/>
                <w:sz w:val="16"/>
                <w:szCs w:val="16"/>
              </w:rPr>
            </w:pPr>
            <w:r w:rsidRPr="00033791">
              <w:rPr>
                <w:rFonts w:eastAsia="Times New Roman"/>
                <w:sz w:val="16"/>
                <w:szCs w:val="16"/>
              </w:rPr>
              <w:t>-</w:t>
            </w:r>
          </w:p>
        </w:tc>
        <w:tc>
          <w:tcPr>
            <w:tcW w:w="669" w:type="pct"/>
            <w:tcBorders>
              <w:top w:val="single" w:sz="4" w:space="0" w:color="auto"/>
              <w:left w:val="nil"/>
              <w:bottom w:val="nil"/>
              <w:right w:val="nil"/>
            </w:tcBorders>
            <w:shd w:val="clear" w:color="auto" w:fill="auto"/>
            <w:vAlign w:val="center"/>
            <w:hideMark/>
          </w:tcPr>
          <w:p w14:paraId="776C6E8D" w14:textId="77777777" w:rsidR="006220A2" w:rsidRPr="00033791" w:rsidRDefault="00323C6B" w:rsidP="00852114">
            <w:pPr>
              <w:jc w:val="right"/>
              <w:rPr>
                <w:rFonts w:eastAsia="Times New Roman"/>
                <w:b/>
                <w:bCs/>
                <w:sz w:val="16"/>
                <w:szCs w:val="16"/>
              </w:rPr>
            </w:pPr>
            <w:r>
              <w:rPr>
                <w:rFonts w:eastAsia="Times New Roman"/>
                <w:b/>
                <w:bCs/>
                <w:sz w:val="16"/>
                <w:szCs w:val="16"/>
              </w:rPr>
              <w:t>6.761.441,25</w:t>
            </w:r>
          </w:p>
        </w:tc>
      </w:tr>
      <w:tr w:rsidR="006220A2" w:rsidRPr="00786257" w14:paraId="4E3BAAC0" w14:textId="77777777" w:rsidTr="00AB4061">
        <w:trPr>
          <w:trHeight w:val="255"/>
          <w:jc w:val="center"/>
        </w:trPr>
        <w:tc>
          <w:tcPr>
            <w:tcW w:w="1290" w:type="pct"/>
            <w:tcBorders>
              <w:top w:val="single" w:sz="4" w:space="0" w:color="auto"/>
              <w:left w:val="nil"/>
              <w:bottom w:val="single" w:sz="4" w:space="0" w:color="auto"/>
              <w:right w:val="nil"/>
            </w:tcBorders>
            <w:shd w:val="clear" w:color="auto" w:fill="auto"/>
            <w:vAlign w:val="center"/>
            <w:hideMark/>
          </w:tcPr>
          <w:p w14:paraId="676608F0" w14:textId="77777777" w:rsidR="006220A2" w:rsidRPr="00786257" w:rsidRDefault="006220A2" w:rsidP="00852114">
            <w:pPr>
              <w:rPr>
                <w:rFonts w:eastAsia="Times New Roman" w:cs="Times"/>
                <w:sz w:val="20"/>
              </w:rPr>
            </w:pPr>
            <w:r w:rsidRPr="00786257">
              <w:rPr>
                <w:rFonts w:eastAsia="Times New Roman" w:cs="Times"/>
                <w:sz w:val="20"/>
              </w:rPr>
              <w:t> </w:t>
            </w:r>
          </w:p>
        </w:tc>
        <w:tc>
          <w:tcPr>
            <w:tcW w:w="670" w:type="pct"/>
            <w:tcBorders>
              <w:top w:val="single" w:sz="4" w:space="0" w:color="auto"/>
              <w:left w:val="nil"/>
              <w:bottom w:val="single" w:sz="4" w:space="0" w:color="auto"/>
              <w:right w:val="nil"/>
            </w:tcBorders>
            <w:shd w:val="clear" w:color="auto" w:fill="auto"/>
            <w:vAlign w:val="center"/>
            <w:hideMark/>
          </w:tcPr>
          <w:p w14:paraId="5071BD26" w14:textId="77777777" w:rsidR="006220A2" w:rsidRPr="00033791" w:rsidRDefault="00323C6B" w:rsidP="00852114">
            <w:pPr>
              <w:jc w:val="right"/>
              <w:rPr>
                <w:rFonts w:eastAsia="Times New Roman"/>
                <w:b/>
                <w:bCs/>
                <w:sz w:val="16"/>
                <w:szCs w:val="16"/>
              </w:rPr>
            </w:pPr>
            <w:r>
              <w:rPr>
                <w:rFonts w:eastAsia="Times New Roman"/>
                <w:b/>
                <w:bCs/>
                <w:sz w:val="16"/>
                <w:szCs w:val="16"/>
              </w:rPr>
              <w:t>6.770.801,66</w:t>
            </w:r>
          </w:p>
        </w:tc>
        <w:tc>
          <w:tcPr>
            <w:tcW w:w="525" w:type="pct"/>
            <w:tcBorders>
              <w:top w:val="single" w:sz="4" w:space="0" w:color="auto"/>
              <w:left w:val="nil"/>
              <w:bottom w:val="single" w:sz="4" w:space="0" w:color="auto"/>
              <w:right w:val="nil"/>
            </w:tcBorders>
            <w:shd w:val="clear" w:color="auto" w:fill="auto"/>
            <w:vAlign w:val="center"/>
            <w:hideMark/>
          </w:tcPr>
          <w:p w14:paraId="36722C1A" w14:textId="77777777" w:rsidR="006220A2" w:rsidRPr="00033791" w:rsidRDefault="006220A2" w:rsidP="00852114">
            <w:pPr>
              <w:jc w:val="right"/>
              <w:rPr>
                <w:rFonts w:eastAsia="Times New Roman"/>
                <w:b/>
                <w:bCs/>
                <w:sz w:val="16"/>
                <w:szCs w:val="16"/>
              </w:rPr>
            </w:pPr>
            <w:r w:rsidRPr="00033791">
              <w:rPr>
                <w:rFonts w:eastAsia="Times New Roman"/>
                <w:b/>
                <w:bCs/>
                <w:sz w:val="16"/>
                <w:szCs w:val="16"/>
              </w:rPr>
              <w:t>-</w:t>
            </w:r>
          </w:p>
        </w:tc>
        <w:tc>
          <w:tcPr>
            <w:tcW w:w="402" w:type="pct"/>
            <w:tcBorders>
              <w:top w:val="single" w:sz="4" w:space="0" w:color="auto"/>
              <w:left w:val="nil"/>
              <w:bottom w:val="single" w:sz="4" w:space="0" w:color="auto"/>
              <w:right w:val="nil"/>
            </w:tcBorders>
            <w:shd w:val="clear" w:color="auto" w:fill="auto"/>
            <w:vAlign w:val="center"/>
            <w:hideMark/>
          </w:tcPr>
          <w:p w14:paraId="5512BE5B" w14:textId="77777777" w:rsidR="006220A2" w:rsidRPr="00033791" w:rsidRDefault="006220A2" w:rsidP="00852114">
            <w:pPr>
              <w:jc w:val="right"/>
              <w:rPr>
                <w:rFonts w:eastAsia="Times New Roman"/>
                <w:b/>
                <w:bCs/>
                <w:sz w:val="16"/>
                <w:szCs w:val="16"/>
              </w:rPr>
            </w:pPr>
            <w:r w:rsidRPr="00033791">
              <w:rPr>
                <w:rFonts w:eastAsia="Times New Roman"/>
                <w:b/>
                <w:bCs/>
                <w:sz w:val="16"/>
                <w:szCs w:val="16"/>
              </w:rPr>
              <w:t>-</w:t>
            </w:r>
          </w:p>
        </w:tc>
        <w:tc>
          <w:tcPr>
            <w:tcW w:w="402" w:type="pct"/>
            <w:tcBorders>
              <w:top w:val="single" w:sz="4" w:space="0" w:color="auto"/>
              <w:left w:val="nil"/>
              <w:bottom w:val="single" w:sz="4" w:space="0" w:color="auto"/>
              <w:right w:val="nil"/>
            </w:tcBorders>
            <w:shd w:val="clear" w:color="auto" w:fill="auto"/>
            <w:vAlign w:val="center"/>
            <w:hideMark/>
          </w:tcPr>
          <w:p w14:paraId="4B1D8BE3" w14:textId="77777777" w:rsidR="006220A2" w:rsidRPr="00033791" w:rsidRDefault="006220A2" w:rsidP="00852114">
            <w:pPr>
              <w:jc w:val="right"/>
              <w:rPr>
                <w:rFonts w:eastAsia="Times New Roman"/>
                <w:b/>
                <w:bCs/>
                <w:sz w:val="16"/>
                <w:szCs w:val="16"/>
              </w:rPr>
            </w:pPr>
            <w:r w:rsidRPr="00033791">
              <w:rPr>
                <w:rFonts w:eastAsia="Times New Roman"/>
                <w:b/>
                <w:bCs/>
                <w:sz w:val="16"/>
                <w:szCs w:val="16"/>
              </w:rPr>
              <w:t>-</w:t>
            </w:r>
          </w:p>
        </w:tc>
        <w:tc>
          <w:tcPr>
            <w:tcW w:w="402" w:type="pct"/>
            <w:tcBorders>
              <w:top w:val="single" w:sz="4" w:space="0" w:color="auto"/>
              <w:left w:val="nil"/>
              <w:bottom w:val="single" w:sz="4" w:space="0" w:color="auto"/>
              <w:right w:val="nil"/>
            </w:tcBorders>
            <w:shd w:val="clear" w:color="auto" w:fill="auto"/>
            <w:vAlign w:val="center"/>
            <w:hideMark/>
          </w:tcPr>
          <w:p w14:paraId="478C73B5" w14:textId="77777777" w:rsidR="006220A2" w:rsidRPr="00033791" w:rsidRDefault="006220A2" w:rsidP="00852114">
            <w:pPr>
              <w:jc w:val="right"/>
              <w:rPr>
                <w:rFonts w:eastAsia="Times New Roman"/>
                <w:b/>
                <w:bCs/>
                <w:sz w:val="16"/>
                <w:szCs w:val="16"/>
              </w:rPr>
            </w:pPr>
            <w:r w:rsidRPr="00033791">
              <w:rPr>
                <w:rFonts w:eastAsia="Times New Roman"/>
                <w:b/>
                <w:bCs/>
                <w:sz w:val="16"/>
                <w:szCs w:val="16"/>
              </w:rPr>
              <w:t>-</w:t>
            </w:r>
          </w:p>
        </w:tc>
        <w:tc>
          <w:tcPr>
            <w:tcW w:w="640" w:type="pct"/>
            <w:tcBorders>
              <w:top w:val="single" w:sz="4" w:space="0" w:color="auto"/>
              <w:left w:val="nil"/>
              <w:bottom w:val="single" w:sz="4" w:space="0" w:color="auto"/>
              <w:right w:val="nil"/>
            </w:tcBorders>
            <w:shd w:val="clear" w:color="auto" w:fill="auto"/>
            <w:vAlign w:val="center"/>
            <w:hideMark/>
          </w:tcPr>
          <w:p w14:paraId="723FC456" w14:textId="77777777" w:rsidR="006220A2" w:rsidRPr="00033791" w:rsidRDefault="006220A2" w:rsidP="00852114">
            <w:pPr>
              <w:jc w:val="right"/>
              <w:rPr>
                <w:rFonts w:eastAsia="Times New Roman"/>
                <w:b/>
                <w:bCs/>
                <w:sz w:val="16"/>
                <w:szCs w:val="16"/>
              </w:rPr>
            </w:pPr>
            <w:r w:rsidRPr="00033791">
              <w:rPr>
                <w:rFonts w:eastAsia="Times New Roman"/>
                <w:b/>
                <w:bCs/>
                <w:sz w:val="16"/>
                <w:szCs w:val="16"/>
              </w:rPr>
              <w:t>-</w:t>
            </w:r>
          </w:p>
        </w:tc>
        <w:tc>
          <w:tcPr>
            <w:tcW w:w="669" w:type="pct"/>
            <w:tcBorders>
              <w:top w:val="single" w:sz="4" w:space="0" w:color="auto"/>
              <w:left w:val="nil"/>
              <w:bottom w:val="single" w:sz="4" w:space="0" w:color="auto"/>
              <w:right w:val="nil"/>
            </w:tcBorders>
            <w:shd w:val="clear" w:color="auto" w:fill="auto"/>
            <w:vAlign w:val="center"/>
            <w:hideMark/>
          </w:tcPr>
          <w:p w14:paraId="135C126D" w14:textId="77777777" w:rsidR="006220A2" w:rsidRPr="00033791" w:rsidRDefault="00323C6B" w:rsidP="00852114">
            <w:pPr>
              <w:jc w:val="right"/>
              <w:rPr>
                <w:rFonts w:eastAsia="Times New Roman"/>
                <w:b/>
                <w:bCs/>
                <w:sz w:val="16"/>
                <w:szCs w:val="16"/>
              </w:rPr>
            </w:pPr>
            <w:r>
              <w:rPr>
                <w:rFonts w:eastAsia="Times New Roman"/>
                <w:b/>
                <w:bCs/>
                <w:sz w:val="16"/>
                <w:szCs w:val="16"/>
              </w:rPr>
              <w:t>6.770.801,66</w:t>
            </w:r>
          </w:p>
        </w:tc>
      </w:tr>
    </w:tbl>
    <w:p w14:paraId="621268B5" w14:textId="77777777" w:rsidR="006220A2" w:rsidRPr="003734E9" w:rsidRDefault="006220A2" w:rsidP="006220A2">
      <w:pPr>
        <w:widowControl w:val="0"/>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9"/>
        <w:rPr>
          <w:b/>
          <w:sz w:val="20"/>
          <w:szCs w:val="22"/>
        </w:rPr>
      </w:pPr>
      <w:r w:rsidRPr="003E2754">
        <w:rPr>
          <w:b/>
          <w:sz w:val="20"/>
          <w:szCs w:val="22"/>
        </w:rPr>
        <w:t>Fondos Propios</w:t>
      </w:r>
    </w:p>
    <w:p w14:paraId="7747C33D" w14:textId="77777777" w:rsidR="006220A2" w:rsidRPr="004A0607" w:rsidRDefault="006220A2" w:rsidP="006220A2">
      <w:pPr>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84"/>
        </w:tabs>
        <w:spacing w:before="200"/>
        <w:ind w:left="0" w:firstLine="0"/>
        <w:outlineLvl w:val="9"/>
        <w:rPr>
          <w:i/>
          <w:sz w:val="20"/>
          <w:szCs w:val="22"/>
          <w:u w:val="single"/>
        </w:rPr>
      </w:pPr>
      <w:r w:rsidRPr="004A0607">
        <w:rPr>
          <w:i/>
          <w:sz w:val="20"/>
          <w:szCs w:val="22"/>
          <w:u w:val="single"/>
        </w:rPr>
        <w:t>Capital</w:t>
      </w:r>
      <w:r>
        <w:rPr>
          <w:i/>
          <w:sz w:val="20"/>
          <w:szCs w:val="22"/>
          <w:u w:val="single"/>
        </w:rPr>
        <w:t xml:space="preserve"> Social</w:t>
      </w:r>
    </w:p>
    <w:p w14:paraId="1719F30C" w14:textId="77777777" w:rsidR="006220A2" w:rsidRPr="003734E9" w:rsidRDefault="006220A2" w:rsidP="006220A2">
      <w:pPr>
        <w:widowControl w:val="0"/>
        <w:spacing w:before="120" w:after="240"/>
        <w:jc w:val="both"/>
        <w:rPr>
          <w:snapToGrid w:val="0"/>
          <w:sz w:val="20"/>
          <w:szCs w:val="22"/>
        </w:rPr>
      </w:pPr>
      <w:r w:rsidRPr="003734E9">
        <w:rPr>
          <w:snapToGrid w:val="0"/>
          <w:sz w:val="20"/>
          <w:szCs w:val="22"/>
        </w:rPr>
        <w:t xml:space="preserve">El capital social está representado por 102 acciones clase “A” nominativas, de 3.000,00 euros nominales cada una, y 98 acciones clase “B” nominativas, de 3.000,00 euros nominales cada una. Todas las acciones gozan de iguales derechos políticos y económicos. El Capital ha sido íntegramente </w:t>
      </w:r>
      <w:r>
        <w:rPr>
          <w:snapToGrid w:val="0"/>
          <w:sz w:val="20"/>
          <w:szCs w:val="22"/>
        </w:rPr>
        <w:t>desembolsado en el ejercicio 2</w:t>
      </w:r>
      <w:r w:rsidRPr="003734E9">
        <w:rPr>
          <w:snapToGrid w:val="0"/>
          <w:sz w:val="20"/>
          <w:szCs w:val="22"/>
        </w:rPr>
        <w:t>005.</w:t>
      </w:r>
    </w:p>
    <w:tbl>
      <w:tblPr>
        <w:tblW w:w="6804" w:type="dxa"/>
        <w:jc w:val="center"/>
        <w:tblCellMar>
          <w:left w:w="70" w:type="dxa"/>
          <w:right w:w="70" w:type="dxa"/>
        </w:tblCellMar>
        <w:tblLook w:val="04A0" w:firstRow="1" w:lastRow="0" w:firstColumn="1" w:lastColumn="0" w:noHBand="0" w:noVBand="1"/>
      </w:tblPr>
      <w:tblGrid>
        <w:gridCol w:w="2489"/>
        <w:gridCol w:w="2157"/>
        <w:gridCol w:w="2158"/>
      </w:tblGrid>
      <w:tr w:rsidR="006220A2" w:rsidRPr="00237426" w14:paraId="31A005E9" w14:textId="77777777" w:rsidTr="00852114">
        <w:trPr>
          <w:trHeight w:val="227"/>
          <w:jc w:val="center"/>
        </w:trPr>
        <w:tc>
          <w:tcPr>
            <w:tcW w:w="2489" w:type="dxa"/>
            <w:tcBorders>
              <w:top w:val="single" w:sz="4" w:space="0" w:color="auto"/>
              <w:left w:val="nil"/>
              <w:bottom w:val="nil"/>
              <w:right w:val="nil"/>
            </w:tcBorders>
            <w:shd w:val="clear" w:color="auto" w:fill="auto"/>
            <w:vAlign w:val="bottom"/>
            <w:hideMark/>
          </w:tcPr>
          <w:p w14:paraId="598DDED0" w14:textId="77777777" w:rsidR="006220A2" w:rsidRPr="00237426" w:rsidRDefault="006220A2" w:rsidP="00852114">
            <w:pPr>
              <w:jc w:val="center"/>
              <w:rPr>
                <w:rFonts w:eastAsia="Times New Roman"/>
                <w:sz w:val="18"/>
                <w:szCs w:val="18"/>
              </w:rPr>
            </w:pPr>
          </w:p>
        </w:tc>
        <w:tc>
          <w:tcPr>
            <w:tcW w:w="4315" w:type="dxa"/>
            <w:gridSpan w:val="2"/>
            <w:tcBorders>
              <w:top w:val="single" w:sz="4" w:space="0" w:color="auto"/>
              <w:left w:val="nil"/>
              <w:bottom w:val="single" w:sz="4" w:space="0" w:color="auto"/>
              <w:right w:val="nil"/>
            </w:tcBorders>
            <w:shd w:val="clear" w:color="auto" w:fill="auto"/>
            <w:vAlign w:val="bottom"/>
            <w:hideMark/>
          </w:tcPr>
          <w:p w14:paraId="32A9A808" w14:textId="77777777" w:rsidR="006220A2" w:rsidRPr="00237426" w:rsidRDefault="006220A2" w:rsidP="00852114">
            <w:pPr>
              <w:jc w:val="center"/>
              <w:rPr>
                <w:rFonts w:eastAsia="Times New Roman"/>
                <w:b/>
                <w:bCs/>
                <w:sz w:val="18"/>
                <w:szCs w:val="18"/>
              </w:rPr>
            </w:pPr>
            <w:r w:rsidRPr="00237426">
              <w:rPr>
                <w:rFonts w:eastAsia="Times New Roman"/>
                <w:b/>
                <w:bCs/>
                <w:snapToGrid w:val="0"/>
                <w:sz w:val="18"/>
                <w:szCs w:val="18"/>
              </w:rPr>
              <w:t>Euros</w:t>
            </w:r>
          </w:p>
        </w:tc>
      </w:tr>
      <w:tr w:rsidR="00A75530" w:rsidRPr="00237426" w14:paraId="4B578492" w14:textId="77777777" w:rsidTr="00E269EC">
        <w:trPr>
          <w:trHeight w:val="227"/>
          <w:jc w:val="center"/>
        </w:trPr>
        <w:tc>
          <w:tcPr>
            <w:tcW w:w="2489" w:type="dxa"/>
            <w:tcBorders>
              <w:top w:val="nil"/>
              <w:left w:val="nil"/>
              <w:bottom w:val="single" w:sz="4" w:space="0" w:color="auto"/>
              <w:right w:val="nil"/>
            </w:tcBorders>
            <w:shd w:val="clear" w:color="auto" w:fill="auto"/>
            <w:vAlign w:val="bottom"/>
            <w:hideMark/>
          </w:tcPr>
          <w:p w14:paraId="630F8EAA" w14:textId="77777777" w:rsidR="00A75530" w:rsidRPr="00237426" w:rsidRDefault="00A75530" w:rsidP="00A75530">
            <w:pPr>
              <w:ind w:firstLineChars="200" w:firstLine="360"/>
              <w:jc w:val="center"/>
              <w:rPr>
                <w:rFonts w:eastAsia="Times New Roman"/>
                <w:sz w:val="18"/>
                <w:szCs w:val="18"/>
              </w:rPr>
            </w:pPr>
          </w:p>
        </w:tc>
        <w:tc>
          <w:tcPr>
            <w:tcW w:w="2157" w:type="dxa"/>
            <w:tcBorders>
              <w:top w:val="nil"/>
              <w:left w:val="nil"/>
              <w:bottom w:val="single" w:sz="4" w:space="0" w:color="auto"/>
              <w:right w:val="nil"/>
            </w:tcBorders>
            <w:shd w:val="clear" w:color="auto" w:fill="auto"/>
            <w:vAlign w:val="bottom"/>
            <w:hideMark/>
          </w:tcPr>
          <w:p w14:paraId="66E0F37C" w14:textId="77777777" w:rsidR="00A75530" w:rsidRPr="00915C40" w:rsidRDefault="00A75530" w:rsidP="00A75530">
            <w:pPr>
              <w:keepNext/>
              <w:keepLines/>
              <w:jc w:val="center"/>
              <w:rPr>
                <w:rFonts w:eastAsia="Times New Roman"/>
                <w:b/>
                <w:bCs/>
                <w:sz w:val="18"/>
                <w:szCs w:val="18"/>
              </w:rPr>
            </w:pPr>
            <w:r>
              <w:rPr>
                <w:rFonts w:eastAsia="Times New Roman"/>
                <w:b/>
                <w:bCs/>
                <w:sz w:val="18"/>
                <w:szCs w:val="18"/>
              </w:rPr>
              <w:t>31/12/2018</w:t>
            </w:r>
          </w:p>
        </w:tc>
        <w:tc>
          <w:tcPr>
            <w:tcW w:w="2158" w:type="dxa"/>
            <w:tcBorders>
              <w:top w:val="nil"/>
              <w:left w:val="nil"/>
              <w:bottom w:val="single" w:sz="4" w:space="0" w:color="auto"/>
              <w:right w:val="nil"/>
            </w:tcBorders>
            <w:shd w:val="clear" w:color="auto" w:fill="auto"/>
            <w:vAlign w:val="bottom"/>
            <w:hideMark/>
          </w:tcPr>
          <w:p w14:paraId="5EE9D32E" w14:textId="77777777" w:rsidR="00A75530" w:rsidRPr="00915C40" w:rsidRDefault="00A75530" w:rsidP="00A75530">
            <w:pPr>
              <w:keepNext/>
              <w:keepLines/>
              <w:jc w:val="center"/>
              <w:rPr>
                <w:rFonts w:eastAsia="Times New Roman"/>
                <w:b/>
                <w:bCs/>
                <w:sz w:val="18"/>
                <w:szCs w:val="18"/>
              </w:rPr>
            </w:pPr>
            <w:r>
              <w:rPr>
                <w:rFonts w:eastAsia="Times New Roman"/>
                <w:b/>
                <w:bCs/>
                <w:sz w:val="18"/>
                <w:szCs w:val="18"/>
              </w:rPr>
              <w:t>31/12/2017</w:t>
            </w:r>
          </w:p>
        </w:tc>
      </w:tr>
      <w:tr w:rsidR="006220A2" w:rsidRPr="00237426" w14:paraId="34C91C72" w14:textId="77777777" w:rsidTr="00E269EC">
        <w:trPr>
          <w:trHeight w:val="255"/>
          <w:jc w:val="center"/>
        </w:trPr>
        <w:tc>
          <w:tcPr>
            <w:tcW w:w="2489" w:type="dxa"/>
            <w:tcBorders>
              <w:top w:val="nil"/>
              <w:left w:val="nil"/>
              <w:bottom w:val="single" w:sz="4" w:space="0" w:color="auto"/>
              <w:right w:val="nil"/>
            </w:tcBorders>
            <w:shd w:val="clear" w:color="auto" w:fill="auto"/>
            <w:vAlign w:val="center"/>
            <w:hideMark/>
          </w:tcPr>
          <w:p w14:paraId="7785AE5A" w14:textId="77777777" w:rsidR="006220A2" w:rsidRPr="00237426" w:rsidRDefault="006220A2" w:rsidP="00852114">
            <w:pPr>
              <w:rPr>
                <w:rFonts w:eastAsia="Times New Roman"/>
                <w:sz w:val="18"/>
                <w:szCs w:val="18"/>
              </w:rPr>
            </w:pPr>
            <w:r w:rsidRPr="00237426">
              <w:rPr>
                <w:rFonts w:eastAsia="Times New Roman"/>
                <w:snapToGrid w:val="0"/>
                <w:sz w:val="18"/>
                <w:szCs w:val="18"/>
              </w:rPr>
              <w:t xml:space="preserve">Capital escriturado </w:t>
            </w:r>
          </w:p>
        </w:tc>
        <w:tc>
          <w:tcPr>
            <w:tcW w:w="2157" w:type="dxa"/>
            <w:tcBorders>
              <w:top w:val="nil"/>
              <w:left w:val="nil"/>
              <w:bottom w:val="single" w:sz="4" w:space="0" w:color="auto"/>
              <w:right w:val="nil"/>
            </w:tcBorders>
            <w:shd w:val="clear" w:color="auto" w:fill="auto"/>
            <w:vAlign w:val="center"/>
          </w:tcPr>
          <w:p w14:paraId="5E7EA050" w14:textId="77777777" w:rsidR="006220A2" w:rsidRPr="00237426" w:rsidRDefault="006220A2" w:rsidP="00852114">
            <w:pPr>
              <w:ind w:right="354" w:firstLineChars="200" w:firstLine="360"/>
              <w:jc w:val="right"/>
              <w:rPr>
                <w:rFonts w:eastAsia="Times New Roman"/>
                <w:sz w:val="18"/>
                <w:szCs w:val="18"/>
              </w:rPr>
            </w:pPr>
            <w:r w:rsidRPr="00237426">
              <w:rPr>
                <w:rFonts w:eastAsia="Times New Roman"/>
                <w:snapToGrid w:val="0"/>
                <w:sz w:val="18"/>
                <w:szCs w:val="18"/>
              </w:rPr>
              <w:t>600.000,00</w:t>
            </w:r>
          </w:p>
        </w:tc>
        <w:tc>
          <w:tcPr>
            <w:tcW w:w="2158" w:type="dxa"/>
            <w:tcBorders>
              <w:top w:val="nil"/>
              <w:left w:val="nil"/>
              <w:bottom w:val="single" w:sz="4" w:space="0" w:color="auto"/>
              <w:right w:val="nil"/>
            </w:tcBorders>
            <w:shd w:val="clear" w:color="auto" w:fill="auto"/>
            <w:vAlign w:val="center"/>
            <w:hideMark/>
          </w:tcPr>
          <w:p w14:paraId="3AD91360" w14:textId="77777777" w:rsidR="006220A2" w:rsidRPr="00237426" w:rsidRDefault="006220A2" w:rsidP="00852114">
            <w:pPr>
              <w:ind w:right="354" w:firstLineChars="200" w:firstLine="360"/>
              <w:jc w:val="right"/>
              <w:rPr>
                <w:rFonts w:eastAsia="Times New Roman"/>
                <w:sz w:val="18"/>
                <w:szCs w:val="18"/>
              </w:rPr>
            </w:pPr>
            <w:r w:rsidRPr="00237426">
              <w:rPr>
                <w:rFonts w:eastAsia="Times New Roman"/>
                <w:snapToGrid w:val="0"/>
                <w:sz w:val="18"/>
                <w:szCs w:val="18"/>
              </w:rPr>
              <w:t>600.000,00</w:t>
            </w:r>
          </w:p>
        </w:tc>
      </w:tr>
      <w:tr w:rsidR="006220A2" w:rsidRPr="00237426" w14:paraId="1D577D4F" w14:textId="77777777" w:rsidTr="00E269EC">
        <w:trPr>
          <w:trHeight w:val="255"/>
          <w:jc w:val="center"/>
        </w:trPr>
        <w:tc>
          <w:tcPr>
            <w:tcW w:w="2489" w:type="dxa"/>
            <w:tcBorders>
              <w:top w:val="nil"/>
              <w:left w:val="nil"/>
              <w:bottom w:val="single" w:sz="4" w:space="0" w:color="auto"/>
              <w:right w:val="nil"/>
            </w:tcBorders>
            <w:shd w:val="clear" w:color="auto" w:fill="auto"/>
            <w:vAlign w:val="center"/>
            <w:hideMark/>
          </w:tcPr>
          <w:p w14:paraId="225521B3" w14:textId="77777777" w:rsidR="006220A2" w:rsidRPr="00237426" w:rsidRDefault="006220A2" w:rsidP="00852114">
            <w:pPr>
              <w:ind w:firstLineChars="200" w:firstLine="360"/>
              <w:rPr>
                <w:rFonts w:eastAsia="Times New Roman"/>
                <w:sz w:val="18"/>
                <w:szCs w:val="18"/>
              </w:rPr>
            </w:pPr>
            <w:r w:rsidRPr="00237426">
              <w:rPr>
                <w:rFonts w:eastAsia="Times New Roman"/>
                <w:snapToGrid w:val="0"/>
                <w:sz w:val="18"/>
                <w:szCs w:val="18"/>
              </w:rPr>
              <w:t> </w:t>
            </w:r>
          </w:p>
        </w:tc>
        <w:tc>
          <w:tcPr>
            <w:tcW w:w="2157" w:type="dxa"/>
            <w:tcBorders>
              <w:top w:val="nil"/>
              <w:left w:val="nil"/>
              <w:bottom w:val="single" w:sz="4" w:space="0" w:color="auto"/>
              <w:right w:val="nil"/>
            </w:tcBorders>
            <w:shd w:val="clear" w:color="auto" w:fill="auto"/>
            <w:vAlign w:val="center"/>
          </w:tcPr>
          <w:p w14:paraId="36FA932A" w14:textId="77777777" w:rsidR="006220A2" w:rsidRPr="00237426" w:rsidRDefault="006220A2" w:rsidP="00852114">
            <w:pPr>
              <w:ind w:right="354" w:firstLineChars="200" w:firstLine="361"/>
              <w:jc w:val="right"/>
              <w:rPr>
                <w:rFonts w:eastAsia="Times New Roman"/>
                <w:b/>
                <w:bCs/>
                <w:sz w:val="18"/>
                <w:szCs w:val="18"/>
              </w:rPr>
            </w:pPr>
            <w:r w:rsidRPr="00237426">
              <w:rPr>
                <w:rFonts w:eastAsia="Times New Roman"/>
                <w:b/>
                <w:bCs/>
                <w:snapToGrid w:val="0"/>
                <w:sz w:val="18"/>
                <w:szCs w:val="18"/>
              </w:rPr>
              <w:t>600.000,00</w:t>
            </w:r>
          </w:p>
        </w:tc>
        <w:tc>
          <w:tcPr>
            <w:tcW w:w="2158" w:type="dxa"/>
            <w:tcBorders>
              <w:top w:val="nil"/>
              <w:left w:val="nil"/>
              <w:bottom w:val="single" w:sz="4" w:space="0" w:color="auto"/>
              <w:right w:val="nil"/>
            </w:tcBorders>
            <w:shd w:val="clear" w:color="auto" w:fill="auto"/>
            <w:vAlign w:val="center"/>
            <w:hideMark/>
          </w:tcPr>
          <w:p w14:paraId="45EC8282" w14:textId="77777777" w:rsidR="006220A2" w:rsidRPr="00237426" w:rsidRDefault="006220A2" w:rsidP="00852114">
            <w:pPr>
              <w:ind w:right="354" w:firstLineChars="200" w:firstLine="361"/>
              <w:jc w:val="right"/>
              <w:rPr>
                <w:rFonts w:eastAsia="Times New Roman"/>
                <w:b/>
                <w:bCs/>
                <w:sz w:val="18"/>
                <w:szCs w:val="18"/>
              </w:rPr>
            </w:pPr>
            <w:r w:rsidRPr="00237426">
              <w:rPr>
                <w:rFonts w:eastAsia="Times New Roman"/>
                <w:b/>
                <w:bCs/>
                <w:snapToGrid w:val="0"/>
                <w:sz w:val="18"/>
                <w:szCs w:val="18"/>
              </w:rPr>
              <w:t>600.000,00</w:t>
            </w:r>
          </w:p>
        </w:tc>
      </w:tr>
    </w:tbl>
    <w:p w14:paraId="406F0F80" w14:textId="77777777" w:rsidR="006220A2" w:rsidRPr="003734E9" w:rsidRDefault="006220A2" w:rsidP="00345D0E">
      <w:pPr>
        <w:keepNext/>
        <w:keepLines/>
        <w:widowControl w:val="0"/>
        <w:spacing w:before="120"/>
        <w:jc w:val="both"/>
        <w:rPr>
          <w:snapToGrid w:val="0"/>
          <w:sz w:val="20"/>
          <w:szCs w:val="22"/>
        </w:rPr>
      </w:pPr>
      <w:r w:rsidRPr="003734E9">
        <w:rPr>
          <w:snapToGrid w:val="0"/>
          <w:sz w:val="20"/>
          <w:szCs w:val="22"/>
        </w:rPr>
        <w:t xml:space="preserve">El único accionista de la Sociedad es </w:t>
      </w:r>
      <w:smartTag w:uri="urn:schemas-microsoft-com:office:smarttags" w:element="PersonName">
        <w:smartTagPr>
          <w:attr w:name="ProductID" w:val="la Administraci￳n P￺blica"/>
        </w:smartTagPr>
        <w:r w:rsidRPr="003734E9">
          <w:rPr>
            <w:snapToGrid w:val="0"/>
            <w:sz w:val="20"/>
            <w:szCs w:val="22"/>
          </w:rPr>
          <w:t>la Administración Pública</w:t>
        </w:r>
      </w:smartTag>
      <w:r w:rsidRPr="003734E9">
        <w:rPr>
          <w:snapToGrid w:val="0"/>
          <w:sz w:val="20"/>
          <w:szCs w:val="22"/>
        </w:rPr>
        <w:t xml:space="preserve"> de </w:t>
      </w:r>
      <w:smartTag w:uri="urn:schemas-microsoft-com:office:smarttags" w:element="PersonName">
        <w:smartTagPr>
          <w:attr w:name="ProductID" w:val="la Comunidad Aut￳noma"/>
        </w:smartTagPr>
        <w:r w:rsidRPr="003734E9">
          <w:rPr>
            <w:snapToGrid w:val="0"/>
            <w:sz w:val="20"/>
            <w:szCs w:val="22"/>
          </w:rPr>
          <w:t>la Comunidad Autónoma</w:t>
        </w:r>
      </w:smartTag>
      <w:r w:rsidRPr="003734E9">
        <w:rPr>
          <w:snapToGrid w:val="0"/>
          <w:sz w:val="20"/>
          <w:szCs w:val="22"/>
        </w:rPr>
        <w:t xml:space="preserve"> de Canarias, aunque se prevé que las acciones de </w:t>
      </w:r>
      <w:smartTag w:uri="urn:schemas-microsoft-com:office:smarttags" w:element="PersonName">
        <w:smartTagPr>
          <w:attr w:name="ProductID" w:val="la Serie B"/>
        </w:smartTagPr>
        <w:r w:rsidRPr="003734E9">
          <w:rPr>
            <w:snapToGrid w:val="0"/>
            <w:sz w:val="20"/>
            <w:szCs w:val="22"/>
          </w:rPr>
          <w:t>la Serie B</w:t>
        </w:r>
      </w:smartTag>
      <w:r w:rsidRPr="003734E9">
        <w:rPr>
          <w:snapToGrid w:val="0"/>
          <w:sz w:val="20"/>
          <w:szCs w:val="22"/>
        </w:rPr>
        <w:t xml:space="preserve"> sean adquiridas por las Entidades de </w:t>
      </w:r>
      <w:smartTag w:uri="urn:schemas-microsoft-com:office:smarttags" w:element="PersonName">
        <w:r w:rsidRPr="003734E9">
          <w:rPr>
            <w:snapToGrid w:val="0"/>
            <w:sz w:val="20"/>
            <w:szCs w:val="22"/>
          </w:rPr>
          <w:t>Promoción</w:t>
        </w:r>
      </w:smartTag>
      <w:r w:rsidRPr="003734E9">
        <w:rPr>
          <w:snapToGrid w:val="0"/>
          <w:sz w:val="20"/>
          <w:szCs w:val="22"/>
        </w:rPr>
        <w:t xml:space="preserve"> Turística Insular constituidas por los Cabildos Insulares, o en su defecto, por los propios Cabildos Insulares.</w:t>
      </w:r>
    </w:p>
    <w:p w14:paraId="7FB26621" w14:textId="77777777" w:rsidR="006220A2" w:rsidRPr="003734E9" w:rsidRDefault="006220A2" w:rsidP="006220A2">
      <w:pPr>
        <w:widowControl w:val="0"/>
        <w:spacing w:before="120"/>
        <w:jc w:val="both"/>
        <w:rPr>
          <w:snapToGrid w:val="0"/>
          <w:sz w:val="20"/>
          <w:szCs w:val="22"/>
        </w:rPr>
      </w:pPr>
      <w:r w:rsidRPr="003734E9">
        <w:rPr>
          <w:snapToGrid w:val="0"/>
          <w:sz w:val="20"/>
          <w:szCs w:val="22"/>
        </w:rPr>
        <w:t xml:space="preserve">Adicionalmente, la Sociedad recibe con carácter general y, de acuerdo con los Presupuestos Generales de </w:t>
      </w:r>
      <w:smartTag w:uri="urn:schemas-microsoft-com:office:smarttags" w:element="PersonName">
        <w:smartTagPr>
          <w:attr w:name="ProductID" w:val="la Comunidad Aut￳noma"/>
        </w:smartTagPr>
        <w:r w:rsidRPr="003734E9">
          <w:rPr>
            <w:snapToGrid w:val="0"/>
            <w:sz w:val="20"/>
            <w:szCs w:val="22"/>
          </w:rPr>
          <w:t>la Comunidad Autónoma</w:t>
        </w:r>
      </w:smartTag>
      <w:r w:rsidRPr="003734E9">
        <w:rPr>
          <w:snapToGrid w:val="0"/>
          <w:sz w:val="20"/>
          <w:szCs w:val="22"/>
        </w:rPr>
        <w:t xml:space="preserve"> de Canarias de cada año, determinadas subvenciones y/o transferencias destinadas a garantizar su actividad habitual.</w:t>
      </w:r>
    </w:p>
    <w:p w14:paraId="7A050EE0" w14:textId="77777777" w:rsidR="006220A2" w:rsidRPr="009E0C24" w:rsidRDefault="006220A2" w:rsidP="006220A2">
      <w:pPr>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84"/>
        </w:tabs>
        <w:spacing w:before="200"/>
        <w:ind w:left="0" w:firstLine="0"/>
        <w:outlineLvl w:val="9"/>
        <w:rPr>
          <w:i/>
          <w:sz w:val="20"/>
          <w:szCs w:val="22"/>
          <w:u w:val="single"/>
        </w:rPr>
      </w:pPr>
      <w:r w:rsidRPr="009E0C24">
        <w:rPr>
          <w:i/>
          <w:sz w:val="20"/>
          <w:szCs w:val="22"/>
          <w:u w:val="single"/>
        </w:rPr>
        <w:t>Reserva legal</w:t>
      </w:r>
    </w:p>
    <w:p w14:paraId="2F189033" w14:textId="77777777" w:rsidR="006220A2" w:rsidRPr="003734E9" w:rsidRDefault="006220A2" w:rsidP="006220A2">
      <w:pPr>
        <w:widowControl w:val="0"/>
        <w:spacing w:before="120"/>
        <w:jc w:val="both"/>
        <w:rPr>
          <w:snapToGrid w:val="0"/>
          <w:sz w:val="20"/>
          <w:szCs w:val="22"/>
        </w:rPr>
      </w:pPr>
      <w:r w:rsidRPr="003734E9">
        <w:rPr>
          <w:snapToGrid w:val="0"/>
          <w:sz w:val="20"/>
          <w:szCs w:val="22"/>
        </w:rPr>
        <w:t>De acuerdo con la Ley de Sociedades de Capital, debe destinarse una cifra igual al 10% del beneficio del ejercicio a la reserva legal hasta que ésta alcance, al menos, el 20% del capital social.</w:t>
      </w:r>
    </w:p>
    <w:p w14:paraId="5C60D2DC" w14:textId="77777777" w:rsidR="006220A2" w:rsidRPr="003734E9" w:rsidRDefault="006220A2" w:rsidP="006220A2">
      <w:pPr>
        <w:widowControl w:val="0"/>
        <w:spacing w:before="120"/>
        <w:jc w:val="both"/>
        <w:rPr>
          <w:snapToGrid w:val="0"/>
          <w:sz w:val="20"/>
          <w:szCs w:val="22"/>
        </w:rPr>
      </w:pPr>
      <w:r w:rsidRPr="003734E9">
        <w:rPr>
          <w:snapToGrid w:val="0"/>
          <w:sz w:val="20"/>
          <w:szCs w:val="22"/>
        </w:rPr>
        <w:t>La reserva legal podrá utilizarse para aumentar el capital social en la parte de su saldo que exceda del 10% del capital ya aumentado.</w:t>
      </w:r>
    </w:p>
    <w:p w14:paraId="09863610" w14:textId="77777777" w:rsidR="006220A2" w:rsidRPr="003734E9" w:rsidRDefault="006220A2" w:rsidP="006220A2">
      <w:pPr>
        <w:widowControl w:val="0"/>
        <w:spacing w:before="120"/>
        <w:jc w:val="both"/>
        <w:rPr>
          <w:snapToGrid w:val="0"/>
          <w:sz w:val="20"/>
          <w:szCs w:val="22"/>
        </w:rPr>
      </w:pPr>
      <w:r w:rsidRPr="003734E9">
        <w:rPr>
          <w:snapToGrid w:val="0"/>
          <w:sz w:val="20"/>
          <w:szCs w:val="22"/>
        </w:rPr>
        <w:t>Salvo para la finalidad mencionada anteriormente, y mientras no supere el 20% del capital social, esta reserva sólo podrá destinarse a la compensación de pérdidas y siempre que no existan otras reservas disponibles suficientes para este fin.</w:t>
      </w:r>
    </w:p>
    <w:p w14:paraId="7CD4CC1D" w14:textId="77777777" w:rsidR="006220A2" w:rsidRPr="003734E9" w:rsidRDefault="006220A2" w:rsidP="006220A2">
      <w:pPr>
        <w:widowControl w:val="0"/>
        <w:spacing w:before="120"/>
        <w:jc w:val="both"/>
        <w:rPr>
          <w:sz w:val="22"/>
          <w:szCs w:val="22"/>
        </w:rPr>
      </w:pPr>
      <w:r w:rsidRPr="00B91387">
        <w:rPr>
          <w:snapToGrid w:val="0"/>
          <w:sz w:val="20"/>
          <w:szCs w:val="22"/>
        </w:rPr>
        <w:t xml:space="preserve">La Sociedad no ha destinado importe alguno a reserva legal debido a que no ha obtenido beneficios en los ejercicios fiscales cerrados hasta el 31 de diciembre de </w:t>
      </w:r>
      <w:r w:rsidR="004261D1">
        <w:rPr>
          <w:snapToGrid w:val="0"/>
          <w:sz w:val="20"/>
          <w:szCs w:val="22"/>
        </w:rPr>
        <w:t>2018</w:t>
      </w:r>
      <w:r>
        <w:rPr>
          <w:snapToGrid w:val="0"/>
          <w:sz w:val="20"/>
          <w:szCs w:val="22"/>
        </w:rPr>
        <w:t>.</w:t>
      </w:r>
    </w:p>
    <w:p w14:paraId="0AA77F9B" w14:textId="77777777" w:rsidR="006220A2" w:rsidRPr="009E0C24" w:rsidRDefault="006220A2" w:rsidP="006220A2">
      <w:pPr>
        <w:keepNext/>
        <w:keepLines/>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84"/>
        </w:tabs>
        <w:spacing w:before="200"/>
        <w:ind w:left="0" w:firstLine="0"/>
        <w:outlineLvl w:val="9"/>
        <w:rPr>
          <w:i/>
          <w:sz w:val="20"/>
          <w:szCs w:val="22"/>
          <w:u w:val="single"/>
        </w:rPr>
      </w:pPr>
      <w:r w:rsidRPr="009E0C24">
        <w:rPr>
          <w:i/>
          <w:sz w:val="20"/>
          <w:szCs w:val="22"/>
          <w:u w:val="single"/>
        </w:rPr>
        <w:t>Otras aportaciones de socios</w:t>
      </w:r>
    </w:p>
    <w:p w14:paraId="56D71594" w14:textId="77777777" w:rsidR="006220A2" w:rsidRDefault="006220A2" w:rsidP="006220A2">
      <w:pPr>
        <w:keepNext/>
        <w:keepLines/>
        <w:widowControl w:val="0"/>
        <w:spacing w:before="120" w:after="120"/>
        <w:jc w:val="both"/>
        <w:rPr>
          <w:snapToGrid w:val="0"/>
          <w:sz w:val="20"/>
          <w:szCs w:val="22"/>
        </w:rPr>
      </w:pPr>
      <w:r w:rsidRPr="00B91387">
        <w:rPr>
          <w:snapToGrid w:val="0"/>
          <w:sz w:val="20"/>
          <w:szCs w:val="22"/>
        </w:rPr>
        <w:t>El importe contabilizado en este epígrafe se corresponde con la transferencia concedida y dev</w:t>
      </w:r>
      <w:r w:rsidR="004261D1">
        <w:rPr>
          <w:snapToGrid w:val="0"/>
          <w:sz w:val="20"/>
          <w:szCs w:val="22"/>
        </w:rPr>
        <w:t>engada a 31 de diciembre de 2018</w:t>
      </w:r>
      <w:r w:rsidRPr="00B91387">
        <w:rPr>
          <w:snapToGrid w:val="0"/>
          <w:sz w:val="20"/>
          <w:szCs w:val="22"/>
        </w:rPr>
        <w:t>, por parte de la Consejería de Turismo, Cultura y Deportes para financiar déficits de explotación o gastos generales de funcionamiento de la empresa, a continuación se detalla la misma:</w:t>
      </w:r>
    </w:p>
    <w:tbl>
      <w:tblPr>
        <w:tblW w:w="6804" w:type="dxa"/>
        <w:jc w:val="center"/>
        <w:tblCellMar>
          <w:left w:w="70" w:type="dxa"/>
          <w:right w:w="70" w:type="dxa"/>
        </w:tblCellMar>
        <w:tblLook w:val="04A0" w:firstRow="1" w:lastRow="0" w:firstColumn="1" w:lastColumn="0" w:noHBand="0" w:noVBand="1"/>
      </w:tblPr>
      <w:tblGrid>
        <w:gridCol w:w="3506"/>
        <w:gridCol w:w="1649"/>
        <w:gridCol w:w="1649"/>
      </w:tblGrid>
      <w:tr w:rsidR="006220A2" w:rsidRPr="001C1623" w14:paraId="223CA481" w14:textId="77777777" w:rsidTr="00852114">
        <w:trPr>
          <w:trHeight w:val="283"/>
          <w:jc w:val="center"/>
        </w:trPr>
        <w:tc>
          <w:tcPr>
            <w:tcW w:w="3506" w:type="dxa"/>
            <w:tcBorders>
              <w:top w:val="single" w:sz="4" w:space="0" w:color="auto"/>
              <w:left w:val="nil"/>
              <w:bottom w:val="nil"/>
              <w:right w:val="nil"/>
            </w:tcBorders>
            <w:shd w:val="clear" w:color="auto" w:fill="auto"/>
            <w:vAlign w:val="bottom"/>
            <w:hideMark/>
          </w:tcPr>
          <w:p w14:paraId="1463B86B" w14:textId="77777777" w:rsidR="006220A2" w:rsidRPr="00642591" w:rsidRDefault="006220A2" w:rsidP="00852114">
            <w:pPr>
              <w:jc w:val="center"/>
              <w:rPr>
                <w:rFonts w:eastAsia="Times New Roman"/>
                <w:sz w:val="18"/>
                <w:szCs w:val="18"/>
              </w:rPr>
            </w:pPr>
          </w:p>
        </w:tc>
        <w:tc>
          <w:tcPr>
            <w:tcW w:w="3298" w:type="dxa"/>
            <w:gridSpan w:val="2"/>
            <w:tcBorders>
              <w:top w:val="single" w:sz="4" w:space="0" w:color="auto"/>
              <w:left w:val="nil"/>
              <w:bottom w:val="single" w:sz="4" w:space="0" w:color="auto"/>
              <w:right w:val="nil"/>
            </w:tcBorders>
            <w:shd w:val="clear" w:color="auto" w:fill="auto"/>
            <w:vAlign w:val="bottom"/>
            <w:hideMark/>
          </w:tcPr>
          <w:p w14:paraId="50A698B1" w14:textId="77777777" w:rsidR="006220A2" w:rsidRPr="00642591" w:rsidRDefault="006220A2" w:rsidP="00852114">
            <w:pPr>
              <w:jc w:val="center"/>
              <w:rPr>
                <w:rFonts w:eastAsia="Times New Roman"/>
                <w:b/>
                <w:bCs/>
                <w:sz w:val="18"/>
                <w:szCs w:val="18"/>
              </w:rPr>
            </w:pPr>
            <w:r w:rsidRPr="00642591">
              <w:rPr>
                <w:rFonts w:eastAsia="Times New Roman"/>
                <w:b/>
                <w:bCs/>
                <w:snapToGrid w:val="0"/>
                <w:sz w:val="18"/>
                <w:szCs w:val="18"/>
              </w:rPr>
              <w:t>Euros</w:t>
            </w:r>
          </w:p>
        </w:tc>
      </w:tr>
      <w:tr w:rsidR="006220A2" w:rsidRPr="001C1623" w14:paraId="312DCFF9" w14:textId="77777777" w:rsidTr="00693BB6">
        <w:trPr>
          <w:trHeight w:val="283"/>
          <w:jc w:val="center"/>
        </w:trPr>
        <w:tc>
          <w:tcPr>
            <w:tcW w:w="3506" w:type="dxa"/>
            <w:tcBorders>
              <w:top w:val="nil"/>
              <w:left w:val="nil"/>
              <w:bottom w:val="single" w:sz="4" w:space="0" w:color="auto"/>
              <w:right w:val="nil"/>
            </w:tcBorders>
            <w:shd w:val="clear" w:color="auto" w:fill="auto"/>
            <w:vAlign w:val="bottom"/>
            <w:hideMark/>
          </w:tcPr>
          <w:p w14:paraId="0B7FB96A" w14:textId="77777777" w:rsidR="006220A2" w:rsidRPr="00642591" w:rsidRDefault="006220A2" w:rsidP="00852114">
            <w:pPr>
              <w:ind w:firstLineChars="200" w:firstLine="360"/>
              <w:jc w:val="center"/>
              <w:rPr>
                <w:rFonts w:eastAsia="Times New Roman"/>
                <w:sz w:val="18"/>
                <w:szCs w:val="18"/>
              </w:rPr>
            </w:pPr>
          </w:p>
        </w:tc>
        <w:tc>
          <w:tcPr>
            <w:tcW w:w="1649" w:type="dxa"/>
            <w:tcBorders>
              <w:top w:val="nil"/>
              <w:left w:val="nil"/>
              <w:bottom w:val="single" w:sz="4" w:space="0" w:color="auto"/>
              <w:right w:val="nil"/>
            </w:tcBorders>
            <w:shd w:val="clear" w:color="auto" w:fill="auto"/>
            <w:vAlign w:val="bottom"/>
            <w:hideMark/>
          </w:tcPr>
          <w:p w14:paraId="3DF8D519" w14:textId="77777777" w:rsidR="006220A2" w:rsidRPr="00642591" w:rsidRDefault="004261D1" w:rsidP="00852114">
            <w:pPr>
              <w:jc w:val="center"/>
              <w:rPr>
                <w:rFonts w:eastAsia="Times New Roman"/>
                <w:b/>
                <w:bCs/>
                <w:sz w:val="18"/>
                <w:szCs w:val="18"/>
              </w:rPr>
            </w:pPr>
            <w:r>
              <w:rPr>
                <w:rFonts w:eastAsia="Times New Roman"/>
                <w:b/>
                <w:bCs/>
                <w:sz w:val="18"/>
                <w:szCs w:val="18"/>
                <w:lang w:val="en-US"/>
              </w:rPr>
              <w:t>2018</w:t>
            </w:r>
          </w:p>
        </w:tc>
        <w:tc>
          <w:tcPr>
            <w:tcW w:w="1649" w:type="dxa"/>
            <w:tcBorders>
              <w:top w:val="nil"/>
              <w:left w:val="nil"/>
              <w:bottom w:val="single" w:sz="4" w:space="0" w:color="auto"/>
              <w:right w:val="nil"/>
            </w:tcBorders>
            <w:shd w:val="clear" w:color="auto" w:fill="auto"/>
            <w:vAlign w:val="bottom"/>
            <w:hideMark/>
          </w:tcPr>
          <w:p w14:paraId="0E1405C3" w14:textId="77777777" w:rsidR="006220A2" w:rsidRPr="00642591" w:rsidRDefault="004261D1" w:rsidP="00852114">
            <w:pPr>
              <w:jc w:val="center"/>
              <w:rPr>
                <w:rFonts w:eastAsia="Times New Roman"/>
                <w:b/>
                <w:bCs/>
                <w:sz w:val="18"/>
                <w:szCs w:val="18"/>
              </w:rPr>
            </w:pPr>
            <w:r>
              <w:rPr>
                <w:rFonts w:eastAsia="Times New Roman"/>
                <w:b/>
                <w:bCs/>
                <w:sz w:val="18"/>
                <w:szCs w:val="18"/>
                <w:lang w:val="en-US"/>
              </w:rPr>
              <w:t>2017</w:t>
            </w:r>
          </w:p>
        </w:tc>
      </w:tr>
      <w:tr w:rsidR="006220A2" w:rsidRPr="001C1623" w14:paraId="0AE8EFB6" w14:textId="77777777" w:rsidTr="00693BB6">
        <w:trPr>
          <w:trHeight w:val="255"/>
          <w:jc w:val="center"/>
        </w:trPr>
        <w:tc>
          <w:tcPr>
            <w:tcW w:w="3506" w:type="dxa"/>
            <w:tcBorders>
              <w:top w:val="nil"/>
              <w:left w:val="nil"/>
              <w:bottom w:val="single" w:sz="4" w:space="0" w:color="auto"/>
              <w:right w:val="nil"/>
            </w:tcBorders>
            <w:shd w:val="clear" w:color="auto" w:fill="auto"/>
            <w:vAlign w:val="center"/>
            <w:hideMark/>
          </w:tcPr>
          <w:p w14:paraId="45905DE5" w14:textId="77777777" w:rsidR="006220A2" w:rsidRPr="00642591" w:rsidRDefault="006220A2" w:rsidP="00852114">
            <w:pPr>
              <w:rPr>
                <w:rFonts w:eastAsia="Times New Roman"/>
                <w:sz w:val="18"/>
                <w:szCs w:val="18"/>
              </w:rPr>
            </w:pPr>
            <w:r w:rsidRPr="00642591">
              <w:rPr>
                <w:rFonts w:eastAsia="Times New Roman"/>
                <w:sz w:val="18"/>
                <w:szCs w:val="18"/>
              </w:rPr>
              <w:t>Transferencia para gastos de explotación</w:t>
            </w:r>
          </w:p>
        </w:tc>
        <w:tc>
          <w:tcPr>
            <w:tcW w:w="1649" w:type="dxa"/>
            <w:tcBorders>
              <w:top w:val="nil"/>
              <w:left w:val="nil"/>
              <w:bottom w:val="single" w:sz="4" w:space="0" w:color="auto"/>
              <w:right w:val="nil"/>
            </w:tcBorders>
            <w:shd w:val="clear" w:color="auto" w:fill="auto"/>
            <w:vAlign w:val="center"/>
          </w:tcPr>
          <w:p w14:paraId="4E6EFD3F" w14:textId="77777777" w:rsidR="006220A2" w:rsidRPr="002E7692" w:rsidRDefault="006220A2" w:rsidP="00852114">
            <w:pPr>
              <w:ind w:firstLineChars="200" w:firstLine="360"/>
              <w:jc w:val="right"/>
              <w:rPr>
                <w:rFonts w:eastAsia="Times New Roman"/>
                <w:sz w:val="18"/>
                <w:szCs w:val="18"/>
              </w:rPr>
            </w:pPr>
            <w:r w:rsidRPr="002E7692">
              <w:rPr>
                <w:rFonts w:eastAsia="Times New Roman"/>
                <w:sz w:val="18"/>
                <w:szCs w:val="18"/>
                <w:lang w:val="en-US"/>
              </w:rPr>
              <w:t>2.165.867,00</w:t>
            </w:r>
          </w:p>
        </w:tc>
        <w:tc>
          <w:tcPr>
            <w:tcW w:w="1649" w:type="dxa"/>
            <w:tcBorders>
              <w:top w:val="nil"/>
              <w:left w:val="nil"/>
              <w:bottom w:val="single" w:sz="4" w:space="0" w:color="auto"/>
              <w:right w:val="nil"/>
            </w:tcBorders>
            <w:shd w:val="clear" w:color="auto" w:fill="auto"/>
            <w:vAlign w:val="center"/>
            <w:hideMark/>
          </w:tcPr>
          <w:p w14:paraId="12F638AD" w14:textId="77777777" w:rsidR="006220A2" w:rsidRPr="002E7692" w:rsidRDefault="006220A2" w:rsidP="00852114">
            <w:pPr>
              <w:ind w:firstLineChars="200" w:firstLine="360"/>
              <w:jc w:val="right"/>
              <w:rPr>
                <w:rFonts w:eastAsia="Times New Roman"/>
                <w:sz w:val="18"/>
                <w:szCs w:val="18"/>
              </w:rPr>
            </w:pPr>
            <w:r w:rsidRPr="002E7692">
              <w:rPr>
                <w:rFonts w:eastAsia="Times New Roman"/>
                <w:sz w:val="18"/>
                <w:szCs w:val="18"/>
                <w:lang w:val="en-US"/>
              </w:rPr>
              <w:t>2.165.867,00</w:t>
            </w:r>
          </w:p>
        </w:tc>
      </w:tr>
      <w:tr w:rsidR="006220A2" w:rsidRPr="001C1623" w14:paraId="460FB006" w14:textId="77777777" w:rsidTr="00693BB6">
        <w:trPr>
          <w:trHeight w:val="255"/>
          <w:jc w:val="center"/>
        </w:trPr>
        <w:tc>
          <w:tcPr>
            <w:tcW w:w="3506" w:type="dxa"/>
            <w:tcBorders>
              <w:top w:val="nil"/>
              <w:left w:val="nil"/>
              <w:bottom w:val="single" w:sz="4" w:space="0" w:color="auto"/>
              <w:right w:val="nil"/>
            </w:tcBorders>
            <w:shd w:val="clear" w:color="auto" w:fill="auto"/>
            <w:vAlign w:val="center"/>
            <w:hideMark/>
          </w:tcPr>
          <w:p w14:paraId="2540C8B3" w14:textId="77777777" w:rsidR="006220A2" w:rsidRPr="00642591" w:rsidRDefault="006220A2" w:rsidP="00852114">
            <w:pPr>
              <w:ind w:firstLineChars="200" w:firstLine="360"/>
              <w:rPr>
                <w:rFonts w:eastAsia="Times New Roman"/>
                <w:sz w:val="18"/>
                <w:szCs w:val="18"/>
              </w:rPr>
            </w:pPr>
            <w:r w:rsidRPr="00642591">
              <w:rPr>
                <w:rFonts w:eastAsia="Times New Roman"/>
                <w:sz w:val="18"/>
                <w:szCs w:val="18"/>
              </w:rPr>
              <w:t> </w:t>
            </w:r>
          </w:p>
        </w:tc>
        <w:tc>
          <w:tcPr>
            <w:tcW w:w="1649" w:type="dxa"/>
            <w:tcBorders>
              <w:top w:val="nil"/>
              <w:left w:val="nil"/>
              <w:bottom w:val="single" w:sz="4" w:space="0" w:color="auto"/>
              <w:right w:val="nil"/>
            </w:tcBorders>
            <w:shd w:val="clear" w:color="auto" w:fill="auto"/>
            <w:vAlign w:val="center"/>
          </w:tcPr>
          <w:p w14:paraId="41603B9E" w14:textId="77777777" w:rsidR="006220A2" w:rsidRPr="003F12BD" w:rsidRDefault="006220A2" w:rsidP="00852114">
            <w:pPr>
              <w:ind w:firstLineChars="200" w:firstLine="361"/>
              <w:jc w:val="right"/>
              <w:rPr>
                <w:rFonts w:eastAsia="Times New Roman"/>
                <w:b/>
                <w:bCs/>
                <w:sz w:val="18"/>
                <w:szCs w:val="18"/>
              </w:rPr>
            </w:pPr>
            <w:r w:rsidRPr="003F12BD">
              <w:rPr>
                <w:rFonts w:eastAsia="Times New Roman"/>
                <w:b/>
                <w:bCs/>
                <w:sz w:val="18"/>
                <w:szCs w:val="18"/>
              </w:rPr>
              <w:t>2.165.867,00</w:t>
            </w:r>
          </w:p>
        </w:tc>
        <w:tc>
          <w:tcPr>
            <w:tcW w:w="1649" w:type="dxa"/>
            <w:tcBorders>
              <w:top w:val="nil"/>
              <w:left w:val="nil"/>
              <w:bottom w:val="single" w:sz="4" w:space="0" w:color="auto"/>
              <w:right w:val="nil"/>
            </w:tcBorders>
            <w:shd w:val="clear" w:color="auto" w:fill="auto"/>
            <w:vAlign w:val="center"/>
            <w:hideMark/>
          </w:tcPr>
          <w:p w14:paraId="23DBE5E8" w14:textId="77777777" w:rsidR="006220A2" w:rsidRPr="003F12BD" w:rsidRDefault="006220A2" w:rsidP="00852114">
            <w:pPr>
              <w:ind w:firstLineChars="200" w:firstLine="361"/>
              <w:jc w:val="right"/>
              <w:rPr>
                <w:rFonts w:eastAsia="Times New Roman"/>
                <w:b/>
                <w:bCs/>
                <w:sz w:val="18"/>
                <w:szCs w:val="18"/>
              </w:rPr>
            </w:pPr>
            <w:r w:rsidRPr="003F12BD">
              <w:rPr>
                <w:rFonts w:eastAsia="Times New Roman"/>
                <w:b/>
                <w:bCs/>
                <w:sz w:val="18"/>
                <w:szCs w:val="18"/>
              </w:rPr>
              <w:t>2.165.867,00</w:t>
            </w:r>
          </w:p>
        </w:tc>
      </w:tr>
    </w:tbl>
    <w:p w14:paraId="62E0BF9A" w14:textId="77777777" w:rsidR="006220A2" w:rsidRDefault="006220A2" w:rsidP="006220A2">
      <w:pPr>
        <w:widowControl w:val="0"/>
        <w:tabs>
          <w:tab w:val="num" w:pos="644"/>
        </w:tabs>
        <w:rPr>
          <w:b/>
          <w:sz w:val="22"/>
          <w:szCs w:val="22"/>
        </w:rPr>
      </w:pPr>
    </w:p>
    <w:p w14:paraId="63236696" w14:textId="77777777" w:rsidR="006220A2" w:rsidRDefault="006220A2" w:rsidP="006220A2">
      <w:pPr>
        <w:widowControl w:val="0"/>
        <w:tabs>
          <w:tab w:val="num" w:pos="644"/>
        </w:tabs>
        <w:rPr>
          <w:b/>
          <w:sz w:val="22"/>
          <w:szCs w:val="22"/>
        </w:rPr>
      </w:pPr>
    </w:p>
    <w:p w14:paraId="60237B0E" w14:textId="77777777" w:rsidR="006220A2" w:rsidRPr="00070E05" w:rsidRDefault="006220A2" w:rsidP="006220A2">
      <w:pPr>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lear" w:pos="644"/>
        </w:tabs>
        <w:ind w:left="284" w:hanging="284"/>
        <w:outlineLvl w:val="9"/>
        <w:rPr>
          <w:b/>
          <w:snapToGrid w:val="0"/>
          <w:sz w:val="22"/>
          <w:szCs w:val="22"/>
        </w:rPr>
      </w:pPr>
      <w:r w:rsidRPr="00070E05">
        <w:rPr>
          <w:b/>
          <w:snapToGrid w:val="0"/>
          <w:sz w:val="22"/>
          <w:szCs w:val="22"/>
        </w:rPr>
        <w:t>Gestión del riesgo financiero</w:t>
      </w:r>
    </w:p>
    <w:p w14:paraId="4C34BDDF" w14:textId="77777777" w:rsidR="006220A2" w:rsidRPr="002E7692" w:rsidRDefault="006220A2" w:rsidP="006220A2">
      <w:pPr>
        <w:widowControl w:val="0"/>
        <w:spacing w:before="200"/>
        <w:rPr>
          <w:b/>
          <w:sz w:val="20"/>
          <w:u w:val="single"/>
        </w:rPr>
      </w:pPr>
      <w:r>
        <w:rPr>
          <w:b/>
          <w:sz w:val="20"/>
        </w:rPr>
        <w:t>9.</w:t>
      </w:r>
      <w:r w:rsidRPr="002E7692">
        <w:rPr>
          <w:b/>
          <w:sz w:val="20"/>
        </w:rPr>
        <w:t>1 Factores de riesgo financiero</w:t>
      </w:r>
    </w:p>
    <w:p w14:paraId="1E650289" w14:textId="77777777" w:rsidR="006220A2" w:rsidRPr="002E7692" w:rsidRDefault="006220A2" w:rsidP="006220A2">
      <w:pPr>
        <w:widowControl w:val="0"/>
        <w:spacing w:before="120"/>
        <w:jc w:val="both"/>
        <w:rPr>
          <w:sz w:val="20"/>
        </w:rPr>
      </w:pPr>
      <w:r w:rsidRPr="002E7692">
        <w:rPr>
          <w:sz w:val="20"/>
        </w:rPr>
        <w:t xml:space="preserve">Las actividades de la Sociedad están expuestas a riesgo de mercado. El programa de gestión del riesgo global de la Sociedad se centra en la incertidumbre de los mercados financieros y trata de minimizar los efectos potenciales adversos sobre su rentabilidad financiera. </w:t>
      </w:r>
    </w:p>
    <w:p w14:paraId="241EF22D" w14:textId="77777777" w:rsidR="006220A2" w:rsidRPr="002E7692" w:rsidRDefault="006220A2" w:rsidP="006220A2">
      <w:pPr>
        <w:widowControl w:val="0"/>
        <w:spacing w:before="120"/>
        <w:jc w:val="both"/>
        <w:rPr>
          <w:sz w:val="20"/>
        </w:rPr>
      </w:pPr>
      <w:r w:rsidRPr="002E7692">
        <w:rPr>
          <w:sz w:val="20"/>
        </w:rPr>
        <w:t>La gestión del riesgo está controlada por la Dirección Financiera de la Sociedad  que identifica, evalúa y cubre los riesgos financieros con arreglo a las políticas aprobadas por el Consejo de Administración. El Consejo proporciona políticas para la gestión del riesgo global.</w:t>
      </w:r>
    </w:p>
    <w:p w14:paraId="523D68DC" w14:textId="77777777" w:rsidR="006220A2" w:rsidRPr="002E7692" w:rsidRDefault="006220A2" w:rsidP="006220A2">
      <w:pPr>
        <w:widowControl w:val="0"/>
        <w:spacing w:before="200"/>
        <w:rPr>
          <w:sz w:val="20"/>
        </w:rPr>
      </w:pPr>
      <w:r>
        <w:rPr>
          <w:b/>
          <w:sz w:val="20"/>
        </w:rPr>
        <w:t>9</w:t>
      </w:r>
      <w:r w:rsidRPr="002E7692">
        <w:rPr>
          <w:b/>
          <w:sz w:val="20"/>
        </w:rPr>
        <w:t>.2 Riesgo de mercado</w:t>
      </w:r>
    </w:p>
    <w:p w14:paraId="18ECA8D3" w14:textId="77777777" w:rsidR="006220A2" w:rsidRDefault="006220A2" w:rsidP="006220A2">
      <w:pPr>
        <w:widowControl w:val="0"/>
        <w:spacing w:before="120"/>
        <w:jc w:val="both"/>
        <w:rPr>
          <w:sz w:val="20"/>
          <w:lang w:eastAsia="en-US"/>
        </w:rPr>
      </w:pPr>
      <w:r w:rsidRPr="002E7692">
        <w:rPr>
          <w:sz w:val="20"/>
        </w:rPr>
        <w:t>Riesgo de tipo de cambio: l</w:t>
      </w:r>
      <w:r w:rsidRPr="002E7692">
        <w:rPr>
          <w:sz w:val="20"/>
          <w:lang w:eastAsia="en-US"/>
        </w:rPr>
        <w:t xml:space="preserve">as operaciones en moneda extranjera de </w:t>
      </w:r>
      <w:smartTag w:uri="urn:schemas-microsoft-com:office:smarttags" w:element="PersonName">
        <w:smartTagPr>
          <w:attr w:name="ProductID" w:val="la Sociedad"/>
        </w:smartTagPr>
        <w:r w:rsidRPr="002E7692">
          <w:rPr>
            <w:sz w:val="20"/>
            <w:lang w:eastAsia="en-US"/>
          </w:rPr>
          <w:t>la Sociedad</w:t>
        </w:r>
      </w:smartTag>
      <w:r w:rsidRPr="002E7692">
        <w:rPr>
          <w:sz w:val="20"/>
          <w:lang w:eastAsia="en-US"/>
        </w:rPr>
        <w:t xml:space="preserve"> tienen un volumen poco significativo.</w:t>
      </w:r>
    </w:p>
    <w:p w14:paraId="4A156584" w14:textId="77777777" w:rsidR="006220A2" w:rsidRDefault="006220A2" w:rsidP="006220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14:paraId="31E46201" w14:textId="77777777" w:rsidR="006220A2" w:rsidRPr="00070E05" w:rsidRDefault="006220A2" w:rsidP="00345D0E">
      <w:pPr>
        <w:keepNext/>
        <w:keepLines/>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lear" w:pos="644"/>
        </w:tabs>
        <w:ind w:left="284" w:hanging="284"/>
        <w:outlineLvl w:val="9"/>
        <w:rPr>
          <w:b/>
          <w:snapToGrid w:val="0"/>
          <w:sz w:val="22"/>
          <w:szCs w:val="22"/>
        </w:rPr>
      </w:pPr>
      <w:r>
        <w:rPr>
          <w:b/>
          <w:snapToGrid w:val="0"/>
          <w:sz w:val="22"/>
          <w:szCs w:val="22"/>
        </w:rPr>
        <w:t xml:space="preserve"> </w:t>
      </w:r>
      <w:r w:rsidRPr="00070E05">
        <w:rPr>
          <w:b/>
          <w:snapToGrid w:val="0"/>
          <w:sz w:val="22"/>
          <w:szCs w:val="22"/>
        </w:rPr>
        <w:t>Moneda Extranjera</w:t>
      </w:r>
    </w:p>
    <w:p w14:paraId="21908D2B" w14:textId="77777777" w:rsidR="006220A2" w:rsidRPr="009E0C24" w:rsidRDefault="006220A2" w:rsidP="00345D0E">
      <w:pPr>
        <w:keepNext/>
        <w:keepLines/>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84"/>
        </w:tabs>
        <w:spacing w:before="120" w:after="120"/>
        <w:ind w:left="284" w:hanging="284"/>
        <w:outlineLvl w:val="9"/>
        <w:rPr>
          <w:i/>
          <w:sz w:val="20"/>
          <w:szCs w:val="22"/>
          <w:u w:val="single"/>
        </w:rPr>
      </w:pPr>
      <w:r w:rsidRPr="009E0C24">
        <w:rPr>
          <w:i/>
          <w:sz w:val="20"/>
          <w:szCs w:val="22"/>
          <w:u w:val="single"/>
        </w:rPr>
        <w:t>Transacciones en moneda extranjera</w:t>
      </w:r>
    </w:p>
    <w:p w14:paraId="41846511" w14:textId="77777777" w:rsidR="006220A2" w:rsidRPr="002E7692" w:rsidRDefault="006220A2" w:rsidP="00345D0E">
      <w:pPr>
        <w:keepNext/>
        <w:keepLines/>
        <w:widowControl w:val="0"/>
        <w:spacing w:before="120" w:after="120"/>
        <w:jc w:val="both"/>
        <w:rPr>
          <w:sz w:val="22"/>
          <w:szCs w:val="22"/>
        </w:rPr>
      </w:pPr>
      <w:r w:rsidRPr="003C1930">
        <w:rPr>
          <w:sz w:val="20"/>
          <w:szCs w:val="22"/>
        </w:rPr>
        <w:t>Las transacciones que se ha</w:t>
      </w:r>
      <w:r w:rsidR="003C1930">
        <w:rPr>
          <w:sz w:val="20"/>
          <w:szCs w:val="22"/>
        </w:rPr>
        <w:t>n realizado en el ejercicio 2018 y 2017</w:t>
      </w:r>
      <w:r w:rsidRPr="003C1930">
        <w:rPr>
          <w:sz w:val="20"/>
          <w:szCs w:val="22"/>
        </w:rPr>
        <w:t xml:space="preserve"> en moneda extranjera, distinguiendo por moneda son las siguientes (los datos están en euros):</w:t>
      </w:r>
    </w:p>
    <w:tbl>
      <w:tblPr>
        <w:tblW w:w="6805" w:type="dxa"/>
        <w:jc w:val="center"/>
        <w:tblCellMar>
          <w:left w:w="70" w:type="dxa"/>
          <w:right w:w="70" w:type="dxa"/>
        </w:tblCellMar>
        <w:tblLook w:val="04A0" w:firstRow="1" w:lastRow="0" w:firstColumn="1" w:lastColumn="0" w:noHBand="0" w:noVBand="1"/>
      </w:tblPr>
      <w:tblGrid>
        <w:gridCol w:w="2773"/>
        <w:gridCol w:w="2016"/>
        <w:gridCol w:w="2016"/>
      </w:tblGrid>
      <w:tr w:rsidR="006220A2" w:rsidRPr="00C73E63" w14:paraId="749ABCF1" w14:textId="77777777" w:rsidTr="00852114">
        <w:trPr>
          <w:trHeight w:val="113"/>
          <w:jc w:val="center"/>
        </w:trPr>
        <w:tc>
          <w:tcPr>
            <w:tcW w:w="2773" w:type="dxa"/>
            <w:tcBorders>
              <w:top w:val="single" w:sz="4" w:space="0" w:color="auto"/>
              <w:left w:val="nil"/>
              <w:bottom w:val="nil"/>
              <w:right w:val="nil"/>
            </w:tcBorders>
            <w:shd w:val="clear" w:color="auto" w:fill="auto"/>
            <w:noWrap/>
            <w:vAlign w:val="bottom"/>
            <w:hideMark/>
          </w:tcPr>
          <w:p w14:paraId="0F260ABB" w14:textId="77777777" w:rsidR="006220A2" w:rsidRPr="00C73E63" w:rsidRDefault="006220A2" w:rsidP="00345D0E">
            <w:pPr>
              <w:keepNext/>
              <w:keepLines/>
              <w:widowControl w:val="0"/>
              <w:ind w:left="214"/>
              <w:rPr>
                <w:rFonts w:eastAsia="Times New Roman"/>
                <w:sz w:val="18"/>
                <w:szCs w:val="18"/>
              </w:rPr>
            </w:pPr>
            <w:r w:rsidRPr="00C73E63">
              <w:rPr>
                <w:rFonts w:eastAsia="Times New Roman"/>
                <w:sz w:val="18"/>
                <w:szCs w:val="18"/>
              </w:rPr>
              <w:t> </w:t>
            </w:r>
          </w:p>
        </w:tc>
        <w:tc>
          <w:tcPr>
            <w:tcW w:w="4032" w:type="dxa"/>
            <w:gridSpan w:val="2"/>
            <w:tcBorders>
              <w:top w:val="single" w:sz="4" w:space="0" w:color="auto"/>
              <w:left w:val="nil"/>
              <w:bottom w:val="nil"/>
              <w:right w:val="nil"/>
            </w:tcBorders>
            <w:shd w:val="clear" w:color="auto" w:fill="auto"/>
            <w:noWrap/>
            <w:vAlign w:val="bottom"/>
            <w:hideMark/>
          </w:tcPr>
          <w:p w14:paraId="41765B56" w14:textId="77777777" w:rsidR="006220A2" w:rsidRPr="00C73E63" w:rsidRDefault="006220A2" w:rsidP="00345D0E">
            <w:pPr>
              <w:keepNext/>
              <w:keepLines/>
              <w:widowControl w:val="0"/>
              <w:jc w:val="center"/>
              <w:rPr>
                <w:rFonts w:eastAsia="Times New Roman"/>
                <w:b/>
                <w:bCs/>
                <w:sz w:val="18"/>
                <w:szCs w:val="18"/>
              </w:rPr>
            </w:pPr>
            <w:r w:rsidRPr="00C73E63">
              <w:rPr>
                <w:rFonts w:eastAsia="Times New Roman"/>
                <w:b/>
                <w:bCs/>
                <w:sz w:val="18"/>
                <w:szCs w:val="18"/>
              </w:rPr>
              <w:t>Euros</w:t>
            </w:r>
          </w:p>
        </w:tc>
      </w:tr>
      <w:tr w:rsidR="006220A2" w:rsidRPr="00C73E63" w14:paraId="650A4E2D" w14:textId="77777777" w:rsidTr="00693BB6">
        <w:trPr>
          <w:trHeight w:val="240"/>
          <w:jc w:val="center"/>
        </w:trPr>
        <w:tc>
          <w:tcPr>
            <w:tcW w:w="2773" w:type="dxa"/>
            <w:tcBorders>
              <w:top w:val="nil"/>
              <w:left w:val="nil"/>
              <w:bottom w:val="single" w:sz="4" w:space="0" w:color="auto"/>
              <w:right w:val="nil"/>
            </w:tcBorders>
            <w:shd w:val="clear" w:color="auto" w:fill="auto"/>
            <w:noWrap/>
            <w:vAlign w:val="bottom"/>
            <w:hideMark/>
          </w:tcPr>
          <w:p w14:paraId="6F4F6D6C" w14:textId="77777777" w:rsidR="006220A2" w:rsidRPr="00C73E63" w:rsidRDefault="006220A2" w:rsidP="00345D0E">
            <w:pPr>
              <w:keepNext/>
              <w:keepLines/>
              <w:widowControl w:val="0"/>
              <w:ind w:left="214"/>
              <w:rPr>
                <w:rFonts w:eastAsia="Times New Roman"/>
                <w:sz w:val="18"/>
                <w:szCs w:val="18"/>
              </w:rPr>
            </w:pPr>
            <w:r w:rsidRPr="00C73E63">
              <w:rPr>
                <w:rFonts w:eastAsia="Times New Roman"/>
                <w:sz w:val="18"/>
                <w:szCs w:val="18"/>
              </w:rPr>
              <w:t> </w:t>
            </w:r>
          </w:p>
        </w:tc>
        <w:tc>
          <w:tcPr>
            <w:tcW w:w="2016" w:type="dxa"/>
            <w:tcBorders>
              <w:top w:val="single" w:sz="4" w:space="0" w:color="auto"/>
              <w:left w:val="nil"/>
              <w:bottom w:val="single" w:sz="4" w:space="0" w:color="auto"/>
              <w:right w:val="nil"/>
            </w:tcBorders>
            <w:shd w:val="clear" w:color="auto" w:fill="auto"/>
            <w:noWrap/>
            <w:vAlign w:val="bottom"/>
            <w:hideMark/>
          </w:tcPr>
          <w:p w14:paraId="5525BC72" w14:textId="77777777" w:rsidR="006220A2" w:rsidRPr="00C73E63" w:rsidRDefault="003C1930" w:rsidP="00345D0E">
            <w:pPr>
              <w:keepNext/>
              <w:keepLines/>
              <w:widowControl w:val="0"/>
              <w:jc w:val="center"/>
              <w:rPr>
                <w:rFonts w:eastAsia="Times New Roman"/>
                <w:b/>
                <w:bCs/>
                <w:sz w:val="18"/>
                <w:szCs w:val="18"/>
              </w:rPr>
            </w:pPr>
            <w:r w:rsidRPr="00C73E63">
              <w:rPr>
                <w:rFonts w:eastAsia="Times New Roman"/>
                <w:b/>
                <w:bCs/>
                <w:sz w:val="18"/>
                <w:szCs w:val="18"/>
              </w:rPr>
              <w:t>2018</w:t>
            </w:r>
          </w:p>
        </w:tc>
        <w:tc>
          <w:tcPr>
            <w:tcW w:w="2016" w:type="dxa"/>
            <w:tcBorders>
              <w:top w:val="single" w:sz="4" w:space="0" w:color="auto"/>
              <w:left w:val="nil"/>
              <w:bottom w:val="single" w:sz="4" w:space="0" w:color="auto"/>
              <w:right w:val="nil"/>
            </w:tcBorders>
            <w:shd w:val="clear" w:color="auto" w:fill="auto"/>
            <w:vAlign w:val="bottom"/>
            <w:hideMark/>
          </w:tcPr>
          <w:p w14:paraId="23BB5721" w14:textId="77777777" w:rsidR="006220A2" w:rsidRPr="00C73E63" w:rsidRDefault="003C1930" w:rsidP="00345D0E">
            <w:pPr>
              <w:keepNext/>
              <w:keepLines/>
              <w:widowControl w:val="0"/>
              <w:jc w:val="center"/>
              <w:rPr>
                <w:rFonts w:eastAsia="Times New Roman"/>
                <w:b/>
                <w:bCs/>
                <w:sz w:val="18"/>
                <w:szCs w:val="18"/>
              </w:rPr>
            </w:pPr>
            <w:r w:rsidRPr="00C73E63">
              <w:rPr>
                <w:rFonts w:eastAsia="Times New Roman"/>
                <w:b/>
                <w:bCs/>
                <w:sz w:val="18"/>
                <w:szCs w:val="18"/>
              </w:rPr>
              <w:t>2017</w:t>
            </w:r>
          </w:p>
        </w:tc>
      </w:tr>
      <w:tr w:rsidR="003C1930" w:rsidRPr="00C73E63" w14:paraId="6CFCC573" w14:textId="77777777" w:rsidTr="00693BB6">
        <w:trPr>
          <w:trHeight w:val="238"/>
          <w:jc w:val="center"/>
        </w:trPr>
        <w:tc>
          <w:tcPr>
            <w:tcW w:w="2773" w:type="dxa"/>
            <w:tcBorders>
              <w:top w:val="nil"/>
              <w:left w:val="nil"/>
              <w:bottom w:val="nil"/>
              <w:right w:val="nil"/>
            </w:tcBorders>
            <w:shd w:val="clear" w:color="auto" w:fill="auto"/>
            <w:noWrap/>
            <w:vAlign w:val="center"/>
            <w:hideMark/>
          </w:tcPr>
          <w:p w14:paraId="5765EF3C" w14:textId="77777777" w:rsidR="003C1930" w:rsidRPr="00C73E63" w:rsidRDefault="003C1930" w:rsidP="00345D0E">
            <w:pPr>
              <w:keepNext/>
              <w:keepLines/>
              <w:widowControl w:val="0"/>
              <w:ind w:left="214"/>
              <w:rPr>
                <w:rFonts w:eastAsia="Times New Roman"/>
                <w:sz w:val="18"/>
                <w:szCs w:val="18"/>
              </w:rPr>
            </w:pPr>
            <w:r w:rsidRPr="00C73E63">
              <w:rPr>
                <w:rFonts w:eastAsia="Times New Roman"/>
                <w:sz w:val="18"/>
                <w:szCs w:val="18"/>
              </w:rPr>
              <w:t>REINO UNIDO</w:t>
            </w:r>
          </w:p>
        </w:tc>
        <w:tc>
          <w:tcPr>
            <w:tcW w:w="2016" w:type="dxa"/>
            <w:tcBorders>
              <w:top w:val="nil"/>
              <w:left w:val="nil"/>
              <w:bottom w:val="nil"/>
              <w:right w:val="nil"/>
            </w:tcBorders>
            <w:shd w:val="clear" w:color="auto" w:fill="auto"/>
            <w:vAlign w:val="center"/>
          </w:tcPr>
          <w:p w14:paraId="7C97B74C" w14:textId="77777777" w:rsidR="003C1930" w:rsidRPr="00C73E63" w:rsidRDefault="003C1930" w:rsidP="00345D0E">
            <w:pPr>
              <w:keepNext/>
              <w:keepLines/>
              <w:widowControl w:val="0"/>
              <w:jc w:val="right"/>
              <w:rPr>
                <w:rFonts w:eastAsia="Times New Roman"/>
                <w:sz w:val="18"/>
                <w:szCs w:val="18"/>
              </w:rPr>
            </w:pPr>
            <w:r w:rsidRPr="00C73E63">
              <w:rPr>
                <w:rFonts w:eastAsia="Times New Roman"/>
                <w:sz w:val="18"/>
                <w:szCs w:val="18"/>
              </w:rPr>
              <w:t>406.498,11</w:t>
            </w:r>
          </w:p>
        </w:tc>
        <w:tc>
          <w:tcPr>
            <w:tcW w:w="2016" w:type="dxa"/>
            <w:tcBorders>
              <w:top w:val="nil"/>
              <w:left w:val="nil"/>
              <w:bottom w:val="nil"/>
              <w:right w:val="nil"/>
            </w:tcBorders>
            <w:shd w:val="clear" w:color="auto" w:fill="auto"/>
            <w:vAlign w:val="center"/>
          </w:tcPr>
          <w:p w14:paraId="635FCB07" w14:textId="77777777" w:rsidR="003C1930" w:rsidRPr="00C73E63" w:rsidRDefault="003C1930" w:rsidP="00345D0E">
            <w:pPr>
              <w:keepNext/>
              <w:keepLines/>
              <w:widowControl w:val="0"/>
              <w:jc w:val="right"/>
              <w:rPr>
                <w:rFonts w:eastAsia="Times New Roman"/>
                <w:sz w:val="18"/>
                <w:szCs w:val="18"/>
              </w:rPr>
            </w:pPr>
            <w:r w:rsidRPr="00C73E63">
              <w:rPr>
                <w:rFonts w:eastAsia="Times New Roman"/>
                <w:sz w:val="18"/>
                <w:szCs w:val="18"/>
              </w:rPr>
              <w:t>414.942,19</w:t>
            </w:r>
          </w:p>
        </w:tc>
      </w:tr>
      <w:tr w:rsidR="003C1930" w:rsidRPr="00C73E63" w14:paraId="3FD6A76B" w14:textId="77777777" w:rsidTr="00693BB6">
        <w:trPr>
          <w:trHeight w:val="238"/>
          <w:jc w:val="center"/>
        </w:trPr>
        <w:tc>
          <w:tcPr>
            <w:tcW w:w="2773" w:type="dxa"/>
            <w:tcBorders>
              <w:top w:val="nil"/>
              <w:left w:val="nil"/>
              <w:bottom w:val="nil"/>
              <w:right w:val="nil"/>
            </w:tcBorders>
            <w:shd w:val="clear" w:color="auto" w:fill="auto"/>
            <w:noWrap/>
            <w:vAlign w:val="center"/>
            <w:hideMark/>
          </w:tcPr>
          <w:p w14:paraId="382FBAEC" w14:textId="77777777" w:rsidR="003C1930" w:rsidRPr="00C73E63" w:rsidRDefault="003C1930" w:rsidP="00841182">
            <w:pPr>
              <w:ind w:left="214"/>
              <w:rPr>
                <w:rFonts w:eastAsia="Times New Roman"/>
                <w:sz w:val="18"/>
                <w:szCs w:val="18"/>
              </w:rPr>
            </w:pPr>
            <w:r w:rsidRPr="00C73E63">
              <w:rPr>
                <w:rFonts w:eastAsia="Times New Roman"/>
                <w:sz w:val="18"/>
                <w:szCs w:val="18"/>
              </w:rPr>
              <w:t>CANADA</w:t>
            </w:r>
          </w:p>
        </w:tc>
        <w:tc>
          <w:tcPr>
            <w:tcW w:w="2016" w:type="dxa"/>
            <w:tcBorders>
              <w:top w:val="nil"/>
              <w:left w:val="nil"/>
              <w:bottom w:val="nil"/>
              <w:right w:val="nil"/>
            </w:tcBorders>
            <w:shd w:val="clear" w:color="auto" w:fill="auto"/>
            <w:vAlign w:val="center"/>
          </w:tcPr>
          <w:p w14:paraId="1A22CA2D" w14:textId="77777777" w:rsidR="003C1930" w:rsidRPr="00C73E63" w:rsidRDefault="003C1930" w:rsidP="003C1930">
            <w:pPr>
              <w:jc w:val="right"/>
              <w:rPr>
                <w:rFonts w:eastAsia="Times New Roman"/>
                <w:sz w:val="18"/>
                <w:szCs w:val="18"/>
              </w:rPr>
            </w:pPr>
            <w:r w:rsidRPr="00C73E63">
              <w:rPr>
                <w:rFonts w:eastAsia="Times New Roman"/>
                <w:sz w:val="18"/>
                <w:szCs w:val="18"/>
              </w:rPr>
              <w:t>-</w:t>
            </w:r>
          </w:p>
        </w:tc>
        <w:tc>
          <w:tcPr>
            <w:tcW w:w="2016" w:type="dxa"/>
            <w:tcBorders>
              <w:top w:val="nil"/>
              <w:left w:val="nil"/>
              <w:bottom w:val="nil"/>
              <w:right w:val="nil"/>
            </w:tcBorders>
            <w:shd w:val="clear" w:color="auto" w:fill="auto"/>
            <w:vAlign w:val="center"/>
          </w:tcPr>
          <w:p w14:paraId="43B2DD0A" w14:textId="77777777" w:rsidR="003C1930" w:rsidRPr="00C73E63" w:rsidRDefault="003C1930" w:rsidP="003C1930">
            <w:pPr>
              <w:jc w:val="right"/>
              <w:rPr>
                <w:rFonts w:eastAsia="Times New Roman"/>
                <w:sz w:val="18"/>
                <w:szCs w:val="18"/>
              </w:rPr>
            </w:pPr>
            <w:r w:rsidRPr="00C73E63">
              <w:rPr>
                <w:rFonts w:eastAsia="Times New Roman"/>
                <w:sz w:val="18"/>
                <w:szCs w:val="18"/>
              </w:rPr>
              <w:t>30.555,47</w:t>
            </w:r>
          </w:p>
        </w:tc>
      </w:tr>
      <w:tr w:rsidR="003C1930" w:rsidRPr="00C73E63" w14:paraId="330528FD" w14:textId="77777777" w:rsidTr="00693BB6">
        <w:trPr>
          <w:trHeight w:val="238"/>
          <w:jc w:val="center"/>
        </w:trPr>
        <w:tc>
          <w:tcPr>
            <w:tcW w:w="2773" w:type="dxa"/>
            <w:tcBorders>
              <w:top w:val="nil"/>
              <w:left w:val="nil"/>
              <w:bottom w:val="nil"/>
              <w:right w:val="nil"/>
            </w:tcBorders>
            <w:shd w:val="clear" w:color="auto" w:fill="auto"/>
            <w:noWrap/>
            <w:vAlign w:val="center"/>
            <w:hideMark/>
          </w:tcPr>
          <w:p w14:paraId="28E18518" w14:textId="77777777" w:rsidR="003C1930" w:rsidRPr="00C73E63" w:rsidRDefault="003C1930" w:rsidP="00841182">
            <w:pPr>
              <w:ind w:left="214"/>
              <w:rPr>
                <w:rFonts w:eastAsia="Times New Roman"/>
                <w:sz w:val="18"/>
                <w:szCs w:val="18"/>
              </w:rPr>
            </w:pPr>
            <w:r w:rsidRPr="00C73E63">
              <w:rPr>
                <w:rFonts w:eastAsia="Times New Roman"/>
                <w:sz w:val="18"/>
                <w:szCs w:val="18"/>
              </w:rPr>
              <w:t>CHINA</w:t>
            </w:r>
          </w:p>
        </w:tc>
        <w:tc>
          <w:tcPr>
            <w:tcW w:w="2016" w:type="dxa"/>
            <w:tcBorders>
              <w:top w:val="nil"/>
              <w:left w:val="nil"/>
              <w:bottom w:val="nil"/>
              <w:right w:val="nil"/>
            </w:tcBorders>
            <w:shd w:val="clear" w:color="auto" w:fill="auto"/>
            <w:vAlign w:val="center"/>
          </w:tcPr>
          <w:p w14:paraId="6EBBBFA9" w14:textId="77777777" w:rsidR="003C1930" w:rsidRPr="00C73E63" w:rsidRDefault="003C1930" w:rsidP="003C1930">
            <w:pPr>
              <w:jc w:val="right"/>
              <w:rPr>
                <w:rFonts w:eastAsia="Times New Roman"/>
                <w:sz w:val="18"/>
                <w:szCs w:val="18"/>
              </w:rPr>
            </w:pPr>
            <w:r w:rsidRPr="00C73E63">
              <w:rPr>
                <w:rFonts w:eastAsia="Times New Roman"/>
                <w:sz w:val="18"/>
                <w:szCs w:val="18"/>
              </w:rPr>
              <w:t>113,62</w:t>
            </w:r>
          </w:p>
        </w:tc>
        <w:tc>
          <w:tcPr>
            <w:tcW w:w="2016" w:type="dxa"/>
            <w:tcBorders>
              <w:top w:val="nil"/>
              <w:left w:val="nil"/>
              <w:bottom w:val="nil"/>
              <w:right w:val="nil"/>
            </w:tcBorders>
            <w:shd w:val="clear" w:color="auto" w:fill="auto"/>
            <w:vAlign w:val="center"/>
          </w:tcPr>
          <w:p w14:paraId="33B49D59" w14:textId="77777777" w:rsidR="003C1930" w:rsidRPr="00C73E63" w:rsidRDefault="003C1930" w:rsidP="003C1930">
            <w:pPr>
              <w:jc w:val="right"/>
              <w:rPr>
                <w:rFonts w:eastAsia="Times New Roman"/>
                <w:sz w:val="18"/>
                <w:szCs w:val="18"/>
              </w:rPr>
            </w:pPr>
            <w:r w:rsidRPr="00C73E63">
              <w:rPr>
                <w:rFonts w:eastAsia="Times New Roman"/>
                <w:sz w:val="18"/>
                <w:szCs w:val="18"/>
              </w:rPr>
              <w:t>-</w:t>
            </w:r>
          </w:p>
        </w:tc>
      </w:tr>
      <w:tr w:rsidR="003C1930" w:rsidRPr="00C73E63" w14:paraId="2562F7EB" w14:textId="77777777" w:rsidTr="00693BB6">
        <w:trPr>
          <w:trHeight w:val="238"/>
          <w:jc w:val="center"/>
        </w:trPr>
        <w:tc>
          <w:tcPr>
            <w:tcW w:w="2773" w:type="dxa"/>
            <w:tcBorders>
              <w:top w:val="nil"/>
              <w:left w:val="nil"/>
              <w:bottom w:val="nil"/>
              <w:right w:val="nil"/>
            </w:tcBorders>
            <w:shd w:val="clear" w:color="auto" w:fill="auto"/>
            <w:noWrap/>
            <w:vAlign w:val="center"/>
            <w:hideMark/>
          </w:tcPr>
          <w:p w14:paraId="68023A97" w14:textId="77777777" w:rsidR="003C1930" w:rsidRPr="00C73E63" w:rsidRDefault="003C1930" w:rsidP="00841182">
            <w:pPr>
              <w:ind w:left="214"/>
              <w:rPr>
                <w:rFonts w:eastAsia="Times New Roman"/>
                <w:sz w:val="18"/>
                <w:szCs w:val="18"/>
              </w:rPr>
            </w:pPr>
            <w:r w:rsidRPr="00C73E63">
              <w:rPr>
                <w:rFonts w:eastAsia="Times New Roman"/>
                <w:sz w:val="18"/>
                <w:szCs w:val="18"/>
              </w:rPr>
              <w:t>DINAMARCA</w:t>
            </w:r>
          </w:p>
        </w:tc>
        <w:tc>
          <w:tcPr>
            <w:tcW w:w="2016" w:type="dxa"/>
            <w:tcBorders>
              <w:top w:val="nil"/>
              <w:left w:val="nil"/>
              <w:bottom w:val="nil"/>
              <w:right w:val="nil"/>
            </w:tcBorders>
            <w:shd w:val="clear" w:color="auto" w:fill="auto"/>
            <w:vAlign w:val="center"/>
          </w:tcPr>
          <w:p w14:paraId="388E940A" w14:textId="77777777" w:rsidR="003C1930" w:rsidRPr="00C73E63" w:rsidRDefault="003C1930" w:rsidP="003C1930">
            <w:pPr>
              <w:jc w:val="right"/>
              <w:rPr>
                <w:rFonts w:eastAsia="Times New Roman"/>
                <w:sz w:val="18"/>
                <w:szCs w:val="18"/>
              </w:rPr>
            </w:pPr>
            <w:r w:rsidRPr="00C73E63">
              <w:rPr>
                <w:rFonts w:eastAsia="Times New Roman"/>
                <w:sz w:val="18"/>
                <w:szCs w:val="18"/>
              </w:rPr>
              <w:t>-</w:t>
            </w:r>
          </w:p>
        </w:tc>
        <w:tc>
          <w:tcPr>
            <w:tcW w:w="2016" w:type="dxa"/>
            <w:tcBorders>
              <w:top w:val="nil"/>
              <w:left w:val="nil"/>
              <w:bottom w:val="nil"/>
              <w:right w:val="nil"/>
            </w:tcBorders>
            <w:shd w:val="clear" w:color="auto" w:fill="auto"/>
            <w:vAlign w:val="center"/>
          </w:tcPr>
          <w:p w14:paraId="50D20DA9" w14:textId="77777777" w:rsidR="003C1930" w:rsidRPr="00C73E63" w:rsidRDefault="003C1930" w:rsidP="003C1930">
            <w:pPr>
              <w:jc w:val="right"/>
              <w:rPr>
                <w:rFonts w:eastAsia="Times New Roman"/>
                <w:sz w:val="18"/>
                <w:szCs w:val="18"/>
              </w:rPr>
            </w:pPr>
            <w:r w:rsidRPr="00C73E63">
              <w:rPr>
                <w:rFonts w:eastAsia="Times New Roman"/>
                <w:sz w:val="18"/>
                <w:szCs w:val="18"/>
              </w:rPr>
              <w:t>12.400,51</w:t>
            </w:r>
          </w:p>
        </w:tc>
      </w:tr>
      <w:tr w:rsidR="003C1930" w:rsidRPr="00C73E63" w14:paraId="127AF4C5" w14:textId="77777777" w:rsidTr="00693BB6">
        <w:trPr>
          <w:trHeight w:val="238"/>
          <w:jc w:val="center"/>
        </w:trPr>
        <w:tc>
          <w:tcPr>
            <w:tcW w:w="2773" w:type="dxa"/>
            <w:tcBorders>
              <w:top w:val="nil"/>
              <w:left w:val="nil"/>
              <w:bottom w:val="nil"/>
              <w:right w:val="nil"/>
            </w:tcBorders>
            <w:shd w:val="clear" w:color="auto" w:fill="auto"/>
            <w:noWrap/>
            <w:vAlign w:val="center"/>
            <w:hideMark/>
          </w:tcPr>
          <w:p w14:paraId="60CDBEF2" w14:textId="77777777" w:rsidR="003C1930" w:rsidRPr="00C73E63" w:rsidRDefault="003C1930" w:rsidP="00841182">
            <w:pPr>
              <w:ind w:left="214"/>
              <w:rPr>
                <w:rFonts w:eastAsia="Times New Roman"/>
                <w:sz w:val="18"/>
                <w:szCs w:val="18"/>
              </w:rPr>
            </w:pPr>
            <w:r w:rsidRPr="00C73E63">
              <w:rPr>
                <w:rFonts w:eastAsia="Times New Roman"/>
                <w:sz w:val="18"/>
                <w:szCs w:val="18"/>
              </w:rPr>
              <w:t>SUECIA</w:t>
            </w:r>
          </w:p>
        </w:tc>
        <w:tc>
          <w:tcPr>
            <w:tcW w:w="2016" w:type="dxa"/>
            <w:tcBorders>
              <w:top w:val="nil"/>
              <w:left w:val="nil"/>
              <w:bottom w:val="nil"/>
              <w:right w:val="nil"/>
            </w:tcBorders>
            <w:shd w:val="clear" w:color="auto" w:fill="auto"/>
            <w:vAlign w:val="center"/>
          </w:tcPr>
          <w:p w14:paraId="50233C2E" w14:textId="77777777" w:rsidR="003C1930" w:rsidRPr="00C73E63" w:rsidRDefault="003C1930" w:rsidP="003C1930">
            <w:pPr>
              <w:jc w:val="right"/>
              <w:rPr>
                <w:rFonts w:eastAsia="Times New Roman"/>
                <w:sz w:val="18"/>
                <w:szCs w:val="18"/>
              </w:rPr>
            </w:pPr>
            <w:r w:rsidRPr="00C73E63">
              <w:rPr>
                <w:rFonts w:eastAsia="Times New Roman"/>
                <w:sz w:val="18"/>
                <w:szCs w:val="18"/>
              </w:rPr>
              <w:t>18.824,71</w:t>
            </w:r>
          </w:p>
        </w:tc>
        <w:tc>
          <w:tcPr>
            <w:tcW w:w="2016" w:type="dxa"/>
            <w:tcBorders>
              <w:top w:val="nil"/>
              <w:left w:val="nil"/>
              <w:bottom w:val="nil"/>
              <w:right w:val="nil"/>
            </w:tcBorders>
            <w:shd w:val="clear" w:color="auto" w:fill="auto"/>
            <w:vAlign w:val="center"/>
          </w:tcPr>
          <w:p w14:paraId="72C88A9F" w14:textId="77777777" w:rsidR="003C1930" w:rsidRPr="00C73E63" w:rsidRDefault="003C1930" w:rsidP="003C1930">
            <w:pPr>
              <w:jc w:val="right"/>
              <w:rPr>
                <w:rFonts w:eastAsia="Times New Roman"/>
                <w:sz w:val="18"/>
                <w:szCs w:val="18"/>
              </w:rPr>
            </w:pPr>
            <w:r w:rsidRPr="00C73E63">
              <w:rPr>
                <w:rFonts w:eastAsia="Times New Roman"/>
                <w:sz w:val="18"/>
                <w:szCs w:val="18"/>
              </w:rPr>
              <w:t>21.221,21</w:t>
            </w:r>
          </w:p>
        </w:tc>
      </w:tr>
      <w:tr w:rsidR="003C1930" w:rsidRPr="00C73E63" w14:paraId="2B4C58A7" w14:textId="77777777" w:rsidTr="00693BB6">
        <w:trPr>
          <w:trHeight w:val="238"/>
          <w:jc w:val="center"/>
        </w:trPr>
        <w:tc>
          <w:tcPr>
            <w:tcW w:w="2773" w:type="dxa"/>
            <w:tcBorders>
              <w:top w:val="nil"/>
              <w:left w:val="nil"/>
              <w:bottom w:val="nil"/>
              <w:right w:val="nil"/>
            </w:tcBorders>
            <w:shd w:val="clear" w:color="auto" w:fill="auto"/>
            <w:noWrap/>
            <w:vAlign w:val="center"/>
            <w:hideMark/>
          </w:tcPr>
          <w:p w14:paraId="120CD88D" w14:textId="77777777" w:rsidR="003C1930" w:rsidRPr="00C73E63" w:rsidRDefault="003C1930" w:rsidP="00841182">
            <w:pPr>
              <w:ind w:left="214"/>
              <w:rPr>
                <w:rFonts w:eastAsia="Times New Roman"/>
                <w:sz w:val="18"/>
                <w:szCs w:val="18"/>
              </w:rPr>
            </w:pPr>
            <w:r w:rsidRPr="00C73E63">
              <w:rPr>
                <w:rFonts w:eastAsia="Times New Roman"/>
                <w:sz w:val="18"/>
                <w:szCs w:val="18"/>
              </w:rPr>
              <w:t>RUSIA</w:t>
            </w:r>
          </w:p>
        </w:tc>
        <w:tc>
          <w:tcPr>
            <w:tcW w:w="2016" w:type="dxa"/>
            <w:tcBorders>
              <w:top w:val="nil"/>
              <w:left w:val="nil"/>
              <w:bottom w:val="nil"/>
              <w:right w:val="nil"/>
            </w:tcBorders>
            <w:shd w:val="clear" w:color="auto" w:fill="auto"/>
            <w:vAlign w:val="center"/>
          </w:tcPr>
          <w:p w14:paraId="11DC486E" w14:textId="77777777" w:rsidR="003C1930" w:rsidRPr="00C73E63" w:rsidRDefault="003C1930" w:rsidP="003C1930">
            <w:pPr>
              <w:jc w:val="right"/>
              <w:rPr>
                <w:rFonts w:eastAsia="Times New Roman"/>
                <w:sz w:val="18"/>
                <w:szCs w:val="18"/>
              </w:rPr>
            </w:pPr>
            <w:r w:rsidRPr="00C73E63">
              <w:rPr>
                <w:rFonts w:eastAsia="Times New Roman"/>
                <w:sz w:val="18"/>
                <w:szCs w:val="18"/>
              </w:rPr>
              <w:t>-</w:t>
            </w:r>
          </w:p>
        </w:tc>
        <w:tc>
          <w:tcPr>
            <w:tcW w:w="2016" w:type="dxa"/>
            <w:tcBorders>
              <w:top w:val="nil"/>
              <w:left w:val="nil"/>
              <w:bottom w:val="nil"/>
              <w:right w:val="nil"/>
            </w:tcBorders>
            <w:shd w:val="clear" w:color="auto" w:fill="auto"/>
            <w:vAlign w:val="center"/>
          </w:tcPr>
          <w:p w14:paraId="4AD36812" w14:textId="77777777" w:rsidR="003C1930" w:rsidRPr="00C73E63" w:rsidRDefault="003C1930" w:rsidP="003C1930">
            <w:pPr>
              <w:jc w:val="right"/>
              <w:rPr>
                <w:rFonts w:eastAsia="Times New Roman"/>
                <w:sz w:val="18"/>
                <w:szCs w:val="18"/>
              </w:rPr>
            </w:pPr>
            <w:r w:rsidRPr="00C73E63">
              <w:rPr>
                <w:rFonts w:eastAsia="Times New Roman"/>
                <w:sz w:val="18"/>
                <w:szCs w:val="18"/>
              </w:rPr>
              <w:t>1.130,85</w:t>
            </w:r>
          </w:p>
        </w:tc>
      </w:tr>
      <w:tr w:rsidR="003C1930" w:rsidRPr="00C73E63" w14:paraId="7E082CEB" w14:textId="77777777" w:rsidTr="00693BB6">
        <w:trPr>
          <w:trHeight w:val="238"/>
          <w:jc w:val="center"/>
        </w:trPr>
        <w:tc>
          <w:tcPr>
            <w:tcW w:w="2773" w:type="dxa"/>
            <w:tcBorders>
              <w:top w:val="nil"/>
              <w:left w:val="nil"/>
              <w:bottom w:val="nil"/>
              <w:right w:val="nil"/>
            </w:tcBorders>
            <w:shd w:val="clear" w:color="auto" w:fill="auto"/>
            <w:noWrap/>
            <w:vAlign w:val="center"/>
            <w:hideMark/>
          </w:tcPr>
          <w:p w14:paraId="2AF1B78A" w14:textId="77777777" w:rsidR="003C1930" w:rsidRPr="00C73E63" w:rsidRDefault="003C1930" w:rsidP="00841182">
            <w:pPr>
              <w:ind w:left="214"/>
              <w:rPr>
                <w:rFonts w:eastAsia="Times New Roman"/>
                <w:sz w:val="18"/>
                <w:szCs w:val="18"/>
              </w:rPr>
            </w:pPr>
            <w:r w:rsidRPr="00C73E63">
              <w:rPr>
                <w:rFonts w:eastAsia="Times New Roman"/>
                <w:sz w:val="18"/>
                <w:szCs w:val="18"/>
              </w:rPr>
              <w:t>ESTADOS UNIDOS</w:t>
            </w:r>
          </w:p>
        </w:tc>
        <w:tc>
          <w:tcPr>
            <w:tcW w:w="2016" w:type="dxa"/>
            <w:tcBorders>
              <w:top w:val="nil"/>
              <w:left w:val="nil"/>
              <w:bottom w:val="nil"/>
              <w:right w:val="nil"/>
            </w:tcBorders>
            <w:shd w:val="clear" w:color="auto" w:fill="auto"/>
            <w:vAlign w:val="center"/>
          </w:tcPr>
          <w:p w14:paraId="161AFDCE" w14:textId="77777777" w:rsidR="003C1930" w:rsidRPr="00C73E63" w:rsidRDefault="003C1930" w:rsidP="003C1930">
            <w:pPr>
              <w:jc w:val="right"/>
              <w:rPr>
                <w:rFonts w:eastAsia="Times New Roman"/>
                <w:sz w:val="18"/>
                <w:szCs w:val="18"/>
              </w:rPr>
            </w:pPr>
            <w:r w:rsidRPr="00C73E63">
              <w:rPr>
                <w:rFonts w:eastAsia="Times New Roman"/>
                <w:sz w:val="18"/>
                <w:szCs w:val="18"/>
              </w:rPr>
              <w:t>9.821,82</w:t>
            </w:r>
          </w:p>
        </w:tc>
        <w:tc>
          <w:tcPr>
            <w:tcW w:w="2016" w:type="dxa"/>
            <w:tcBorders>
              <w:top w:val="nil"/>
              <w:left w:val="nil"/>
              <w:bottom w:val="nil"/>
              <w:right w:val="nil"/>
            </w:tcBorders>
            <w:shd w:val="clear" w:color="auto" w:fill="auto"/>
            <w:vAlign w:val="center"/>
          </w:tcPr>
          <w:p w14:paraId="2487850E" w14:textId="77777777" w:rsidR="003C1930" w:rsidRPr="00C73E63" w:rsidRDefault="003C1930" w:rsidP="003C1930">
            <w:pPr>
              <w:jc w:val="right"/>
              <w:rPr>
                <w:rFonts w:eastAsia="Times New Roman"/>
                <w:sz w:val="18"/>
                <w:szCs w:val="18"/>
              </w:rPr>
            </w:pPr>
            <w:r w:rsidRPr="00C73E63">
              <w:rPr>
                <w:rFonts w:eastAsia="Times New Roman"/>
                <w:sz w:val="18"/>
                <w:szCs w:val="18"/>
              </w:rPr>
              <w:t>18.643,75</w:t>
            </w:r>
          </w:p>
        </w:tc>
      </w:tr>
      <w:tr w:rsidR="003C1930" w:rsidRPr="00C73E63" w14:paraId="7FEC41F1" w14:textId="77777777" w:rsidTr="00693BB6">
        <w:trPr>
          <w:trHeight w:val="238"/>
          <w:jc w:val="center"/>
        </w:trPr>
        <w:tc>
          <w:tcPr>
            <w:tcW w:w="2773" w:type="dxa"/>
            <w:tcBorders>
              <w:top w:val="nil"/>
              <w:left w:val="nil"/>
              <w:bottom w:val="nil"/>
              <w:right w:val="nil"/>
            </w:tcBorders>
            <w:shd w:val="clear" w:color="auto" w:fill="auto"/>
            <w:noWrap/>
            <w:vAlign w:val="center"/>
            <w:hideMark/>
          </w:tcPr>
          <w:p w14:paraId="1AB0347A" w14:textId="77777777" w:rsidR="003C1930" w:rsidRPr="00C73E63" w:rsidRDefault="003C1930" w:rsidP="00841182">
            <w:pPr>
              <w:ind w:left="214"/>
              <w:rPr>
                <w:rFonts w:eastAsia="Times New Roman"/>
                <w:sz w:val="18"/>
                <w:szCs w:val="18"/>
              </w:rPr>
            </w:pPr>
            <w:r w:rsidRPr="00C73E63">
              <w:rPr>
                <w:rFonts w:eastAsia="Times New Roman"/>
                <w:sz w:val="18"/>
                <w:szCs w:val="18"/>
              </w:rPr>
              <w:t>SUIZA</w:t>
            </w:r>
          </w:p>
        </w:tc>
        <w:tc>
          <w:tcPr>
            <w:tcW w:w="2016" w:type="dxa"/>
            <w:tcBorders>
              <w:top w:val="nil"/>
              <w:left w:val="nil"/>
              <w:bottom w:val="nil"/>
              <w:right w:val="nil"/>
            </w:tcBorders>
            <w:shd w:val="clear" w:color="auto" w:fill="auto"/>
            <w:vAlign w:val="center"/>
          </w:tcPr>
          <w:p w14:paraId="74D9DE98" w14:textId="77777777" w:rsidR="003C1930" w:rsidRPr="00C73E63" w:rsidRDefault="003C1930" w:rsidP="003C1930">
            <w:pPr>
              <w:jc w:val="right"/>
              <w:rPr>
                <w:rFonts w:eastAsia="Times New Roman"/>
                <w:sz w:val="18"/>
                <w:szCs w:val="18"/>
              </w:rPr>
            </w:pPr>
            <w:r w:rsidRPr="00C73E63">
              <w:rPr>
                <w:rFonts w:eastAsia="Times New Roman"/>
                <w:sz w:val="18"/>
                <w:szCs w:val="18"/>
              </w:rPr>
              <w:t>-</w:t>
            </w:r>
          </w:p>
        </w:tc>
        <w:tc>
          <w:tcPr>
            <w:tcW w:w="2016" w:type="dxa"/>
            <w:tcBorders>
              <w:top w:val="nil"/>
              <w:left w:val="nil"/>
              <w:bottom w:val="nil"/>
              <w:right w:val="nil"/>
            </w:tcBorders>
            <w:shd w:val="clear" w:color="auto" w:fill="auto"/>
            <w:vAlign w:val="center"/>
          </w:tcPr>
          <w:p w14:paraId="653D68D9" w14:textId="77777777" w:rsidR="003C1930" w:rsidRPr="00C73E63" w:rsidRDefault="003C1930" w:rsidP="003C1930">
            <w:pPr>
              <w:jc w:val="right"/>
              <w:rPr>
                <w:rFonts w:eastAsia="Times New Roman"/>
                <w:sz w:val="18"/>
                <w:szCs w:val="18"/>
              </w:rPr>
            </w:pPr>
            <w:r w:rsidRPr="00C73E63">
              <w:rPr>
                <w:rFonts w:eastAsia="Times New Roman"/>
                <w:sz w:val="18"/>
                <w:szCs w:val="18"/>
              </w:rPr>
              <w:t>2.041,73</w:t>
            </w:r>
          </w:p>
        </w:tc>
      </w:tr>
      <w:tr w:rsidR="003C1930" w:rsidRPr="00C73E63" w14:paraId="286E2338" w14:textId="77777777" w:rsidTr="00693BB6">
        <w:trPr>
          <w:trHeight w:val="238"/>
          <w:jc w:val="center"/>
        </w:trPr>
        <w:tc>
          <w:tcPr>
            <w:tcW w:w="2773" w:type="dxa"/>
            <w:tcBorders>
              <w:top w:val="nil"/>
              <w:left w:val="nil"/>
              <w:bottom w:val="nil"/>
              <w:right w:val="nil"/>
            </w:tcBorders>
            <w:shd w:val="clear" w:color="auto" w:fill="auto"/>
            <w:noWrap/>
            <w:vAlign w:val="center"/>
            <w:hideMark/>
          </w:tcPr>
          <w:p w14:paraId="25AAB715" w14:textId="77777777" w:rsidR="003C1930" w:rsidRPr="00C73E63" w:rsidRDefault="003C1930" w:rsidP="00841182">
            <w:pPr>
              <w:ind w:left="214"/>
              <w:rPr>
                <w:rFonts w:eastAsia="Times New Roman"/>
                <w:sz w:val="18"/>
                <w:szCs w:val="18"/>
              </w:rPr>
            </w:pPr>
            <w:r w:rsidRPr="00C73E63">
              <w:rPr>
                <w:rFonts w:eastAsia="Times New Roman"/>
                <w:sz w:val="18"/>
                <w:szCs w:val="18"/>
              </w:rPr>
              <w:t>ISLANDIA</w:t>
            </w:r>
          </w:p>
        </w:tc>
        <w:tc>
          <w:tcPr>
            <w:tcW w:w="2016" w:type="dxa"/>
            <w:tcBorders>
              <w:top w:val="nil"/>
              <w:left w:val="nil"/>
              <w:bottom w:val="nil"/>
              <w:right w:val="nil"/>
            </w:tcBorders>
            <w:shd w:val="clear" w:color="auto" w:fill="auto"/>
            <w:vAlign w:val="center"/>
          </w:tcPr>
          <w:p w14:paraId="213E7646" w14:textId="77777777" w:rsidR="003C1930" w:rsidRPr="00C73E63" w:rsidRDefault="003C1930" w:rsidP="003C1930">
            <w:pPr>
              <w:jc w:val="right"/>
              <w:rPr>
                <w:rFonts w:eastAsia="Times New Roman"/>
                <w:sz w:val="18"/>
                <w:szCs w:val="18"/>
              </w:rPr>
            </w:pPr>
            <w:r w:rsidRPr="00C73E63">
              <w:rPr>
                <w:rFonts w:eastAsia="Times New Roman"/>
                <w:sz w:val="18"/>
                <w:szCs w:val="18"/>
              </w:rPr>
              <w:t>-</w:t>
            </w:r>
          </w:p>
        </w:tc>
        <w:tc>
          <w:tcPr>
            <w:tcW w:w="2016" w:type="dxa"/>
            <w:tcBorders>
              <w:top w:val="nil"/>
              <w:left w:val="nil"/>
              <w:bottom w:val="nil"/>
              <w:right w:val="nil"/>
            </w:tcBorders>
            <w:shd w:val="clear" w:color="auto" w:fill="auto"/>
            <w:vAlign w:val="center"/>
          </w:tcPr>
          <w:p w14:paraId="744C2681" w14:textId="77777777" w:rsidR="003C1930" w:rsidRPr="00C73E63" w:rsidRDefault="003C1930" w:rsidP="003C1930">
            <w:pPr>
              <w:jc w:val="right"/>
              <w:rPr>
                <w:rFonts w:eastAsia="Times New Roman"/>
                <w:sz w:val="18"/>
                <w:szCs w:val="18"/>
              </w:rPr>
            </w:pPr>
            <w:r w:rsidRPr="00C73E63">
              <w:rPr>
                <w:rFonts w:eastAsia="Times New Roman"/>
                <w:sz w:val="18"/>
                <w:szCs w:val="18"/>
              </w:rPr>
              <w:t>24,71</w:t>
            </w:r>
          </w:p>
        </w:tc>
      </w:tr>
      <w:tr w:rsidR="003C1930" w:rsidRPr="00C73E63" w14:paraId="0588C585" w14:textId="77777777" w:rsidTr="00693BB6">
        <w:trPr>
          <w:trHeight w:val="238"/>
          <w:jc w:val="center"/>
        </w:trPr>
        <w:tc>
          <w:tcPr>
            <w:tcW w:w="2773" w:type="dxa"/>
            <w:tcBorders>
              <w:top w:val="nil"/>
              <w:left w:val="nil"/>
              <w:bottom w:val="nil"/>
              <w:right w:val="nil"/>
            </w:tcBorders>
            <w:shd w:val="clear" w:color="auto" w:fill="auto"/>
            <w:noWrap/>
            <w:vAlign w:val="center"/>
            <w:hideMark/>
          </w:tcPr>
          <w:p w14:paraId="2449D4AA" w14:textId="77777777" w:rsidR="003C1930" w:rsidRPr="00C73E63" w:rsidRDefault="003C1930" w:rsidP="00841182">
            <w:pPr>
              <w:ind w:left="214"/>
              <w:rPr>
                <w:rFonts w:eastAsia="Times New Roman"/>
                <w:sz w:val="18"/>
                <w:szCs w:val="18"/>
              </w:rPr>
            </w:pPr>
            <w:r w:rsidRPr="00C73E63">
              <w:rPr>
                <w:rFonts w:eastAsia="Times New Roman"/>
                <w:sz w:val="18"/>
                <w:szCs w:val="18"/>
              </w:rPr>
              <w:t>HUNGRÍA</w:t>
            </w:r>
          </w:p>
        </w:tc>
        <w:tc>
          <w:tcPr>
            <w:tcW w:w="2016" w:type="dxa"/>
            <w:tcBorders>
              <w:top w:val="nil"/>
              <w:left w:val="nil"/>
              <w:bottom w:val="nil"/>
              <w:right w:val="nil"/>
            </w:tcBorders>
            <w:shd w:val="clear" w:color="auto" w:fill="auto"/>
            <w:vAlign w:val="center"/>
          </w:tcPr>
          <w:p w14:paraId="3F7055E0" w14:textId="77777777" w:rsidR="003C1930" w:rsidRPr="00C73E63" w:rsidRDefault="003C1930" w:rsidP="003C1930">
            <w:pPr>
              <w:jc w:val="right"/>
              <w:rPr>
                <w:rFonts w:eastAsia="Times New Roman"/>
                <w:sz w:val="18"/>
                <w:szCs w:val="18"/>
              </w:rPr>
            </w:pPr>
            <w:r w:rsidRPr="00C73E63">
              <w:rPr>
                <w:rFonts w:eastAsia="Times New Roman"/>
                <w:sz w:val="18"/>
                <w:szCs w:val="18"/>
              </w:rPr>
              <w:t>-</w:t>
            </w:r>
          </w:p>
        </w:tc>
        <w:tc>
          <w:tcPr>
            <w:tcW w:w="2016" w:type="dxa"/>
            <w:tcBorders>
              <w:top w:val="nil"/>
              <w:left w:val="nil"/>
              <w:bottom w:val="nil"/>
              <w:right w:val="nil"/>
            </w:tcBorders>
            <w:shd w:val="clear" w:color="auto" w:fill="auto"/>
            <w:vAlign w:val="center"/>
          </w:tcPr>
          <w:p w14:paraId="539B3D3A" w14:textId="77777777" w:rsidR="003C1930" w:rsidRPr="00C73E63" w:rsidRDefault="003C1930" w:rsidP="003C1930">
            <w:pPr>
              <w:jc w:val="right"/>
              <w:rPr>
                <w:rFonts w:eastAsia="Times New Roman"/>
                <w:sz w:val="18"/>
                <w:szCs w:val="18"/>
              </w:rPr>
            </w:pPr>
            <w:r w:rsidRPr="00C73E63">
              <w:rPr>
                <w:rFonts w:eastAsia="Times New Roman"/>
                <w:sz w:val="18"/>
                <w:szCs w:val="18"/>
              </w:rPr>
              <w:t>1.059,28</w:t>
            </w:r>
          </w:p>
        </w:tc>
      </w:tr>
      <w:tr w:rsidR="003C1930" w:rsidRPr="00C73E63" w14:paraId="0497A2A3" w14:textId="77777777" w:rsidTr="00693BB6">
        <w:trPr>
          <w:trHeight w:val="238"/>
          <w:jc w:val="center"/>
        </w:trPr>
        <w:tc>
          <w:tcPr>
            <w:tcW w:w="2773" w:type="dxa"/>
            <w:tcBorders>
              <w:top w:val="single" w:sz="4" w:space="0" w:color="auto"/>
              <w:left w:val="nil"/>
              <w:bottom w:val="single" w:sz="4" w:space="0" w:color="auto"/>
              <w:right w:val="nil"/>
            </w:tcBorders>
            <w:shd w:val="clear" w:color="auto" w:fill="auto"/>
            <w:noWrap/>
            <w:vAlign w:val="center"/>
            <w:hideMark/>
          </w:tcPr>
          <w:p w14:paraId="6B0E44EC" w14:textId="77777777" w:rsidR="003C1930" w:rsidRPr="00C73E63" w:rsidRDefault="003C1930" w:rsidP="00841182">
            <w:pPr>
              <w:ind w:left="214"/>
              <w:jc w:val="both"/>
              <w:rPr>
                <w:rFonts w:eastAsia="Times New Roman"/>
                <w:b/>
                <w:bCs/>
                <w:sz w:val="18"/>
                <w:szCs w:val="18"/>
              </w:rPr>
            </w:pPr>
            <w:r w:rsidRPr="00C73E63">
              <w:rPr>
                <w:rFonts w:eastAsia="Times New Roman"/>
                <w:b/>
                <w:bCs/>
                <w:sz w:val="18"/>
                <w:szCs w:val="18"/>
              </w:rPr>
              <w:t>Total</w:t>
            </w:r>
          </w:p>
        </w:tc>
        <w:tc>
          <w:tcPr>
            <w:tcW w:w="2016" w:type="dxa"/>
            <w:tcBorders>
              <w:top w:val="single" w:sz="4" w:space="0" w:color="auto"/>
              <w:left w:val="nil"/>
              <w:bottom w:val="single" w:sz="4" w:space="0" w:color="auto"/>
              <w:right w:val="nil"/>
            </w:tcBorders>
            <w:shd w:val="clear" w:color="auto" w:fill="auto"/>
            <w:vAlign w:val="center"/>
          </w:tcPr>
          <w:p w14:paraId="1D770820" w14:textId="77777777" w:rsidR="003C1930" w:rsidRPr="00C73E63" w:rsidRDefault="003C1930" w:rsidP="003C1930">
            <w:pPr>
              <w:jc w:val="right"/>
              <w:rPr>
                <w:rFonts w:eastAsia="Times New Roman"/>
                <w:b/>
                <w:bCs/>
                <w:sz w:val="18"/>
                <w:szCs w:val="18"/>
              </w:rPr>
            </w:pPr>
            <w:r w:rsidRPr="00C73E63">
              <w:rPr>
                <w:rFonts w:eastAsia="Times New Roman"/>
                <w:b/>
                <w:bCs/>
                <w:sz w:val="18"/>
                <w:szCs w:val="18"/>
              </w:rPr>
              <w:t>435.258,26</w:t>
            </w:r>
          </w:p>
        </w:tc>
        <w:tc>
          <w:tcPr>
            <w:tcW w:w="2016" w:type="dxa"/>
            <w:tcBorders>
              <w:top w:val="single" w:sz="4" w:space="0" w:color="auto"/>
              <w:left w:val="nil"/>
              <w:bottom w:val="single" w:sz="4" w:space="0" w:color="auto"/>
              <w:right w:val="nil"/>
            </w:tcBorders>
            <w:shd w:val="clear" w:color="auto" w:fill="auto"/>
            <w:vAlign w:val="center"/>
          </w:tcPr>
          <w:p w14:paraId="7A7F66CC" w14:textId="77777777" w:rsidR="003C1930" w:rsidRPr="00C73E63" w:rsidRDefault="003C1930" w:rsidP="003C1930">
            <w:pPr>
              <w:jc w:val="right"/>
              <w:rPr>
                <w:rFonts w:eastAsia="Times New Roman"/>
                <w:b/>
                <w:bCs/>
                <w:sz w:val="18"/>
                <w:szCs w:val="18"/>
              </w:rPr>
            </w:pPr>
            <w:r w:rsidRPr="00C73E63">
              <w:rPr>
                <w:rFonts w:eastAsia="Times New Roman"/>
                <w:b/>
                <w:bCs/>
                <w:sz w:val="18"/>
                <w:szCs w:val="18"/>
              </w:rPr>
              <w:t>502.019,70</w:t>
            </w:r>
          </w:p>
        </w:tc>
      </w:tr>
    </w:tbl>
    <w:p w14:paraId="48470AE0" w14:textId="77777777" w:rsidR="006220A2" w:rsidRDefault="006220A2" w:rsidP="006220A2">
      <w:pPr>
        <w:jc w:val="both"/>
        <w:rPr>
          <w:snapToGrid w:val="0"/>
          <w:sz w:val="22"/>
          <w:szCs w:val="22"/>
        </w:rPr>
      </w:pPr>
    </w:p>
    <w:p w14:paraId="68790E09" w14:textId="77777777" w:rsidR="006220A2" w:rsidRDefault="006220A2" w:rsidP="006220A2">
      <w:pPr>
        <w:widowControl w:val="0"/>
        <w:tabs>
          <w:tab w:val="num" w:pos="644"/>
        </w:tabs>
        <w:rPr>
          <w:b/>
          <w:sz w:val="22"/>
          <w:szCs w:val="22"/>
        </w:rPr>
      </w:pPr>
    </w:p>
    <w:p w14:paraId="071C673C" w14:textId="77777777" w:rsidR="006220A2" w:rsidRPr="00070E05" w:rsidRDefault="006220A2" w:rsidP="006220A2">
      <w:pPr>
        <w:keepNext/>
        <w:keepLines/>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lear" w:pos="644"/>
        </w:tabs>
        <w:ind w:left="284" w:hanging="284"/>
        <w:outlineLvl w:val="9"/>
        <w:rPr>
          <w:b/>
          <w:snapToGrid w:val="0"/>
          <w:sz w:val="22"/>
          <w:szCs w:val="22"/>
        </w:rPr>
      </w:pPr>
      <w:r>
        <w:rPr>
          <w:b/>
          <w:snapToGrid w:val="0"/>
          <w:sz w:val="22"/>
          <w:szCs w:val="22"/>
        </w:rPr>
        <w:t xml:space="preserve"> </w:t>
      </w:r>
      <w:r w:rsidRPr="00070E05">
        <w:rPr>
          <w:b/>
          <w:snapToGrid w:val="0"/>
          <w:sz w:val="22"/>
          <w:szCs w:val="22"/>
        </w:rPr>
        <w:t>Administraciones Públicas</w:t>
      </w:r>
    </w:p>
    <w:p w14:paraId="67B114DA" w14:textId="77777777" w:rsidR="006220A2" w:rsidRPr="00FE50DF" w:rsidRDefault="006220A2" w:rsidP="006220A2">
      <w:pPr>
        <w:keepNext/>
        <w:keepLines/>
        <w:widowControl w:val="0"/>
        <w:spacing w:before="200"/>
        <w:rPr>
          <w:b/>
          <w:sz w:val="20"/>
          <w:szCs w:val="22"/>
        </w:rPr>
      </w:pPr>
      <w:r>
        <w:rPr>
          <w:b/>
          <w:sz w:val="20"/>
          <w:szCs w:val="22"/>
        </w:rPr>
        <w:t>11.1</w:t>
      </w:r>
      <w:r w:rsidRPr="00FE50DF">
        <w:rPr>
          <w:b/>
          <w:sz w:val="20"/>
          <w:szCs w:val="22"/>
        </w:rPr>
        <w:t>. Saldos con Administraciones Públicas</w:t>
      </w:r>
    </w:p>
    <w:p w14:paraId="0F79E7E8" w14:textId="77777777" w:rsidR="006220A2" w:rsidRDefault="006220A2" w:rsidP="006220A2">
      <w:pPr>
        <w:keepNext/>
        <w:keepLines/>
        <w:widowControl w:val="0"/>
        <w:spacing w:before="120" w:after="120"/>
        <w:jc w:val="both"/>
        <w:rPr>
          <w:snapToGrid w:val="0"/>
          <w:sz w:val="20"/>
          <w:szCs w:val="22"/>
        </w:rPr>
      </w:pPr>
      <w:r w:rsidRPr="000734A2">
        <w:rPr>
          <w:snapToGrid w:val="0"/>
          <w:sz w:val="20"/>
          <w:szCs w:val="22"/>
        </w:rPr>
        <w:t>Los saldos deudores con la Administración Pública al 31 de diciembre de 201</w:t>
      </w:r>
      <w:r w:rsidR="003D6D7D">
        <w:rPr>
          <w:snapToGrid w:val="0"/>
          <w:sz w:val="20"/>
          <w:szCs w:val="22"/>
        </w:rPr>
        <w:t>8 y 2017</w:t>
      </w:r>
      <w:r w:rsidRPr="000734A2">
        <w:rPr>
          <w:snapToGrid w:val="0"/>
          <w:sz w:val="20"/>
          <w:szCs w:val="22"/>
        </w:rPr>
        <w:t>, se dist</w:t>
      </w:r>
      <w:r>
        <w:rPr>
          <w:snapToGrid w:val="0"/>
          <w:sz w:val="20"/>
          <w:szCs w:val="22"/>
        </w:rPr>
        <w:t>ribuyen de la siguiente manera:</w:t>
      </w:r>
    </w:p>
    <w:tbl>
      <w:tblPr>
        <w:tblW w:w="5000" w:type="pct"/>
        <w:jc w:val="center"/>
        <w:tblCellMar>
          <w:left w:w="70" w:type="dxa"/>
          <w:right w:w="70" w:type="dxa"/>
        </w:tblCellMar>
        <w:tblLook w:val="04A0" w:firstRow="1" w:lastRow="0" w:firstColumn="1" w:lastColumn="0" w:noHBand="0" w:noVBand="1"/>
      </w:tblPr>
      <w:tblGrid>
        <w:gridCol w:w="3740"/>
        <w:gridCol w:w="1292"/>
        <w:gridCol w:w="1496"/>
        <w:gridCol w:w="1202"/>
        <w:gridCol w:w="1191"/>
      </w:tblGrid>
      <w:tr w:rsidR="006220A2" w:rsidRPr="00915C40" w14:paraId="35D94451" w14:textId="77777777" w:rsidTr="00693BB6">
        <w:trPr>
          <w:trHeight w:val="57"/>
          <w:jc w:val="center"/>
        </w:trPr>
        <w:tc>
          <w:tcPr>
            <w:tcW w:w="2112" w:type="pct"/>
            <w:tcBorders>
              <w:top w:val="single" w:sz="4" w:space="0" w:color="auto"/>
              <w:left w:val="nil"/>
              <w:bottom w:val="nil"/>
              <w:right w:val="nil"/>
            </w:tcBorders>
            <w:shd w:val="clear" w:color="auto" w:fill="auto"/>
            <w:vAlign w:val="bottom"/>
            <w:hideMark/>
          </w:tcPr>
          <w:p w14:paraId="52C27AA9" w14:textId="77777777" w:rsidR="006220A2" w:rsidRPr="00915C40" w:rsidRDefault="006220A2" w:rsidP="00841182">
            <w:pPr>
              <w:keepNext/>
              <w:keepLines/>
              <w:jc w:val="center"/>
              <w:rPr>
                <w:rFonts w:eastAsia="Times New Roman" w:cs="Times"/>
                <w:sz w:val="20"/>
              </w:rPr>
            </w:pPr>
          </w:p>
        </w:tc>
        <w:tc>
          <w:tcPr>
            <w:tcW w:w="2888" w:type="pct"/>
            <w:gridSpan w:val="4"/>
            <w:tcBorders>
              <w:top w:val="single" w:sz="4" w:space="0" w:color="auto"/>
              <w:left w:val="nil"/>
              <w:bottom w:val="single" w:sz="4" w:space="0" w:color="auto"/>
              <w:right w:val="nil"/>
            </w:tcBorders>
            <w:shd w:val="clear" w:color="auto" w:fill="auto"/>
            <w:vAlign w:val="bottom"/>
            <w:hideMark/>
          </w:tcPr>
          <w:p w14:paraId="09E874E6" w14:textId="77777777" w:rsidR="006220A2" w:rsidRPr="00915C40" w:rsidRDefault="006220A2" w:rsidP="00841182">
            <w:pPr>
              <w:keepNext/>
              <w:keepLines/>
              <w:jc w:val="center"/>
              <w:rPr>
                <w:rFonts w:eastAsia="Times New Roman"/>
                <w:b/>
                <w:bCs/>
                <w:sz w:val="18"/>
                <w:szCs w:val="18"/>
              </w:rPr>
            </w:pPr>
            <w:r w:rsidRPr="00915C40">
              <w:rPr>
                <w:rFonts w:eastAsia="Times New Roman"/>
                <w:b/>
                <w:bCs/>
                <w:sz w:val="18"/>
                <w:szCs w:val="18"/>
              </w:rPr>
              <w:t>Euros</w:t>
            </w:r>
          </w:p>
        </w:tc>
      </w:tr>
      <w:tr w:rsidR="006220A2" w:rsidRPr="00915C40" w14:paraId="76B77E33" w14:textId="77777777" w:rsidTr="00693BB6">
        <w:trPr>
          <w:trHeight w:val="57"/>
          <w:jc w:val="center"/>
        </w:trPr>
        <w:tc>
          <w:tcPr>
            <w:tcW w:w="2112" w:type="pct"/>
            <w:tcBorders>
              <w:top w:val="nil"/>
              <w:left w:val="nil"/>
              <w:bottom w:val="nil"/>
              <w:right w:val="nil"/>
            </w:tcBorders>
            <w:shd w:val="clear" w:color="auto" w:fill="auto"/>
            <w:vAlign w:val="bottom"/>
            <w:hideMark/>
          </w:tcPr>
          <w:p w14:paraId="6B1EAA12" w14:textId="77777777" w:rsidR="006220A2" w:rsidRPr="00915C40" w:rsidRDefault="006220A2" w:rsidP="00841182">
            <w:pPr>
              <w:keepNext/>
              <w:keepLines/>
              <w:jc w:val="center"/>
              <w:rPr>
                <w:rFonts w:eastAsia="Times New Roman"/>
                <w:b/>
                <w:bCs/>
                <w:sz w:val="18"/>
                <w:szCs w:val="18"/>
              </w:rPr>
            </w:pPr>
          </w:p>
        </w:tc>
        <w:tc>
          <w:tcPr>
            <w:tcW w:w="1594" w:type="pct"/>
            <w:gridSpan w:val="2"/>
            <w:tcBorders>
              <w:top w:val="nil"/>
              <w:left w:val="nil"/>
              <w:bottom w:val="single" w:sz="4" w:space="0" w:color="auto"/>
              <w:right w:val="nil"/>
            </w:tcBorders>
            <w:shd w:val="clear" w:color="auto" w:fill="auto"/>
            <w:vAlign w:val="bottom"/>
            <w:hideMark/>
          </w:tcPr>
          <w:p w14:paraId="126F5BCB" w14:textId="77777777" w:rsidR="006220A2" w:rsidRPr="00915C40" w:rsidRDefault="00A75530" w:rsidP="00841182">
            <w:pPr>
              <w:keepNext/>
              <w:keepLines/>
              <w:jc w:val="center"/>
              <w:rPr>
                <w:rFonts w:eastAsia="Times New Roman"/>
                <w:b/>
                <w:bCs/>
                <w:sz w:val="18"/>
                <w:szCs w:val="18"/>
              </w:rPr>
            </w:pPr>
            <w:r>
              <w:rPr>
                <w:rFonts w:eastAsia="Times New Roman"/>
                <w:b/>
                <w:bCs/>
                <w:sz w:val="18"/>
                <w:szCs w:val="18"/>
              </w:rPr>
              <w:t>31/12/2018</w:t>
            </w:r>
          </w:p>
        </w:tc>
        <w:tc>
          <w:tcPr>
            <w:tcW w:w="1294" w:type="pct"/>
            <w:gridSpan w:val="2"/>
            <w:tcBorders>
              <w:top w:val="nil"/>
              <w:left w:val="nil"/>
              <w:bottom w:val="single" w:sz="4" w:space="0" w:color="auto"/>
              <w:right w:val="nil"/>
            </w:tcBorders>
            <w:shd w:val="clear" w:color="auto" w:fill="auto"/>
            <w:vAlign w:val="bottom"/>
            <w:hideMark/>
          </w:tcPr>
          <w:p w14:paraId="552139E9" w14:textId="77777777" w:rsidR="006220A2" w:rsidRPr="00915C40" w:rsidRDefault="00A75530" w:rsidP="00841182">
            <w:pPr>
              <w:keepNext/>
              <w:keepLines/>
              <w:jc w:val="center"/>
              <w:rPr>
                <w:rFonts w:eastAsia="Times New Roman"/>
                <w:b/>
                <w:bCs/>
                <w:sz w:val="18"/>
                <w:szCs w:val="18"/>
              </w:rPr>
            </w:pPr>
            <w:r>
              <w:rPr>
                <w:rFonts w:eastAsia="Times New Roman"/>
                <w:b/>
                <w:bCs/>
                <w:sz w:val="18"/>
                <w:szCs w:val="18"/>
              </w:rPr>
              <w:t>31/12/2017</w:t>
            </w:r>
          </w:p>
        </w:tc>
      </w:tr>
      <w:tr w:rsidR="006220A2" w:rsidRPr="00915C40" w14:paraId="17E716BC" w14:textId="77777777" w:rsidTr="00693BB6">
        <w:trPr>
          <w:trHeight w:val="57"/>
          <w:jc w:val="center"/>
        </w:trPr>
        <w:tc>
          <w:tcPr>
            <w:tcW w:w="2112" w:type="pct"/>
            <w:tcBorders>
              <w:top w:val="nil"/>
              <w:left w:val="nil"/>
              <w:bottom w:val="single" w:sz="4" w:space="0" w:color="auto"/>
              <w:right w:val="nil"/>
            </w:tcBorders>
            <w:shd w:val="clear" w:color="auto" w:fill="auto"/>
            <w:vAlign w:val="bottom"/>
            <w:hideMark/>
          </w:tcPr>
          <w:p w14:paraId="78717391" w14:textId="77777777" w:rsidR="006220A2" w:rsidRPr="00915C40" w:rsidRDefault="006220A2" w:rsidP="00841182">
            <w:pPr>
              <w:keepNext/>
              <w:keepLines/>
              <w:jc w:val="center"/>
              <w:rPr>
                <w:rFonts w:eastAsia="Times New Roman" w:cs="Times"/>
                <w:sz w:val="20"/>
              </w:rPr>
            </w:pPr>
          </w:p>
        </w:tc>
        <w:tc>
          <w:tcPr>
            <w:tcW w:w="740" w:type="pct"/>
            <w:tcBorders>
              <w:top w:val="nil"/>
              <w:left w:val="nil"/>
              <w:bottom w:val="single" w:sz="4" w:space="0" w:color="auto"/>
              <w:right w:val="nil"/>
            </w:tcBorders>
            <w:shd w:val="clear" w:color="auto" w:fill="auto"/>
            <w:vAlign w:val="bottom"/>
            <w:hideMark/>
          </w:tcPr>
          <w:p w14:paraId="336B8A6C" w14:textId="77777777" w:rsidR="006220A2" w:rsidRPr="00915C40" w:rsidRDefault="006220A2" w:rsidP="00841182">
            <w:pPr>
              <w:keepNext/>
              <w:keepLines/>
              <w:jc w:val="center"/>
              <w:rPr>
                <w:rFonts w:eastAsia="Times New Roman"/>
                <w:b/>
                <w:bCs/>
                <w:sz w:val="18"/>
                <w:szCs w:val="18"/>
              </w:rPr>
            </w:pPr>
            <w:r w:rsidRPr="00915C40">
              <w:rPr>
                <w:rFonts w:eastAsia="Times New Roman"/>
                <w:b/>
                <w:bCs/>
                <w:sz w:val="18"/>
                <w:szCs w:val="18"/>
              </w:rPr>
              <w:t>Deudor</w:t>
            </w:r>
          </w:p>
        </w:tc>
        <w:tc>
          <w:tcPr>
            <w:tcW w:w="853" w:type="pct"/>
            <w:tcBorders>
              <w:top w:val="nil"/>
              <w:left w:val="nil"/>
              <w:bottom w:val="single" w:sz="4" w:space="0" w:color="auto"/>
              <w:right w:val="nil"/>
            </w:tcBorders>
            <w:shd w:val="clear" w:color="auto" w:fill="auto"/>
            <w:vAlign w:val="bottom"/>
            <w:hideMark/>
          </w:tcPr>
          <w:p w14:paraId="3FAA17BE" w14:textId="77777777" w:rsidR="006220A2" w:rsidRPr="00915C40" w:rsidRDefault="006220A2" w:rsidP="00841182">
            <w:pPr>
              <w:keepNext/>
              <w:keepLines/>
              <w:jc w:val="center"/>
              <w:rPr>
                <w:rFonts w:eastAsia="Times New Roman"/>
                <w:b/>
                <w:bCs/>
                <w:sz w:val="18"/>
                <w:szCs w:val="18"/>
              </w:rPr>
            </w:pPr>
            <w:r w:rsidRPr="006E00F7">
              <w:rPr>
                <w:rFonts w:eastAsia="Times New Roman"/>
                <w:b/>
                <w:bCs/>
                <w:sz w:val="18"/>
                <w:szCs w:val="18"/>
              </w:rPr>
              <w:t>Acreedor</w:t>
            </w:r>
          </w:p>
        </w:tc>
        <w:tc>
          <w:tcPr>
            <w:tcW w:w="689" w:type="pct"/>
            <w:tcBorders>
              <w:top w:val="nil"/>
              <w:left w:val="nil"/>
              <w:bottom w:val="single" w:sz="4" w:space="0" w:color="auto"/>
              <w:right w:val="nil"/>
            </w:tcBorders>
            <w:shd w:val="clear" w:color="auto" w:fill="auto"/>
            <w:vAlign w:val="bottom"/>
            <w:hideMark/>
          </w:tcPr>
          <w:p w14:paraId="7B5DAAF0" w14:textId="77777777" w:rsidR="006220A2" w:rsidRPr="00915C40" w:rsidRDefault="006220A2" w:rsidP="00841182">
            <w:pPr>
              <w:keepNext/>
              <w:keepLines/>
              <w:jc w:val="center"/>
              <w:rPr>
                <w:rFonts w:eastAsia="Times New Roman"/>
                <w:b/>
                <w:bCs/>
                <w:sz w:val="18"/>
                <w:szCs w:val="18"/>
              </w:rPr>
            </w:pPr>
            <w:r w:rsidRPr="00915C40">
              <w:rPr>
                <w:rFonts w:eastAsia="Times New Roman"/>
                <w:b/>
                <w:bCs/>
                <w:sz w:val="18"/>
                <w:szCs w:val="18"/>
              </w:rPr>
              <w:t>Deudor</w:t>
            </w:r>
          </w:p>
        </w:tc>
        <w:tc>
          <w:tcPr>
            <w:tcW w:w="605" w:type="pct"/>
            <w:tcBorders>
              <w:top w:val="nil"/>
              <w:left w:val="nil"/>
              <w:bottom w:val="single" w:sz="4" w:space="0" w:color="auto"/>
              <w:right w:val="nil"/>
            </w:tcBorders>
            <w:shd w:val="clear" w:color="auto" w:fill="auto"/>
            <w:vAlign w:val="bottom"/>
            <w:hideMark/>
          </w:tcPr>
          <w:p w14:paraId="5373AE00" w14:textId="77777777" w:rsidR="006220A2" w:rsidRPr="00915C40" w:rsidRDefault="006220A2" w:rsidP="00841182">
            <w:pPr>
              <w:keepNext/>
              <w:keepLines/>
              <w:jc w:val="center"/>
              <w:rPr>
                <w:rFonts w:eastAsia="Times New Roman"/>
                <w:b/>
                <w:bCs/>
                <w:sz w:val="18"/>
                <w:szCs w:val="18"/>
              </w:rPr>
            </w:pPr>
            <w:r w:rsidRPr="00915C40">
              <w:rPr>
                <w:rFonts w:eastAsia="Times New Roman"/>
                <w:b/>
                <w:bCs/>
                <w:sz w:val="18"/>
                <w:szCs w:val="18"/>
              </w:rPr>
              <w:t>Acreedor</w:t>
            </w:r>
          </w:p>
        </w:tc>
      </w:tr>
      <w:tr w:rsidR="006220A2" w:rsidRPr="00915C40" w14:paraId="086A5275" w14:textId="77777777" w:rsidTr="00693BB6">
        <w:trPr>
          <w:trHeight w:val="238"/>
          <w:jc w:val="center"/>
        </w:trPr>
        <w:tc>
          <w:tcPr>
            <w:tcW w:w="2112" w:type="pct"/>
            <w:tcBorders>
              <w:top w:val="nil"/>
              <w:left w:val="nil"/>
              <w:bottom w:val="nil"/>
              <w:right w:val="nil"/>
            </w:tcBorders>
            <w:shd w:val="clear" w:color="auto" w:fill="auto"/>
            <w:vAlign w:val="center"/>
            <w:hideMark/>
          </w:tcPr>
          <w:p w14:paraId="175FF0E2" w14:textId="77777777" w:rsidR="006220A2" w:rsidRPr="00915C40" w:rsidRDefault="006220A2" w:rsidP="00841182">
            <w:pPr>
              <w:keepNext/>
              <w:keepLines/>
              <w:rPr>
                <w:rFonts w:eastAsia="Times New Roman"/>
                <w:b/>
                <w:bCs/>
                <w:sz w:val="18"/>
                <w:szCs w:val="18"/>
              </w:rPr>
            </w:pPr>
            <w:r w:rsidRPr="00915C40">
              <w:rPr>
                <w:rFonts w:eastAsia="Times New Roman"/>
                <w:b/>
                <w:bCs/>
                <w:sz w:val="18"/>
                <w:szCs w:val="18"/>
              </w:rPr>
              <w:t>Administraciones Públicas</w:t>
            </w:r>
          </w:p>
        </w:tc>
        <w:tc>
          <w:tcPr>
            <w:tcW w:w="740" w:type="pct"/>
            <w:tcBorders>
              <w:top w:val="nil"/>
              <w:left w:val="nil"/>
              <w:bottom w:val="nil"/>
              <w:right w:val="nil"/>
            </w:tcBorders>
            <w:shd w:val="clear" w:color="auto" w:fill="auto"/>
            <w:vAlign w:val="center"/>
            <w:hideMark/>
          </w:tcPr>
          <w:p w14:paraId="56A8C59F" w14:textId="77777777" w:rsidR="006220A2" w:rsidRPr="00915C40" w:rsidRDefault="006220A2" w:rsidP="00693BB6">
            <w:pPr>
              <w:keepNext/>
              <w:keepLines/>
              <w:jc w:val="right"/>
              <w:rPr>
                <w:rFonts w:eastAsia="Times New Roman"/>
                <w:b/>
                <w:bCs/>
                <w:sz w:val="18"/>
                <w:szCs w:val="18"/>
              </w:rPr>
            </w:pPr>
          </w:p>
        </w:tc>
        <w:tc>
          <w:tcPr>
            <w:tcW w:w="853" w:type="pct"/>
            <w:tcBorders>
              <w:top w:val="nil"/>
              <w:left w:val="nil"/>
              <w:bottom w:val="nil"/>
              <w:right w:val="nil"/>
            </w:tcBorders>
            <w:shd w:val="clear" w:color="auto" w:fill="auto"/>
            <w:vAlign w:val="center"/>
            <w:hideMark/>
          </w:tcPr>
          <w:p w14:paraId="23B25575" w14:textId="77777777" w:rsidR="006220A2" w:rsidRPr="00915C40" w:rsidRDefault="006220A2" w:rsidP="00693BB6">
            <w:pPr>
              <w:keepNext/>
              <w:keepLines/>
              <w:jc w:val="right"/>
              <w:rPr>
                <w:rFonts w:eastAsia="Times New Roman"/>
                <w:b/>
                <w:bCs/>
                <w:sz w:val="18"/>
                <w:szCs w:val="18"/>
              </w:rPr>
            </w:pPr>
          </w:p>
        </w:tc>
        <w:tc>
          <w:tcPr>
            <w:tcW w:w="689" w:type="pct"/>
            <w:tcBorders>
              <w:top w:val="nil"/>
              <w:left w:val="nil"/>
              <w:bottom w:val="nil"/>
              <w:right w:val="nil"/>
            </w:tcBorders>
            <w:shd w:val="clear" w:color="auto" w:fill="auto"/>
            <w:vAlign w:val="center"/>
            <w:hideMark/>
          </w:tcPr>
          <w:p w14:paraId="0B85242D" w14:textId="77777777" w:rsidR="006220A2" w:rsidRPr="00915C40" w:rsidRDefault="006220A2" w:rsidP="00693BB6">
            <w:pPr>
              <w:keepNext/>
              <w:keepLines/>
              <w:jc w:val="right"/>
              <w:rPr>
                <w:rFonts w:eastAsia="Times New Roman"/>
                <w:b/>
                <w:bCs/>
                <w:sz w:val="18"/>
                <w:szCs w:val="18"/>
              </w:rPr>
            </w:pPr>
          </w:p>
        </w:tc>
        <w:tc>
          <w:tcPr>
            <w:tcW w:w="605" w:type="pct"/>
            <w:tcBorders>
              <w:top w:val="nil"/>
              <w:left w:val="nil"/>
              <w:bottom w:val="nil"/>
              <w:right w:val="nil"/>
            </w:tcBorders>
            <w:shd w:val="clear" w:color="auto" w:fill="auto"/>
            <w:vAlign w:val="center"/>
            <w:hideMark/>
          </w:tcPr>
          <w:p w14:paraId="0DC98E72" w14:textId="77777777" w:rsidR="006220A2" w:rsidRPr="00915C40" w:rsidRDefault="006220A2" w:rsidP="00693BB6">
            <w:pPr>
              <w:keepNext/>
              <w:keepLines/>
              <w:jc w:val="right"/>
              <w:rPr>
                <w:rFonts w:ascii="Times New Roman" w:eastAsia="Times New Roman" w:hAnsi="Times New Roman"/>
                <w:sz w:val="20"/>
              </w:rPr>
            </w:pPr>
          </w:p>
        </w:tc>
      </w:tr>
      <w:tr w:rsidR="006220A2" w:rsidRPr="00915C40" w14:paraId="1B9B4314" w14:textId="77777777" w:rsidTr="00693BB6">
        <w:trPr>
          <w:trHeight w:val="238"/>
          <w:jc w:val="center"/>
        </w:trPr>
        <w:tc>
          <w:tcPr>
            <w:tcW w:w="2112" w:type="pct"/>
            <w:tcBorders>
              <w:top w:val="nil"/>
              <w:left w:val="nil"/>
              <w:bottom w:val="nil"/>
              <w:right w:val="nil"/>
            </w:tcBorders>
            <w:shd w:val="clear" w:color="auto" w:fill="auto"/>
            <w:vAlign w:val="center"/>
            <w:hideMark/>
          </w:tcPr>
          <w:p w14:paraId="71E9F7F7" w14:textId="77777777" w:rsidR="006220A2" w:rsidRPr="00915C40" w:rsidRDefault="006220A2" w:rsidP="00841182">
            <w:pPr>
              <w:keepNext/>
              <w:keepLines/>
              <w:rPr>
                <w:rFonts w:eastAsia="Times New Roman"/>
                <w:sz w:val="18"/>
                <w:szCs w:val="18"/>
              </w:rPr>
            </w:pPr>
            <w:r w:rsidRPr="00915C40">
              <w:rPr>
                <w:rFonts w:eastAsia="Times New Roman"/>
                <w:sz w:val="18"/>
                <w:szCs w:val="18"/>
              </w:rPr>
              <w:t>H</w:t>
            </w:r>
            <w:r>
              <w:rPr>
                <w:rFonts w:eastAsia="Times New Roman"/>
                <w:sz w:val="18"/>
                <w:szCs w:val="18"/>
              </w:rPr>
              <w:t xml:space="preserve">. </w:t>
            </w:r>
            <w:r w:rsidRPr="00915C40">
              <w:rPr>
                <w:rFonts w:eastAsia="Times New Roman"/>
                <w:sz w:val="18"/>
                <w:szCs w:val="18"/>
              </w:rPr>
              <w:t>P</w:t>
            </w:r>
            <w:r>
              <w:rPr>
                <w:rFonts w:eastAsia="Times New Roman"/>
                <w:sz w:val="18"/>
                <w:szCs w:val="18"/>
              </w:rPr>
              <w:t>.</w:t>
            </w:r>
            <w:r w:rsidRPr="00915C40">
              <w:rPr>
                <w:rFonts w:eastAsia="Times New Roman"/>
                <w:sz w:val="18"/>
                <w:szCs w:val="18"/>
              </w:rPr>
              <w:t xml:space="preserve"> deudora por diversos conceptos</w:t>
            </w:r>
          </w:p>
        </w:tc>
        <w:tc>
          <w:tcPr>
            <w:tcW w:w="740" w:type="pct"/>
            <w:tcBorders>
              <w:top w:val="nil"/>
              <w:left w:val="nil"/>
              <w:bottom w:val="nil"/>
              <w:right w:val="nil"/>
            </w:tcBorders>
            <w:shd w:val="clear" w:color="auto" w:fill="auto"/>
            <w:vAlign w:val="center"/>
          </w:tcPr>
          <w:p w14:paraId="37DAB80A" w14:textId="77777777" w:rsidR="006220A2" w:rsidRDefault="003D6D7D" w:rsidP="00693BB6">
            <w:pPr>
              <w:keepNext/>
              <w:keepLines/>
              <w:jc w:val="right"/>
              <w:rPr>
                <w:sz w:val="18"/>
                <w:szCs w:val="18"/>
              </w:rPr>
            </w:pPr>
            <w:r>
              <w:rPr>
                <w:sz w:val="18"/>
                <w:szCs w:val="18"/>
              </w:rPr>
              <w:t>5.180.522,93</w:t>
            </w:r>
          </w:p>
        </w:tc>
        <w:tc>
          <w:tcPr>
            <w:tcW w:w="853" w:type="pct"/>
            <w:tcBorders>
              <w:top w:val="nil"/>
              <w:left w:val="nil"/>
              <w:bottom w:val="nil"/>
              <w:right w:val="nil"/>
            </w:tcBorders>
            <w:shd w:val="clear" w:color="auto" w:fill="auto"/>
            <w:vAlign w:val="center"/>
          </w:tcPr>
          <w:p w14:paraId="5CD33478" w14:textId="77777777" w:rsidR="006220A2" w:rsidRDefault="006220A2" w:rsidP="00693BB6">
            <w:pPr>
              <w:keepNext/>
              <w:keepLines/>
              <w:jc w:val="right"/>
              <w:rPr>
                <w:sz w:val="18"/>
                <w:szCs w:val="18"/>
              </w:rPr>
            </w:pPr>
            <w:r>
              <w:rPr>
                <w:sz w:val="18"/>
                <w:szCs w:val="18"/>
              </w:rPr>
              <w:t>-</w:t>
            </w:r>
          </w:p>
        </w:tc>
        <w:tc>
          <w:tcPr>
            <w:tcW w:w="689" w:type="pct"/>
            <w:tcBorders>
              <w:top w:val="nil"/>
              <w:left w:val="nil"/>
              <w:bottom w:val="nil"/>
              <w:right w:val="nil"/>
            </w:tcBorders>
            <w:shd w:val="clear" w:color="auto" w:fill="auto"/>
            <w:vAlign w:val="center"/>
            <w:hideMark/>
          </w:tcPr>
          <w:p w14:paraId="2D90BB75" w14:textId="77777777" w:rsidR="006220A2" w:rsidRPr="00915C40" w:rsidRDefault="003D6D7D" w:rsidP="00693BB6">
            <w:pPr>
              <w:keepNext/>
              <w:keepLines/>
              <w:jc w:val="right"/>
              <w:rPr>
                <w:rFonts w:eastAsia="Times New Roman"/>
                <w:sz w:val="18"/>
                <w:szCs w:val="18"/>
              </w:rPr>
            </w:pPr>
            <w:r>
              <w:rPr>
                <w:rFonts w:eastAsia="Times New Roman"/>
                <w:sz w:val="18"/>
                <w:szCs w:val="18"/>
              </w:rPr>
              <w:t>5.922.108,72</w:t>
            </w:r>
          </w:p>
        </w:tc>
        <w:tc>
          <w:tcPr>
            <w:tcW w:w="605" w:type="pct"/>
            <w:tcBorders>
              <w:top w:val="nil"/>
              <w:left w:val="nil"/>
              <w:bottom w:val="nil"/>
              <w:right w:val="nil"/>
            </w:tcBorders>
            <w:shd w:val="clear" w:color="auto" w:fill="auto"/>
            <w:vAlign w:val="center"/>
            <w:hideMark/>
          </w:tcPr>
          <w:p w14:paraId="24744582" w14:textId="77777777" w:rsidR="006220A2" w:rsidRPr="00915C40" w:rsidRDefault="006220A2" w:rsidP="00693BB6">
            <w:pPr>
              <w:keepNext/>
              <w:keepLines/>
              <w:jc w:val="right"/>
              <w:rPr>
                <w:rFonts w:eastAsia="Times New Roman"/>
                <w:sz w:val="18"/>
                <w:szCs w:val="18"/>
              </w:rPr>
            </w:pPr>
            <w:r w:rsidRPr="00915C40">
              <w:rPr>
                <w:rFonts w:eastAsia="Times New Roman"/>
                <w:sz w:val="18"/>
                <w:szCs w:val="18"/>
              </w:rPr>
              <w:t>-</w:t>
            </w:r>
          </w:p>
        </w:tc>
      </w:tr>
      <w:tr w:rsidR="006220A2" w:rsidRPr="00915C40" w14:paraId="2CE847DA" w14:textId="77777777" w:rsidTr="00693BB6">
        <w:trPr>
          <w:trHeight w:val="238"/>
          <w:jc w:val="center"/>
        </w:trPr>
        <w:tc>
          <w:tcPr>
            <w:tcW w:w="2112" w:type="pct"/>
            <w:tcBorders>
              <w:top w:val="nil"/>
              <w:left w:val="nil"/>
              <w:bottom w:val="nil"/>
              <w:right w:val="nil"/>
            </w:tcBorders>
            <w:shd w:val="clear" w:color="auto" w:fill="auto"/>
            <w:vAlign w:val="center"/>
            <w:hideMark/>
          </w:tcPr>
          <w:p w14:paraId="2E69083F" w14:textId="77777777" w:rsidR="006220A2" w:rsidRPr="00915C40" w:rsidRDefault="006220A2" w:rsidP="00841182">
            <w:pPr>
              <w:keepNext/>
              <w:keepLines/>
              <w:rPr>
                <w:rFonts w:eastAsia="Times New Roman"/>
                <w:sz w:val="18"/>
                <w:szCs w:val="18"/>
              </w:rPr>
            </w:pPr>
            <w:r w:rsidRPr="00915C40">
              <w:rPr>
                <w:rFonts w:eastAsia="Times New Roman"/>
                <w:sz w:val="18"/>
                <w:szCs w:val="18"/>
              </w:rPr>
              <w:t>H</w:t>
            </w:r>
            <w:r>
              <w:rPr>
                <w:rFonts w:eastAsia="Times New Roman"/>
                <w:sz w:val="18"/>
                <w:szCs w:val="18"/>
              </w:rPr>
              <w:t xml:space="preserve">. </w:t>
            </w:r>
            <w:r w:rsidRPr="00915C40">
              <w:rPr>
                <w:rFonts w:eastAsia="Times New Roman"/>
                <w:sz w:val="18"/>
                <w:szCs w:val="18"/>
              </w:rPr>
              <w:t>P</w:t>
            </w:r>
            <w:r>
              <w:rPr>
                <w:rFonts w:eastAsia="Times New Roman"/>
                <w:sz w:val="18"/>
                <w:szCs w:val="18"/>
              </w:rPr>
              <w:t>.</w:t>
            </w:r>
            <w:r w:rsidRPr="00915C40">
              <w:rPr>
                <w:rFonts w:eastAsia="Times New Roman"/>
                <w:sz w:val="18"/>
                <w:szCs w:val="18"/>
              </w:rPr>
              <w:t xml:space="preserve"> IVA soportado</w:t>
            </w:r>
          </w:p>
        </w:tc>
        <w:tc>
          <w:tcPr>
            <w:tcW w:w="740" w:type="pct"/>
            <w:tcBorders>
              <w:top w:val="nil"/>
              <w:left w:val="nil"/>
              <w:bottom w:val="nil"/>
              <w:right w:val="nil"/>
            </w:tcBorders>
            <w:shd w:val="clear" w:color="auto" w:fill="auto"/>
            <w:vAlign w:val="center"/>
          </w:tcPr>
          <w:p w14:paraId="0E6E1249" w14:textId="77777777" w:rsidR="006220A2" w:rsidRDefault="003D6D7D" w:rsidP="00693BB6">
            <w:pPr>
              <w:keepNext/>
              <w:keepLines/>
              <w:jc w:val="right"/>
              <w:rPr>
                <w:sz w:val="18"/>
                <w:szCs w:val="18"/>
              </w:rPr>
            </w:pPr>
            <w:r>
              <w:rPr>
                <w:sz w:val="18"/>
                <w:szCs w:val="18"/>
              </w:rPr>
              <w:t>1.795,98</w:t>
            </w:r>
          </w:p>
        </w:tc>
        <w:tc>
          <w:tcPr>
            <w:tcW w:w="853" w:type="pct"/>
            <w:tcBorders>
              <w:top w:val="nil"/>
              <w:left w:val="nil"/>
              <w:bottom w:val="nil"/>
              <w:right w:val="nil"/>
            </w:tcBorders>
            <w:shd w:val="clear" w:color="auto" w:fill="auto"/>
            <w:vAlign w:val="center"/>
          </w:tcPr>
          <w:p w14:paraId="2FC0333E" w14:textId="77777777" w:rsidR="006220A2" w:rsidRDefault="006220A2" w:rsidP="00693BB6">
            <w:pPr>
              <w:keepNext/>
              <w:keepLines/>
              <w:jc w:val="right"/>
              <w:rPr>
                <w:sz w:val="18"/>
                <w:szCs w:val="18"/>
              </w:rPr>
            </w:pPr>
            <w:r>
              <w:rPr>
                <w:sz w:val="18"/>
                <w:szCs w:val="18"/>
              </w:rPr>
              <w:t>-</w:t>
            </w:r>
          </w:p>
        </w:tc>
        <w:tc>
          <w:tcPr>
            <w:tcW w:w="689" w:type="pct"/>
            <w:tcBorders>
              <w:top w:val="nil"/>
              <w:left w:val="nil"/>
              <w:bottom w:val="nil"/>
              <w:right w:val="nil"/>
            </w:tcBorders>
            <w:shd w:val="clear" w:color="auto" w:fill="auto"/>
            <w:vAlign w:val="center"/>
            <w:hideMark/>
          </w:tcPr>
          <w:p w14:paraId="7B7A9841" w14:textId="77777777" w:rsidR="006220A2" w:rsidRPr="00915C40" w:rsidRDefault="003D6D7D" w:rsidP="00693BB6">
            <w:pPr>
              <w:keepNext/>
              <w:keepLines/>
              <w:jc w:val="right"/>
              <w:rPr>
                <w:rFonts w:eastAsia="Times New Roman"/>
                <w:sz w:val="18"/>
                <w:szCs w:val="18"/>
              </w:rPr>
            </w:pPr>
            <w:r>
              <w:rPr>
                <w:rFonts w:eastAsia="Times New Roman"/>
                <w:sz w:val="18"/>
                <w:szCs w:val="18"/>
              </w:rPr>
              <w:t>11.702,47</w:t>
            </w:r>
          </w:p>
        </w:tc>
        <w:tc>
          <w:tcPr>
            <w:tcW w:w="605" w:type="pct"/>
            <w:tcBorders>
              <w:top w:val="nil"/>
              <w:left w:val="nil"/>
              <w:bottom w:val="nil"/>
              <w:right w:val="nil"/>
            </w:tcBorders>
            <w:shd w:val="clear" w:color="auto" w:fill="auto"/>
            <w:vAlign w:val="center"/>
            <w:hideMark/>
          </w:tcPr>
          <w:p w14:paraId="292FE170" w14:textId="77777777" w:rsidR="006220A2" w:rsidRPr="00915C40" w:rsidRDefault="006220A2" w:rsidP="00693BB6">
            <w:pPr>
              <w:keepNext/>
              <w:keepLines/>
              <w:jc w:val="right"/>
              <w:rPr>
                <w:rFonts w:eastAsia="Times New Roman"/>
                <w:sz w:val="18"/>
                <w:szCs w:val="18"/>
              </w:rPr>
            </w:pPr>
            <w:r w:rsidRPr="00915C40">
              <w:rPr>
                <w:rFonts w:eastAsia="Times New Roman"/>
                <w:sz w:val="18"/>
                <w:szCs w:val="18"/>
              </w:rPr>
              <w:t>-</w:t>
            </w:r>
          </w:p>
        </w:tc>
      </w:tr>
      <w:tr w:rsidR="006220A2" w:rsidRPr="00915C40" w14:paraId="23A7DBC6" w14:textId="77777777" w:rsidTr="00693BB6">
        <w:trPr>
          <w:trHeight w:val="238"/>
          <w:jc w:val="center"/>
        </w:trPr>
        <w:tc>
          <w:tcPr>
            <w:tcW w:w="2112" w:type="pct"/>
            <w:tcBorders>
              <w:top w:val="nil"/>
              <w:left w:val="nil"/>
              <w:bottom w:val="nil"/>
              <w:right w:val="nil"/>
            </w:tcBorders>
            <w:shd w:val="clear" w:color="auto" w:fill="auto"/>
            <w:vAlign w:val="center"/>
            <w:hideMark/>
          </w:tcPr>
          <w:p w14:paraId="66193894" w14:textId="77777777" w:rsidR="006220A2" w:rsidRPr="00915C40" w:rsidRDefault="006220A2" w:rsidP="00841182">
            <w:pPr>
              <w:keepNext/>
              <w:keepLines/>
              <w:rPr>
                <w:rFonts w:eastAsia="Times New Roman"/>
                <w:sz w:val="18"/>
                <w:szCs w:val="18"/>
              </w:rPr>
            </w:pPr>
            <w:r w:rsidRPr="00915C40">
              <w:rPr>
                <w:rFonts w:eastAsia="Times New Roman"/>
                <w:sz w:val="18"/>
                <w:szCs w:val="18"/>
              </w:rPr>
              <w:t>H</w:t>
            </w:r>
            <w:r>
              <w:rPr>
                <w:rFonts w:eastAsia="Times New Roman"/>
                <w:sz w:val="18"/>
                <w:szCs w:val="18"/>
              </w:rPr>
              <w:t xml:space="preserve">. </w:t>
            </w:r>
            <w:r w:rsidRPr="00915C40">
              <w:rPr>
                <w:rFonts w:eastAsia="Times New Roman"/>
                <w:sz w:val="18"/>
                <w:szCs w:val="18"/>
              </w:rPr>
              <w:t>P</w:t>
            </w:r>
            <w:r>
              <w:rPr>
                <w:rFonts w:eastAsia="Times New Roman"/>
                <w:sz w:val="18"/>
                <w:szCs w:val="18"/>
              </w:rPr>
              <w:t>.</w:t>
            </w:r>
            <w:r w:rsidRPr="00915C40">
              <w:rPr>
                <w:rFonts w:eastAsia="Times New Roman"/>
                <w:sz w:val="18"/>
                <w:szCs w:val="18"/>
              </w:rPr>
              <w:t xml:space="preserve"> retenciones y pagos a cuenta</w:t>
            </w:r>
          </w:p>
        </w:tc>
        <w:tc>
          <w:tcPr>
            <w:tcW w:w="740" w:type="pct"/>
            <w:tcBorders>
              <w:top w:val="nil"/>
              <w:left w:val="nil"/>
              <w:bottom w:val="nil"/>
              <w:right w:val="nil"/>
            </w:tcBorders>
            <w:shd w:val="clear" w:color="auto" w:fill="auto"/>
            <w:vAlign w:val="center"/>
          </w:tcPr>
          <w:p w14:paraId="709C836B" w14:textId="77777777" w:rsidR="006220A2" w:rsidRDefault="003D6D7D" w:rsidP="00693BB6">
            <w:pPr>
              <w:keepNext/>
              <w:keepLines/>
              <w:jc w:val="right"/>
              <w:rPr>
                <w:sz w:val="18"/>
                <w:szCs w:val="18"/>
              </w:rPr>
            </w:pPr>
            <w:r>
              <w:rPr>
                <w:sz w:val="18"/>
                <w:szCs w:val="18"/>
              </w:rPr>
              <w:t>-</w:t>
            </w:r>
          </w:p>
        </w:tc>
        <w:tc>
          <w:tcPr>
            <w:tcW w:w="853" w:type="pct"/>
            <w:tcBorders>
              <w:top w:val="nil"/>
              <w:left w:val="nil"/>
              <w:bottom w:val="nil"/>
              <w:right w:val="nil"/>
            </w:tcBorders>
            <w:shd w:val="clear" w:color="auto" w:fill="auto"/>
            <w:vAlign w:val="center"/>
          </w:tcPr>
          <w:p w14:paraId="3F6A912A" w14:textId="77777777" w:rsidR="006220A2" w:rsidRDefault="006220A2" w:rsidP="00693BB6">
            <w:pPr>
              <w:keepNext/>
              <w:keepLines/>
              <w:jc w:val="right"/>
              <w:rPr>
                <w:sz w:val="18"/>
                <w:szCs w:val="18"/>
              </w:rPr>
            </w:pPr>
            <w:r>
              <w:rPr>
                <w:sz w:val="18"/>
                <w:szCs w:val="18"/>
              </w:rPr>
              <w:t>-</w:t>
            </w:r>
          </w:p>
        </w:tc>
        <w:tc>
          <w:tcPr>
            <w:tcW w:w="689" w:type="pct"/>
            <w:tcBorders>
              <w:top w:val="nil"/>
              <w:left w:val="nil"/>
              <w:bottom w:val="nil"/>
              <w:right w:val="nil"/>
            </w:tcBorders>
            <w:shd w:val="clear" w:color="auto" w:fill="auto"/>
            <w:vAlign w:val="center"/>
            <w:hideMark/>
          </w:tcPr>
          <w:p w14:paraId="764FC44F" w14:textId="77777777" w:rsidR="006220A2" w:rsidRPr="00915C40" w:rsidRDefault="003D6D7D" w:rsidP="00693BB6">
            <w:pPr>
              <w:keepNext/>
              <w:keepLines/>
              <w:jc w:val="right"/>
              <w:rPr>
                <w:rFonts w:eastAsia="Times New Roman"/>
                <w:sz w:val="18"/>
                <w:szCs w:val="18"/>
              </w:rPr>
            </w:pPr>
            <w:r>
              <w:rPr>
                <w:rFonts w:eastAsia="Times New Roman"/>
                <w:sz w:val="18"/>
                <w:szCs w:val="18"/>
              </w:rPr>
              <w:t>222,55</w:t>
            </w:r>
          </w:p>
        </w:tc>
        <w:tc>
          <w:tcPr>
            <w:tcW w:w="605" w:type="pct"/>
            <w:tcBorders>
              <w:top w:val="nil"/>
              <w:left w:val="nil"/>
              <w:bottom w:val="nil"/>
              <w:right w:val="nil"/>
            </w:tcBorders>
            <w:shd w:val="clear" w:color="auto" w:fill="auto"/>
            <w:vAlign w:val="center"/>
            <w:hideMark/>
          </w:tcPr>
          <w:p w14:paraId="6D2AF28C" w14:textId="77777777" w:rsidR="006220A2" w:rsidRPr="00915C40" w:rsidRDefault="006220A2" w:rsidP="00693BB6">
            <w:pPr>
              <w:keepNext/>
              <w:keepLines/>
              <w:jc w:val="right"/>
              <w:rPr>
                <w:rFonts w:eastAsia="Times New Roman"/>
                <w:sz w:val="18"/>
                <w:szCs w:val="18"/>
              </w:rPr>
            </w:pPr>
            <w:r w:rsidRPr="00915C40">
              <w:rPr>
                <w:rFonts w:eastAsia="Times New Roman"/>
                <w:sz w:val="18"/>
                <w:szCs w:val="18"/>
              </w:rPr>
              <w:t>-</w:t>
            </w:r>
          </w:p>
        </w:tc>
      </w:tr>
      <w:tr w:rsidR="006220A2" w:rsidRPr="00915C40" w14:paraId="039736F9" w14:textId="77777777" w:rsidTr="00693BB6">
        <w:trPr>
          <w:trHeight w:val="238"/>
          <w:jc w:val="center"/>
        </w:trPr>
        <w:tc>
          <w:tcPr>
            <w:tcW w:w="2112" w:type="pct"/>
            <w:tcBorders>
              <w:top w:val="nil"/>
              <w:left w:val="nil"/>
              <w:bottom w:val="nil"/>
              <w:right w:val="nil"/>
            </w:tcBorders>
            <w:shd w:val="clear" w:color="auto" w:fill="auto"/>
            <w:vAlign w:val="center"/>
            <w:hideMark/>
          </w:tcPr>
          <w:p w14:paraId="79A6F898" w14:textId="77777777" w:rsidR="006220A2" w:rsidRPr="00915C40" w:rsidRDefault="006220A2" w:rsidP="00841182">
            <w:pPr>
              <w:keepNext/>
              <w:keepLines/>
              <w:rPr>
                <w:rFonts w:eastAsia="Times New Roman"/>
                <w:sz w:val="18"/>
                <w:szCs w:val="18"/>
              </w:rPr>
            </w:pPr>
            <w:r w:rsidRPr="00915C40">
              <w:rPr>
                <w:rFonts w:eastAsia="Times New Roman"/>
                <w:sz w:val="18"/>
                <w:szCs w:val="18"/>
              </w:rPr>
              <w:t>H</w:t>
            </w:r>
            <w:r>
              <w:rPr>
                <w:rFonts w:eastAsia="Times New Roman"/>
                <w:sz w:val="18"/>
                <w:szCs w:val="18"/>
              </w:rPr>
              <w:t xml:space="preserve">. </w:t>
            </w:r>
            <w:r w:rsidRPr="00915C40">
              <w:rPr>
                <w:rFonts w:eastAsia="Times New Roman"/>
                <w:sz w:val="18"/>
                <w:szCs w:val="18"/>
              </w:rPr>
              <w:t>P</w:t>
            </w:r>
            <w:r>
              <w:rPr>
                <w:rFonts w:eastAsia="Times New Roman"/>
                <w:sz w:val="18"/>
                <w:szCs w:val="18"/>
              </w:rPr>
              <w:t>.</w:t>
            </w:r>
            <w:r w:rsidRPr="00915C40">
              <w:rPr>
                <w:rFonts w:eastAsia="Times New Roman"/>
                <w:sz w:val="18"/>
                <w:szCs w:val="18"/>
              </w:rPr>
              <w:t xml:space="preserve"> acreedora por conceptos fiscales</w:t>
            </w:r>
          </w:p>
        </w:tc>
        <w:tc>
          <w:tcPr>
            <w:tcW w:w="740" w:type="pct"/>
            <w:tcBorders>
              <w:top w:val="nil"/>
              <w:left w:val="nil"/>
              <w:bottom w:val="nil"/>
              <w:right w:val="nil"/>
            </w:tcBorders>
            <w:shd w:val="clear" w:color="auto" w:fill="auto"/>
            <w:vAlign w:val="center"/>
          </w:tcPr>
          <w:p w14:paraId="159BCBDE" w14:textId="77777777" w:rsidR="006220A2" w:rsidRDefault="006220A2" w:rsidP="00693BB6">
            <w:pPr>
              <w:keepNext/>
              <w:keepLines/>
              <w:jc w:val="right"/>
              <w:rPr>
                <w:sz w:val="18"/>
                <w:szCs w:val="18"/>
              </w:rPr>
            </w:pPr>
            <w:r>
              <w:rPr>
                <w:sz w:val="18"/>
                <w:szCs w:val="18"/>
              </w:rPr>
              <w:t>-</w:t>
            </w:r>
          </w:p>
        </w:tc>
        <w:tc>
          <w:tcPr>
            <w:tcW w:w="853" w:type="pct"/>
            <w:tcBorders>
              <w:top w:val="nil"/>
              <w:left w:val="nil"/>
              <w:bottom w:val="nil"/>
              <w:right w:val="nil"/>
            </w:tcBorders>
            <w:shd w:val="clear" w:color="auto" w:fill="auto"/>
            <w:vAlign w:val="center"/>
          </w:tcPr>
          <w:p w14:paraId="14E8C5D0" w14:textId="77777777" w:rsidR="006220A2" w:rsidRDefault="003D6D7D" w:rsidP="00693BB6">
            <w:pPr>
              <w:keepNext/>
              <w:keepLines/>
              <w:jc w:val="right"/>
              <w:rPr>
                <w:sz w:val="18"/>
                <w:szCs w:val="18"/>
              </w:rPr>
            </w:pPr>
            <w:r>
              <w:rPr>
                <w:sz w:val="18"/>
                <w:szCs w:val="18"/>
              </w:rPr>
              <w:t>753.078,69</w:t>
            </w:r>
          </w:p>
        </w:tc>
        <w:tc>
          <w:tcPr>
            <w:tcW w:w="689" w:type="pct"/>
            <w:tcBorders>
              <w:top w:val="nil"/>
              <w:left w:val="nil"/>
              <w:bottom w:val="nil"/>
              <w:right w:val="nil"/>
            </w:tcBorders>
            <w:shd w:val="clear" w:color="auto" w:fill="auto"/>
            <w:vAlign w:val="center"/>
            <w:hideMark/>
          </w:tcPr>
          <w:p w14:paraId="40F97EF3" w14:textId="77777777" w:rsidR="006220A2" w:rsidRPr="00915C40" w:rsidRDefault="006220A2" w:rsidP="00693BB6">
            <w:pPr>
              <w:keepNext/>
              <w:keepLines/>
              <w:jc w:val="right"/>
              <w:rPr>
                <w:rFonts w:eastAsia="Times New Roman"/>
                <w:sz w:val="18"/>
                <w:szCs w:val="18"/>
              </w:rPr>
            </w:pPr>
            <w:r w:rsidRPr="00915C40">
              <w:rPr>
                <w:rFonts w:eastAsia="Times New Roman"/>
                <w:sz w:val="18"/>
                <w:szCs w:val="18"/>
              </w:rPr>
              <w:t>-</w:t>
            </w:r>
          </w:p>
        </w:tc>
        <w:tc>
          <w:tcPr>
            <w:tcW w:w="605" w:type="pct"/>
            <w:tcBorders>
              <w:top w:val="nil"/>
              <w:left w:val="nil"/>
              <w:bottom w:val="nil"/>
              <w:right w:val="nil"/>
            </w:tcBorders>
            <w:shd w:val="clear" w:color="auto" w:fill="auto"/>
            <w:vAlign w:val="center"/>
            <w:hideMark/>
          </w:tcPr>
          <w:p w14:paraId="3E880792" w14:textId="77777777" w:rsidR="006220A2" w:rsidRPr="006E00F7" w:rsidRDefault="003D6D7D" w:rsidP="00693BB6">
            <w:pPr>
              <w:keepNext/>
              <w:keepLines/>
              <w:jc w:val="right"/>
              <w:rPr>
                <w:rFonts w:eastAsia="Times New Roman"/>
                <w:sz w:val="18"/>
                <w:szCs w:val="18"/>
              </w:rPr>
            </w:pPr>
            <w:r>
              <w:rPr>
                <w:rFonts w:eastAsia="Times New Roman"/>
                <w:sz w:val="18"/>
                <w:szCs w:val="18"/>
              </w:rPr>
              <w:t>1.103.132,70</w:t>
            </w:r>
          </w:p>
        </w:tc>
      </w:tr>
      <w:tr w:rsidR="006220A2" w:rsidRPr="00915C40" w14:paraId="5B234C7B" w14:textId="77777777" w:rsidTr="00693BB6">
        <w:trPr>
          <w:trHeight w:val="238"/>
          <w:jc w:val="center"/>
        </w:trPr>
        <w:tc>
          <w:tcPr>
            <w:tcW w:w="2112" w:type="pct"/>
            <w:tcBorders>
              <w:top w:val="nil"/>
              <w:left w:val="nil"/>
              <w:bottom w:val="single" w:sz="4" w:space="0" w:color="auto"/>
              <w:right w:val="nil"/>
            </w:tcBorders>
            <w:shd w:val="clear" w:color="auto" w:fill="auto"/>
            <w:vAlign w:val="center"/>
            <w:hideMark/>
          </w:tcPr>
          <w:p w14:paraId="5B249425" w14:textId="77777777" w:rsidR="006220A2" w:rsidRPr="00915C40" w:rsidRDefault="006220A2" w:rsidP="00841182">
            <w:pPr>
              <w:keepNext/>
              <w:keepLines/>
              <w:rPr>
                <w:rFonts w:eastAsia="Times New Roman"/>
                <w:sz w:val="18"/>
                <w:szCs w:val="18"/>
              </w:rPr>
            </w:pPr>
            <w:r w:rsidRPr="00915C40">
              <w:rPr>
                <w:rFonts w:eastAsia="Times New Roman"/>
                <w:sz w:val="18"/>
                <w:szCs w:val="18"/>
              </w:rPr>
              <w:t>Org</w:t>
            </w:r>
            <w:r>
              <w:rPr>
                <w:rFonts w:eastAsia="Times New Roman"/>
                <w:sz w:val="18"/>
                <w:szCs w:val="18"/>
              </w:rPr>
              <w:t>.</w:t>
            </w:r>
            <w:r w:rsidRPr="00915C40">
              <w:rPr>
                <w:rFonts w:eastAsia="Times New Roman"/>
                <w:sz w:val="18"/>
                <w:szCs w:val="18"/>
              </w:rPr>
              <w:t xml:space="preserve"> de la Seguridad Social, acreedores</w:t>
            </w:r>
          </w:p>
        </w:tc>
        <w:tc>
          <w:tcPr>
            <w:tcW w:w="740" w:type="pct"/>
            <w:tcBorders>
              <w:top w:val="nil"/>
              <w:left w:val="nil"/>
              <w:bottom w:val="single" w:sz="4" w:space="0" w:color="auto"/>
              <w:right w:val="nil"/>
            </w:tcBorders>
            <w:shd w:val="clear" w:color="auto" w:fill="auto"/>
            <w:vAlign w:val="center"/>
          </w:tcPr>
          <w:p w14:paraId="2554374B" w14:textId="77777777" w:rsidR="006220A2" w:rsidRDefault="006220A2" w:rsidP="00693BB6">
            <w:pPr>
              <w:keepNext/>
              <w:keepLines/>
              <w:jc w:val="right"/>
              <w:rPr>
                <w:sz w:val="18"/>
                <w:szCs w:val="18"/>
              </w:rPr>
            </w:pPr>
            <w:r>
              <w:rPr>
                <w:sz w:val="18"/>
                <w:szCs w:val="18"/>
              </w:rPr>
              <w:t>-</w:t>
            </w:r>
          </w:p>
        </w:tc>
        <w:tc>
          <w:tcPr>
            <w:tcW w:w="853" w:type="pct"/>
            <w:tcBorders>
              <w:top w:val="nil"/>
              <w:left w:val="nil"/>
              <w:bottom w:val="single" w:sz="4" w:space="0" w:color="auto"/>
              <w:right w:val="nil"/>
            </w:tcBorders>
            <w:shd w:val="clear" w:color="auto" w:fill="auto"/>
            <w:vAlign w:val="center"/>
          </w:tcPr>
          <w:p w14:paraId="2ADA08A5" w14:textId="77777777" w:rsidR="006220A2" w:rsidRDefault="003D6D7D" w:rsidP="00693BB6">
            <w:pPr>
              <w:keepNext/>
              <w:keepLines/>
              <w:jc w:val="right"/>
              <w:rPr>
                <w:sz w:val="18"/>
                <w:szCs w:val="18"/>
              </w:rPr>
            </w:pPr>
            <w:r>
              <w:rPr>
                <w:sz w:val="18"/>
                <w:szCs w:val="18"/>
              </w:rPr>
              <w:t>42.039,13</w:t>
            </w:r>
          </w:p>
        </w:tc>
        <w:tc>
          <w:tcPr>
            <w:tcW w:w="689" w:type="pct"/>
            <w:tcBorders>
              <w:top w:val="nil"/>
              <w:left w:val="nil"/>
              <w:bottom w:val="single" w:sz="4" w:space="0" w:color="auto"/>
              <w:right w:val="nil"/>
            </w:tcBorders>
            <w:shd w:val="clear" w:color="auto" w:fill="auto"/>
            <w:vAlign w:val="center"/>
            <w:hideMark/>
          </w:tcPr>
          <w:p w14:paraId="098A77F6" w14:textId="77777777" w:rsidR="006220A2" w:rsidRPr="00915C40" w:rsidRDefault="006220A2" w:rsidP="00693BB6">
            <w:pPr>
              <w:keepNext/>
              <w:keepLines/>
              <w:jc w:val="right"/>
              <w:rPr>
                <w:rFonts w:eastAsia="Times New Roman"/>
                <w:sz w:val="18"/>
                <w:szCs w:val="18"/>
              </w:rPr>
            </w:pPr>
            <w:r w:rsidRPr="00915C40">
              <w:rPr>
                <w:rFonts w:eastAsia="Times New Roman"/>
                <w:sz w:val="18"/>
                <w:szCs w:val="18"/>
              </w:rPr>
              <w:t>-</w:t>
            </w:r>
          </w:p>
        </w:tc>
        <w:tc>
          <w:tcPr>
            <w:tcW w:w="605" w:type="pct"/>
            <w:tcBorders>
              <w:top w:val="nil"/>
              <w:left w:val="nil"/>
              <w:bottom w:val="single" w:sz="4" w:space="0" w:color="auto"/>
              <w:right w:val="nil"/>
            </w:tcBorders>
            <w:shd w:val="clear" w:color="auto" w:fill="auto"/>
            <w:vAlign w:val="center"/>
            <w:hideMark/>
          </w:tcPr>
          <w:p w14:paraId="2028DFED" w14:textId="77777777" w:rsidR="006220A2" w:rsidRPr="006E00F7" w:rsidRDefault="003D6D7D" w:rsidP="00693BB6">
            <w:pPr>
              <w:keepNext/>
              <w:keepLines/>
              <w:jc w:val="right"/>
              <w:rPr>
                <w:rFonts w:eastAsia="Times New Roman"/>
                <w:sz w:val="18"/>
                <w:szCs w:val="18"/>
              </w:rPr>
            </w:pPr>
            <w:r>
              <w:rPr>
                <w:rFonts w:eastAsia="Times New Roman"/>
                <w:sz w:val="18"/>
                <w:szCs w:val="18"/>
              </w:rPr>
              <w:t>39.121,14</w:t>
            </w:r>
          </w:p>
        </w:tc>
      </w:tr>
      <w:tr w:rsidR="006220A2" w:rsidRPr="00915C40" w14:paraId="1ADFFF69" w14:textId="77777777" w:rsidTr="00693BB6">
        <w:trPr>
          <w:trHeight w:val="238"/>
          <w:jc w:val="center"/>
        </w:trPr>
        <w:tc>
          <w:tcPr>
            <w:tcW w:w="2112" w:type="pct"/>
            <w:tcBorders>
              <w:top w:val="single" w:sz="4" w:space="0" w:color="auto"/>
              <w:left w:val="nil"/>
              <w:bottom w:val="single" w:sz="4" w:space="0" w:color="auto"/>
              <w:right w:val="nil"/>
            </w:tcBorders>
            <w:shd w:val="clear" w:color="auto" w:fill="auto"/>
            <w:vAlign w:val="center"/>
            <w:hideMark/>
          </w:tcPr>
          <w:p w14:paraId="7439EC2A" w14:textId="77777777" w:rsidR="006220A2" w:rsidRPr="00915C40" w:rsidRDefault="006220A2" w:rsidP="00841182">
            <w:pPr>
              <w:keepNext/>
              <w:keepLines/>
              <w:rPr>
                <w:rFonts w:eastAsia="Times New Roman"/>
                <w:b/>
                <w:bCs/>
                <w:sz w:val="18"/>
                <w:szCs w:val="18"/>
              </w:rPr>
            </w:pPr>
            <w:r w:rsidRPr="00915C40">
              <w:rPr>
                <w:rFonts w:eastAsia="Times New Roman"/>
                <w:b/>
                <w:bCs/>
                <w:sz w:val="18"/>
                <w:szCs w:val="18"/>
              </w:rPr>
              <w:t>Total</w:t>
            </w:r>
          </w:p>
        </w:tc>
        <w:tc>
          <w:tcPr>
            <w:tcW w:w="740" w:type="pct"/>
            <w:tcBorders>
              <w:top w:val="single" w:sz="4" w:space="0" w:color="auto"/>
              <w:left w:val="nil"/>
              <w:bottom w:val="single" w:sz="4" w:space="0" w:color="auto"/>
              <w:right w:val="nil"/>
            </w:tcBorders>
            <w:shd w:val="clear" w:color="auto" w:fill="auto"/>
            <w:vAlign w:val="center"/>
          </w:tcPr>
          <w:p w14:paraId="6D25ED28" w14:textId="77777777" w:rsidR="006220A2" w:rsidRDefault="003D6D7D" w:rsidP="00693BB6">
            <w:pPr>
              <w:keepNext/>
              <w:keepLines/>
              <w:jc w:val="right"/>
              <w:rPr>
                <w:b/>
                <w:bCs/>
                <w:sz w:val="18"/>
                <w:szCs w:val="18"/>
              </w:rPr>
            </w:pPr>
            <w:r>
              <w:rPr>
                <w:b/>
                <w:bCs/>
                <w:sz w:val="18"/>
                <w:szCs w:val="18"/>
              </w:rPr>
              <w:t>5.182.318,91</w:t>
            </w:r>
          </w:p>
        </w:tc>
        <w:tc>
          <w:tcPr>
            <w:tcW w:w="853" w:type="pct"/>
            <w:tcBorders>
              <w:top w:val="single" w:sz="4" w:space="0" w:color="auto"/>
              <w:left w:val="nil"/>
              <w:bottom w:val="single" w:sz="4" w:space="0" w:color="auto"/>
              <w:right w:val="nil"/>
            </w:tcBorders>
            <w:shd w:val="clear" w:color="auto" w:fill="auto"/>
            <w:vAlign w:val="center"/>
          </w:tcPr>
          <w:p w14:paraId="630818EE" w14:textId="77777777" w:rsidR="006220A2" w:rsidRDefault="003D6D7D" w:rsidP="00693BB6">
            <w:pPr>
              <w:keepNext/>
              <w:keepLines/>
              <w:jc w:val="right"/>
              <w:rPr>
                <w:b/>
                <w:bCs/>
                <w:sz w:val="18"/>
                <w:szCs w:val="18"/>
              </w:rPr>
            </w:pPr>
            <w:r>
              <w:rPr>
                <w:b/>
                <w:bCs/>
                <w:sz w:val="18"/>
                <w:szCs w:val="18"/>
              </w:rPr>
              <w:t>795.117,82</w:t>
            </w:r>
          </w:p>
        </w:tc>
        <w:tc>
          <w:tcPr>
            <w:tcW w:w="689" w:type="pct"/>
            <w:tcBorders>
              <w:top w:val="single" w:sz="4" w:space="0" w:color="auto"/>
              <w:left w:val="nil"/>
              <w:bottom w:val="single" w:sz="4" w:space="0" w:color="auto"/>
              <w:right w:val="nil"/>
            </w:tcBorders>
            <w:shd w:val="clear" w:color="auto" w:fill="auto"/>
            <w:vAlign w:val="center"/>
            <w:hideMark/>
          </w:tcPr>
          <w:p w14:paraId="48B156F9" w14:textId="77777777" w:rsidR="006220A2" w:rsidRPr="00915C40" w:rsidRDefault="003D6D7D" w:rsidP="00693BB6">
            <w:pPr>
              <w:keepNext/>
              <w:keepLines/>
              <w:jc w:val="right"/>
              <w:rPr>
                <w:rFonts w:eastAsia="Times New Roman"/>
                <w:b/>
                <w:bCs/>
                <w:sz w:val="18"/>
                <w:szCs w:val="18"/>
              </w:rPr>
            </w:pPr>
            <w:r>
              <w:rPr>
                <w:rFonts w:eastAsia="Times New Roman"/>
                <w:b/>
                <w:bCs/>
                <w:sz w:val="18"/>
                <w:szCs w:val="18"/>
              </w:rPr>
              <w:t>5.934.033,74</w:t>
            </w:r>
          </w:p>
        </w:tc>
        <w:tc>
          <w:tcPr>
            <w:tcW w:w="605" w:type="pct"/>
            <w:tcBorders>
              <w:top w:val="single" w:sz="4" w:space="0" w:color="auto"/>
              <w:left w:val="nil"/>
              <w:bottom w:val="single" w:sz="4" w:space="0" w:color="auto"/>
              <w:right w:val="nil"/>
            </w:tcBorders>
            <w:shd w:val="clear" w:color="auto" w:fill="auto"/>
            <w:vAlign w:val="center"/>
            <w:hideMark/>
          </w:tcPr>
          <w:p w14:paraId="5662799A" w14:textId="77777777" w:rsidR="006220A2" w:rsidRPr="006E00F7" w:rsidRDefault="003D6D7D" w:rsidP="00693BB6">
            <w:pPr>
              <w:keepNext/>
              <w:keepLines/>
              <w:jc w:val="right"/>
              <w:rPr>
                <w:rFonts w:eastAsia="Times New Roman"/>
                <w:b/>
                <w:bCs/>
                <w:sz w:val="18"/>
                <w:szCs w:val="18"/>
              </w:rPr>
            </w:pPr>
            <w:r>
              <w:rPr>
                <w:rFonts w:eastAsia="Times New Roman"/>
                <w:b/>
                <w:bCs/>
                <w:sz w:val="18"/>
                <w:szCs w:val="18"/>
              </w:rPr>
              <w:t>1.142.253,84</w:t>
            </w:r>
          </w:p>
        </w:tc>
      </w:tr>
    </w:tbl>
    <w:p w14:paraId="1E56194B" w14:textId="77777777" w:rsidR="006220A2" w:rsidRPr="00DE3714" w:rsidRDefault="006220A2" w:rsidP="006220A2">
      <w:pPr>
        <w:widowControl w:val="0"/>
        <w:tabs>
          <w:tab w:val="left" w:pos="284"/>
        </w:tabs>
        <w:spacing w:before="200"/>
        <w:rPr>
          <w:i/>
          <w:sz w:val="20"/>
          <w:szCs w:val="22"/>
        </w:rPr>
      </w:pPr>
      <w:r w:rsidRPr="00DE3714">
        <w:rPr>
          <w:i/>
          <w:sz w:val="20"/>
          <w:szCs w:val="22"/>
        </w:rPr>
        <w:t>a)</w:t>
      </w:r>
      <w:r w:rsidRPr="00DE3714">
        <w:rPr>
          <w:i/>
          <w:sz w:val="20"/>
          <w:szCs w:val="22"/>
        </w:rPr>
        <w:tab/>
      </w:r>
      <w:r w:rsidRPr="009E0C24">
        <w:rPr>
          <w:i/>
          <w:sz w:val="20"/>
          <w:szCs w:val="22"/>
          <w:u w:val="single"/>
        </w:rPr>
        <w:t>Administraciones Públicas deudoras</w:t>
      </w:r>
    </w:p>
    <w:p w14:paraId="681503EC" w14:textId="77777777" w:rsidR="006220A2" w:rsidRDefault="006220A2" w:rsidP="006220A2">
      <w:pPr>
        <w:widowControl w:val="0"/>
        <w:spacing w:before="120"/>
        <w:jc w:val="both"/>
        <w:rPr>
          <w:sz w:val="20"/>
          <w:szCs w:val="22"/>
        </w:rPr>
      </w:pPr>
      <w:r w:rsidRPr="00A16ECB">
        <w:rPr>
          <w:sz w:val="20"/>
          <w:szCs w:val="22"/>
        </w:rPr>
        <w:t>El importe bajo el epígrafe de “Hacienda Pública, deudora por diversos conceptos” recoge el importe de las subvenciones concedidas y no cobradas a 31 de diciembre de 2</w:t>
      </w:r>
      <w:r w:rsidR="006617F6">
        <w:rPr>
          <w:sz w:val="20"/>
          <w:szCs w:val="22"/>
        </w:rPr>
        <w:t>018</w:t>
      </w:r>
      <w:r w:rsidRPr="00A16ECB">
        <w:rPr>
          <w:sz w:val="20"/>
          <w:szCs w:val="22"/>
        </w:rPr>
        <w:t xml:space="preserve">. </w:t>
      </w:r>
      <w:r w:rsidR="00445336">
        <w:rPr>
          <w:sz w:val="20"/>
          <w:szCs w:val="22"/>
        </w:rPr>
        <w:t>D</w:t>
      </w:r>
      <w:r w:rsidRPr="00A16ECB">
        <w:rPr>
          <w:sz w:val="20"/>
          <w:szCs w:val="22"/>
        </w:rPr>
        <w:t>ichos importes han sido cobrados en enero y febrero de 201</w:t>
      </w:r>
      <w:r w:rsidR="006617F6">
        <w:rPr>
          <w:sz w:val="20"/>
          <w:szCs w:val="22"/>
        </w:rPr>
        <w:t>9</w:t>
      </w:r>
      <w:r w:rsidRPr="00A16ECB">
        <w:rPr>
          <w:sz w:val="20"/>
          <w:szCs w:val="22"/>
        </w:rPr>
        <w:t>.</w:t>
      </w:r>
    </w:p>
    <w:p w14:paraId="09445EFD" w14:textId="77777777" w:rsidR="006220A2" w:rsidRPr="00DE3714" w:rsidRDefault="006220A2" w:rsidP="006220A2">
      <w:pPr>
        <w:widowControl w:val="0"/>
        <w:tabs>
          <w:tab w:val="left" w:pos="284"/>
        </w:tabs>
        <w:spacing w:before="200"/>
        <w:rPr>
          <w:i/>
          <w:sz w:val="20"/>
          <w:szCs w:val="22"/>
        </w:rPr>
      </w:pPr>
      <w:r w:rsidRPr="00DE3714">
        <w:rPr>
          <w:i/>
          <w:sz w:val="20"/>
          <w:szCs w:val="22"/>
        </w:rPr>
        <w:t>b)</w:t>
      </w:r>
      <w:r w:rsidRPr="00DE3714">
        <w:rPr>
          <w:i/>
          <w:sz w:val="22"/>
          <w:szCs w:val="22"/>
        </w:rPr>
        <w:tab/>
      </w:r>
      <w:r w:rsidRPr="009E0C24">
        <w:rPr>
          <w:i/>
          <w:sz w:val="20"/>
          <w:szCs w:val="22"/>
          <w:u w:val="single"/>
        </w:rPr>
        <w:t>Administraciones Públicas acreedoras</w:t>
      </w:r>
    </w:p>
    <w:p w14:paraId="1EFCB2C1" w14:textId="77777777" w:rsidR="006220A2" w:rsidRDefault="006220A2" w:rsidP="006220A2">
      <w:pPr>
        <w:widowControl w:val="0"/>
        <w:spacing w:before="120" w:after="120"/>
        <w:jc w:val="both"/>
        <w:rPr>
          <w:snapToGrid w:val="0"/>
          <w:szCs w:val="22"/>
        </w:rPr>
      </w:pPr>
      <w:r w:rsidRPr="000734A2">
        <w:rPr>
          <w:snapToGrid w:val="0"/>
          <w:sz w:val="20"/>
          <w:szCs w:val="22"/>
        </w:rPr>
        <w:t>El epígrafe de Hacienda Pública, acreedora por conceptos fiscales recoge:</w:t>
      </w:r>
    </w:p>
    <w:tbl>
      <w:tblPr>
        <w:tblW w:w="6804" w:type="dxa"/>
        <w:jc w:val="center"/>
        <w:tblCellMar>
          <w:left w:w="70" w:type="dxa"/>
          <w:right w:w="70" w:type="dxa"/>
        </w:tblCellMar>
        <w:tblLook w:val="04A0" w:firstRow="1" w:lastRow="0" w:firstColumn="1" w:lastColumn="0" w:noHBand="0" w:noVBand="1"/>
      </w:tblPr>
      <w:tblGrid>
        <w:gridCol w:w="3849"/>
        <w:gridCol w:w="1477"/>
        <w:gridCol w:w="1478"/>
      </w:tblGrid>
      <w:tr w:rsidR="006220A2" w:rsidRPr="00ED7223" w14:paraId="3C2DD785" w14:textId="77777777" w:rsidTr="00693BB6">
        <w:trPr>
          <w:trHeight w:val="170"/>
          <w:jc w:val="center"/>
        </w:trPr>
        <w:tc>
          <w:tcPr>
            <w:tcW w:w="3849" w:type="dxa"/>
            <w:tcBorders>
              <w:top w:val="single" w:sz="4" w:space="0" w:color="auto"/>
              <w:left w:val="nil"/>
              <w:bottom w:val="nil"/>
              <w:right w:val="nil"/>
            </w:tcBorders>
            <w:shd w:val="clear" w:color="auto" w:fill="auto"/>
            <w:vAlign w:val="bottom"/>
            <w:hideMark/>
          </w:tcPr>
          <w:p w14:paraId="5F625B58" w14:textId="77777777" w:rsidR="006220A2" w:rsidRPr="00ED7223" w:rsidRDefault="006220A2" w:rsidP="00852114">
            <w:pPr>
              <w:jc w:val="center"/>
              <w:rPr>
                <w:rFonts w:ascii="Times New Roman" w:eastAsia="Times New Roman" w:hAnsi="Times New Roman"/>
                <w:sz w:val="20"/>
              </w:rPr>
            </w:pPr>
          </w:p>
        </w:tc>
        <w:tc>
          <w:tcPr>
            <w:tcW w:w="2955" w:type="dxa"/>
            <w:gridSpan w:val="2"/>
            <w:tcBorders>
              <w:top w:val="single" w:sz="4" w:space="0" w:color="auto"/>
              <w:left w:val="nil"/>
              <w:bottom w:val="single" w:sz="4" w:space="0" w:color="auto"/>
              <w:right w:val="nil"/>
            </w:tcBorders>
            <w:shd w:val="clear" w:color="auto" w:fill="auto"/>
            <w:vAlign w:val="bottom"/>
            <w:hideMark/>
          </w:tcPr>
          <w:p w14:paraId="5B5738E0" w14:textId="77777777" w:rsidR="006220A2" w:rsidRPr="00ED7223" w:rsidRDefault="006220A2" w:rsidP="00852114">
            <w:pPr>
              <w:jc w:val="center"/>
              <w:rPr>
                <w:rFonts w:eastAsia="Times New Roman"/>
                <w:b/>
                <w:bCs/>
                <w:sz w:val="18"/>
                <w:szCs w:val="18"/>
              </w:rPr>
            </w:pPr>
            <w:r w:rsidRPr="00ED7223">
              <w:rPr>
                <w:rFonts w:eastAsia="Times New Roman"/>
                <w:b/>
                <w:bCs/>
                <w:sz w:val="18"/>
                <w:szCs w:val="18"/>
              </w:rPr>
              <w:t>Euros</w:t>
            </w:r>
          </w:p>
        </w:tc>
      </w:tr>
      <w:tr w:rsidR="006220A2" w:rsidRPr="00ED7223" w14:paraId="59DFCC99" w14:textId="77777777" w:rsidTr="00693BB6">
        <w:trPr>
          <w:trHeight w:val="170"/>
          <w:jc w:val="center"/>
        </w:trPr>
        <w:tc>
          <w:tcPr>
            <w:tcW w:w="3849" w:type="dxa"/>
            <w:tcBorders>
              <w:top w:val="nil"/>
              <w:left w:val="nil"/>
              <w:bottom w:val="single" w:sz="4" w:space="0" w:color="auto"/>
              <w:right w:val="nil"/>
            </w:tcBorders>
            <w:shd w:val="clear" w:color="auto" w:fill="auto"/>
            <w:vAlign w:val="bottom"/>
            <w:hideMark/>
          </w:tcPr>
          <w:p w14:paraId="45B1E39B" w14:textId="77777777" w:rsidR="006220A2" w:rsidRPr="00ED7223" w:rsidRDefault="006220A2" w:rsidP="00852114">
            <w:pPr>
              <w:jc w:val="center"/>
              <w:rPr>
                <w:rFonts w:eastAsia="Times New Roman" w:cs="Times"/>
                <w:sz w:val="20"/>
              </w:rPr>
            </w:pPr>
          </w:p>
        </w:tc>
        <w:tc>
          <w:tcPr>
            <w:tcW w:w="1477" w:type="dxa"/>
            <w:tcBorders>
              <w:top w:val="nil"/>
              <w:left w:val="nil"/>
              <w:bottom w:val="single" w:sz="4" w:space="0" w:color="auto"/>
              <w:right w:val="nil"/>
            </w:tcBorders>
            <w:shd w:val="clear" w:color="auto" w:fill="auto"/>
            <w:vAlign w:val="bottom"/>
            <w:hideMark/>
          </w:tcPr>
          <w:p w14:paraId="5475866D" w14:textId="77777777" w:rsidR="006220A2" w:rsidRPr="00ED7223" w:rsidRDefault="00A75530" w:rsidP="00852114">
            <w:pPr>
              <w:jc w:val="center"/>
              <w:rPr>
                <w:rFonts w:eastAsia="Times New Roman"/>
                <w:b/>
                <w:bCs/>
                <w:sz w:val="18"/>
                <w:szCs w:val="18"/>
              </w:rPr>
            </w:pPr>
            <w:r>
              <w:rPr>
                <w:rFonts w:eastAsia="Times New Roman"/>
                <w:b/>
                <w:bCs/>
                <w:sz w:val="18"/>
                <w:szCs w:val="18"/>
              </w:rPr>
              <w:t>31/12/</w:t>
            </w:r>
            <w:r w:rsidR="006617F6">
              <w:rPr>
                <w:rFonts w:eastAsia="Times New Roman"/>
                <w:b/>
                <w:bCs/>
                <w:sz w:val="18"/>
                <w:szCs w:val="18"/>
              </w:rPr>
              <w:t>2018</w:t>
            </w:r>
          </w:p>
        </w:tc>
        <w:tc>
          <w:tcPr>
            <w:tcW w:w="1478" w:type="dxa"/>
            <w:tcBorders>
              <w:top w:val="nil"/>
              <w:left w:val="nil"/>
              <w:bottom w:val="single" w:sz="4" w:space="0" w:color="auto"/>
              <w:right w:val="nil"/>
            </w:tcBorders>
            <w:shd w:val="clear" w:color="auto" w:fill="auto"/>
            <w:vAlign w:val="bottom"/>
            <w:hideMark/>
          </w:tcPr>
          <w:p w14:paraId="3BB2EAA0" w14:textId="77777777" w:rsidR="006220A2" w:rsidRPr="00ED7223" w:rsidRDefault="00A75530" w:rsidP="00852114">
            <w:pPr>
              <w:jc w:val="center"/>
              <w:rPr>
                <w:rFonts w:eastAsia="Times New Roman"/>
                <w:b/>
                <w:bCs/>
                <w:sz w:val="18"/>
                <w:szCs w:val="18"/>
              </w:rPr>
            </w:pPr>
            <w:r>
              <w:rPr>
                <w:rFonts w:eastAsia="Times New Roman"/>
                <w:b/>
                <w:bCs/>
                <w:sz w:val="18"/>
                <w:szCs w:val="18"/>
              </w:rPr>
              <w:t>31/12/</w:t>
            </w:r>
            <w:r w:rsidR="006617F6">
              <w:rPr>
                <w:rFonts w:eastAsia="Times New Roman"/>
                <w:b/>
                <w:bCs/>
                <w:sz w:val="18"/>
                <w:szCs w:val="18"/>
              </w:rPr>
              <w:t>2017</w:t>
            </w:r>
          </w:p>
        </w:tc>
      </w:tr>
      <w:tr w:rsidR="006220A2" w:rsidRPr="00ED7223" w14:paraId="34FF353A" w14:textId="77777777" w:rsidTr="00693BB6">
        <w:trPr>
          <w:trHeight w:val="238"/>
          <w:jc w:val="center"/>
        </w:trPr>
        <w:tc>
          <w:tcPr>
            <w:tcW w:w="3849" w:type="dxa"/>
            <w:tcBorders>
              <w:top w:val="nil"/>
              <w:left w:val="nil"/>
              <w:bottom w:val="nil"/>
              <w:right w:val="nil"/>
            </w:tcBorders>
            <w:shd w:val="clear" w:color="auto" w:fill="auto"/>
            <w:vAlign w:val="center"/>
            <w:hideMark/>
          </w:tcPr>
          <w:p w14:paraId="79B8E691" w14:textId="77777777" w:rsidR="006220A2" w:rsidRPr="00ED7223" w:rsidRDefault="006220A2" w:rsidP="00693BB6">
            <w:pPr>
              <w:rPr>
                <w:rFonts w:eastAsia="Times New Roman"/>
                <w:b/>
                <w:bCs/>
                <w:sz w:val="18"/>
                <w:szCs w:val="18"/>
              </w:rPr>
            </w:pPr>
            <w:r w:rsidRPr="00ED7223">
              <w:rPr>
                <w:rFonts w:eastAsia="Times New Roman"/>
                <w:b/>
                <w:bCs/>
                <w:sz w:val="18"/>
                <w:szCs w:val="18"/>
              </w:rPr>
              <w:t>Administraciones Públicas acreedoras</w:t>
            </w:r>
          </w:p>
        </w:tc>
        <w:tc>
          <w:tcPr>
            <w:tcW w:w="1477" w:type="dxa"/>
            <w:tcBorders>
              <w:top w:val="nil"/>
              <w:left w:val="nil"/>
              <w:bottom w:val="nil"/>
              <w:right w:val="nil"/>
            </w:tcBorders>
            <w:shd w:val="clear" w:color="auto" w:fill="auto"/>
            <w:vAlign w:val="center"/>
            <w:hideMark/>
          </w:tcPr>
          <w:p w14:paraId="45723279" w14:textId="77777777" w:rsidR="006220A2" w:rsidRPr="00ED7223" w:rsidRDefault="006220A2" w:rsidP="00693BB6">
            <w:pPr>
              <w:jc w:val="right"/>
              <w:rPr>
                <w:rFonts w:eastAsia="Times New Roman"/>
                <w:b/>
                <w:bCs/>
                <w:sz w:val="18"/>
                <w:szCs w:val="18"/>
              </w:rPr>
            </w:pPr>
          </w:p>
        </w:tc>
        <w:tc>
          <w:tcPr>
            <w:tcW w:w="1478" w:type="dxa"/>
            <w:tcBorders>
              <w:top w:val="nil"/>
              <w:left w:val="nil"/>
              <w:bottom w:val="nil"/>
              <w:right w:val="nil"/>
            </w:tcBorders>
            <w:shd w:val="clear" w:color="auto" w:fill="auto"/>
            <w:vAlign w:val="center"/>
            <w:hideMark/>
          </w:tcPr>
          <w:p w14:paraId="49073814" w14:textId="77777777" w:rsidR="006220A2" w:rsidRPr="00ED7223" w:rsidRDefault="006220A2" w:rsidP="00693BB6">
            <w:pPr>
              <w:jc w:val="right"/>
              <w:rPr>
                <w:rFonts w:eastAsia="Times New Roman"/>
                <w:b/>
                <w:bCs/>
                <w:sz w:val="18"/>
                <w:szCs w:val="18"/>
              </w:rPr>
            </w:pPr>
          </w:p>
        </w:tc>
      </w:tr>
      <w:tr w:rsidR="006617F6" w:rsidRPr="00ED7223" w14:paraId="36DB8809" w14:textId="77777777" w:rsidTr="00693BB6">
        <w:trPr>
          <w:trHeight w:val="238"/>
          <w:jc w:val="center"/>
        </w:trPr>
        <w:tc>
          <w:tcPr>
            <w:tcW w:w="3849" w:type="dxa"/>
            <w:tcBorders>
              <w:top w:val="nil"/>
              <w:left w:val="nil"/>
              <w:bottom w:val="nil"/>
              <w:right w:val="nil"/>
            </w:tcBorders>
            <w:shd w:val="clear" w:color="auto" w:fill="auto"/>
            <w:vAlign w:val="center"/>
            <w:hideMark/>
          </w:tcPr>
          <w:p w14:paraId="3DA9C35E" w14:textId="77777777" w:rsidR="006617F6" w:rsidRPr="00ED7223" w:rsidRDefault="006617F6" w:rsidP="00693BB6">
            <w:pPr>
              <w:rPr>
                <w:rFonts w:eastAsia="Times New Roman"/>
                <w:sz w:val="18"/>
                <w:szCs w:val="18"/>
              </w:rPr>
            </w:pPr>
            <w:r w:rsidRPr="00ED7223">
              <w:rPr>
                <w:rFonts w:eastAsia="Times New Roman"/>
                <w:sz w:val="18"/>
                <w:szCs w:val="18"/>
              </w:rPr>
              <w:t>Hacienda Pública acreedora por IGIC</w:t>
            </w:r>
          </w:p>
        </w:tc>
        <w:tc>
          <w:tcPr>
            <w:tcW w:w="1477" w:type="dxa"/>
            <w:tcBorders>
              <w:top w:val="nil"/>
              <w:left w:val="nil"/>
              <w:bottom w:val="nil"/>
              <w:right w:val="nil"/>
            </w:tcBorders>
            <w:shd w:val="clear" w:color="auto" w:fill="auto"/>
            <w:vAlign w:val="center"/>
          </w:tcPr>
          <w:p w14:paraId="34B8CA0F" w14:textId="77777777" w:rsidR="006617F6" w:rsidRDefault="006617F6" w:rsidP="00693BB6">
            <w:pPr>
              <w:jc w:val="right"/>
              <w:rPr>
                <w:sz w:val="18"/>
                <w:szCs w:val="18"/>
              </w:rPr>
            </w:pPr>
            <w:r>
              <w:rPr>
                <w:sz w:val="18"/>
                <w:szCs w:val="18"/>
              </w:rPr>
              <w:t>631.674,68</w:t>
            </w:r>
          </w:p>
        </w:tc>
        <w:tc>
          <w:tcPr>
            <w:tcW w:w="1478" w:type="dxa"/>
            <w:tcBorders>
              <w:top w:val="nil"/>
              <w:left w:val="nil"/>
              <w:bottom w:val="nil"/>
              <w:right w:val="nil"/>
            </w:tcBorders>
            <w:shd w:val="clear" w:color="auto" w:fill="auto"/>
            <w:vAlign w:val="center"/>
          </w:tcPr>
          <w:p w14:paraId="302C8448" w14:textId="77777777" w:rsidR="006617F6" w:rsidRDefault="006617F6" w:rsidP="00693BB6">
            <w:pPr>
              <w:jc w:val="right"/>
              <w:rPr>
                <w:sz w:val="18"/>
                <w:szCs w:val="18"/>
              </w:rPr>
            </w:pPr>
            <w:r>
              <w:rPr>
                <w:sz w:val="18"/>
                <w:szCs w:val="18"/>
              </w:rPr>
              <w:t>644.601,94</w:t>
            </w:r>
          </w:p>
        </w:tc>
      </w:tr>
      <w:tr w:rsidR="006617F6" w:rsidRPr="00ED7223" w14:paraId="274FCD4A" w14:textId="77777777" w:rsidTr="00693BB6">
        <w:trPr>
          <w:trHeight w:val="238"/>
          <w:jc w:val="center"/>
        </w:trPr>
        <w:tc>
          <w:tcPr>
            <w:tcW w:w="3849" w:type="dxa"/>
            <w:tcBorders>
              <w:top w:val="nil"/>
              <w:left w:val="nil"/>
              <w:bottom w:val="nil"/>
              <w:right w:val="nil"/>
            </w:tcBorders>
            <w:shd w:val="clear" w:color="auto" w:fill="auto"/>
            <w:vAlign w:val="center"/>
            <w:hideMark/>
          </w:tcPr>
          <w:p w14:paraId="1EFE9EDB" w14:textId="77777777" w:rsidR="006617F6" w:rsidRPr="00ED7223" w:rsidRDefault="006617F6" w:rsidP="00693BB6">
            <w:pPr>
              <w:rPr>
                <w:rFonts w:eastAsia="Times New Roman"/>
                <w:sz w:val="18"/>
                <w:szCs w:val="18"/>
              </w:rPr>
            </w:pPr>
            <w:r w:rsidRPr="00ED7223">
              <w:rPr>
                <w:rFonts w:eastAsia="Times New Roman"/>
                <w:sz w:val="18"/>
                <w:szCs w:val="18"/>
              </w:rPr>
              <w:t>Subvenciones a reintegrar</w:t>
            </w:r>
          </w:p>
        </w:tc>
        <w:tc>
          <w:tcPr>
            <w:tcW w:w="1477" w:type="dxa"/>
            <w:tcBorders>
              <w:top w:val="nil"/>
              <w:left w:val="nil"/>
              <w:bottom w:val="nil"/>
              <w:right w:val="nil"/>
            </w:tcBorders>
            <w:shd w:val="clear" w:color="auto" w:fill="auto"/>
            <w:vAlign w:val="center"/>
          </w:tcPr>
          <w:p w14:paraId="29210C61" w14:textId="77777777" w:rsidR="006617F6" w:rsidRDefault="006617F6" w:rsidP="00693BB6">
            <w:pPr>
              <w:jc w:val="right"/>
              <w:rPr>
                <w:sz w:val="18"/>
                <w:szCs w:val="18"/>
              </w:rPr>
            </w:pPr>
            <w:r>
              <w:rPr>
                <w:sz w:val="18"/>
                <w:szCs w:val="18"/>
              </w:rPr>
              <w:t>29.402,54</w:t>
            </w:r>
          </w:p>
        </w:tc>
        <w:tc>
          <w:tcPr>
            <w:tcW w:w="1478" w:type="dxa"/>
            <w:tcBorders>
              <w:top w:val="nil"/>
              <w:left w:val="nil"/>
              <w:bottom w:val="nil"/>
              <w:right w:val="nil"/>
            </w:tcBorders>
            <w:shd w:val="clear" w:color="auto" w:fill="auto"/>
            <w:vAlign w:val="center"/>
          </w:tcPr>
          <w:p w14:paraId="73E4B063" w14:textId="77777777" w:rsidR="006617F6" w:rsidRDefault="006617F6" w:rsidP="00693BB6">
            <w:pPr>
              <w:jc w:val="right"/>
              <w:rPr>
                <w:sz w:val="18"/>
                <w:szCs w:val="18"/>
              </w:rPr>
            </w:pPr>
            <w:r>
              <w:rPr>
                <w:sz w:val="18"/>
                <w:szCs w:val="18"/>
              </w:rPr>
              <w:t>365.033,24</w:t>
            </w:r>
          </w:p>
        </w:tc>
      </w:tr>
      <w:tr w:rsidR="006617F6" w:rsidRPr="00ED7223" w14:paraId="3058F144" w14:textId="77777777" w:rsidTr="00693BB6">
        <w:trPr>
          <w:trHeight w:val="238"/>
          <w:jc w:val="center"/>
        </w:trPr>
        <w:tc>
          <w:tcPr>
            <w:tcW w:w="3849" w:type="dxa"/>
            <w:tcBorders>
              <w:top w:val="nil"/>
              <w:left w:val="nil"/>
              <w:bottom w:val="nil"/>
              <w:right w:val="nil"/>
            </w:tcBorders>
            <w:shd w:val="clear" w:color="auto" w:fill="auto"/>
            <w:vAlign w:val="center"/>
          </w:tcPr>
          <w:p w14:paraId="3B834528" w14:textId="77777777" w:rsidR="006617F6" w:rsidRPr="00ED7223" w:rsidRDefault="006617F6" w:rsidP="00693BB6">
            <w:pPr>
              <w:rPr>
                <w:rFonts w:eastAsia="Times New Roman"/>
                <w:sz w:val="18"/>
                <w:szCs w:val="18"/>
              </w:rPr>
            </w:pPr>
            <w:r>
              <w:rPr>
                <w:rFonts w:eastAsia="Times New Roman"/>
                <w:sz w:val="18"/>
                <w:szCs w:val="18"/>
              </w:rPr>
              <w:t>Retenciones Concursos</w:t>
            </w:r>
          </w:p>
        </w:tc>
        <w:tc>
          <w:tcPr>
            <w:tcW w:w="1477" w:type="dxa"/>
            <w:tcBorders>
              <w:top w:val="nil"/>
              <w:left w:val="nil"/>
              <w:bottom w:val="nil"/>
              <w:right w:val="nil"/>
            </w:tcBorders>
            <w:shd w:val="clear" w:color="auto" w:fill="auto"/>
            <w:vAlign w:val="center"/>
          </w:tcPr>
          <w:p w14:paraId="3600EEFE" w14:textId="77777777" w:rsidR="006617F6" w:rsidRPr="006E00F7" w:rsidRDefault="006617F6" w:rsidP="00693BB6">
            <w:pPr>
              <w:jc w:val="right"/>
              <w:rPr>
                <w:sz w:val="18"/>
                <w:szCs w:val="18"/>
              </w:rPr>
            </w:pPr>
            <w:r>
              <w:rPr>
                <w:sz w:val="18"/>
                <w:szCs w:val="18"/>
              </w:rPr>
              <w:t>543,43</w:t>
            </w:r>
          </w:p>
        </w:tc>
        <w:tc>
          <w:tcPr>
            <w:tcW w:w="1478" w:type="dxa"/>
            <w:tcBorders>
              <w:top w:val="nil"/>
              <w:left w:val="nil"/>
              <w:bottom w:val="nil"/>
              <w:right w:val="nil"/>
            </w:tcBorders>
            <w:shd w:val="clear" w:color="auto" w:fill="auto"/>
            <w:vAlign w:val="center"/>
          </w:tcPr>
          <w:p w14:paraId="5CDD497C" w14:textId="77777777" w:rsidR="006617F6" w:rsidRPr="006E00F7" w:rsidRDefault="006617F6" w:rsidP="00693BB6">
            <w:pPr>
              <w:jc w:val="right"/>
              <w:rPr>
                <w:sz w:val="18"/>
                <w:szCs w:val="18"/>
              </w:rPr>
            </w:pPr>
            <w:r w:rsidRPr="006E00F7">
              <w:rPr>
                <w:sz w:val="18"/>
                <w:szCs w:val="18"/>
              </w:rPr>
              <w:t>2.177,50</w:t>
            </w:r>
          </w:p>
        </w:tc>
      </w:tr>
      <w:tr w:rsidR="006617F6" w:rsidRPr="00ED7223" w14:paraId="30F64E1C" w14:textId="77777777" w:rsidTr="00693BB6">
        <w:trPr>
          <w:trHeight w:val="238"/>
          <w:jc w:val="center"/>
        </w:trPr>
        <w:tc>
          <w:tcPr>
            <w:tcW w:w="3849" w:type="dxa"/>
            <w:tcBorders>
              <w:top w:val="nil"/>
              <w:left w:val="nil"/>
              <w:bottom w:val="nil"/>
              <w:right w:val="nil"/>
            </w:tcBorders>
            <w:shd w:val="clear" w:color="auto" w:fill="auto"/>
            <w:vAlign w:val="center"/>
            <w:hideMark/>
          </w:tcPr>
          <w:p w14:paraId="5F2C81A9" w14:textId="77777777" w:rsidR="006617F6" w:rsidRPr="00ED7223" w:rsidRDefault="006617F6" w:rsidP="00693BB6">
            <w:pPr>
              <w:rPr>
                <w:rFonts w:eastAsia="Times New Roman"/>
                <w:sz w:val="18"/>
                <w:szCs w:val="18"/>
              </w:rPr>
            </w:pPr>
            <w:r w:rsidRPr="00ED7223">
              <w:rPr>
                <w:rFonts w:eastAsia="Times New Roman"/>
                <w:sz w:val="18"/>
                <w:szCs w:val="18"/>
              </w:rPr>
              <w:t>IRPF Personal</w:t>
            </w:r>
          </w:p>
        </w:tc>
        <w:tc>
          <w:tcPr>
            <w:tcW w:w="1477" w:type="dxa"/>
            <w:tcBorders>
              <w:top w:val="nil"/>
              <w:left w:val="nil"/>
              <w:bottom w:val="nil"/>
              <w:right w:val="nil"/>
            </w:tcBorders>
            <w:shd w:val="clear" w:color="auto" w:fill="auto"/>
            <w:vAlign w:val="center"/>
          </w:tcPr>
          <w:p w14:paraId="497726EE" w14:textId="77777777" w:rsidR="006617F6" w:rsidRPr="006E00F7" w:rsidRDefault="006617F6" w:rsidP="00693BB6">
            <w:pPr>
              <w:jc w:val="right"/>
              <w:rPr>
                <w:sz w:val="18"/>
                <w:szCs w:val="18"/>
              </w:rPr>
            </w:pPr>
            <w:r>
              <w:rPr>
                <w:sz w:val="18"/>
                <w:szCs w:val="18"/>
              </w:rPr>
              <w:t>78.102,24</w:t>
            </w:r>
          </w:p>
        </w:tc>
        <w:tc>
          <w:tcPr>
            <w:tcW w:w="1478" w:type="dxa"/>
            <w:tcBorders>
              <w:top w:val="nil"/>
              <w:left w:val="nil"/>
              <w:bottom w:val="nil"/>
              <w:right w:val="nil"/>
            </w:tcBorders>
            <w:shd w:val="clear" w:color="auto" w:fill="auto"/>
            <w:vAlign w:val="center"/>
          </w:tcPr>
          <w:p w14:paraId="7B1D5FEF" w14:textId="77777777" w:rsidR="006617F6" w:rsidRPr="006E00F7" w:rsidRDefault="006617F6" w:rsidP="00693BB6">
            <w:pPr>
              <w:jc w:val="right"/>
              <w:rPr>
                <w:sz w:val="18"/>
                <w:szCs w:val="18"/>
              </w:rPr>
            </w:pPr>
            <w:r w:rsidRPr="006E00F7">
              <w:rPr>
                <w:sz w:val="18"/>
                <w:szCs w:val="18"/>
              </w:rPr>
              <w:t>75.405,17</w:t>
            </w:r>
          </w:p>
        </w:tc>
      </w:tr>
      <w:tr w:rsidR="006617F6" w:rsidRPr="00ED7223" w14:paraId="56010314" w14:textId="77777777" w:rsidTr="00693BB6">
        <w:trPr>
          <w:trHeight w:val="238"/>
          <w:jc w:val="center"/>
        </w:trPr>
        <w:tc>
          <w:tcPr>
            <w:tcW w:w="3849" w:type="dxa"/>
            <w:tcBorders>
              <w:top w:val="nil"/>
              <w:left w:val="nil"/>
              <w:bottom w:val="nil"/>
              <w:right w:val="nil"/>
            </w:tcBorders>
            <w:shd w:val="clear" w:color="auto" w:fill="auto"/>
            <w:vAlign w:val="center"/>
            <w:hideMark/>
          </w:tcPr>
          <w:p w14:paraId="741F4C6E" w14:textId="77777777" w:rsidR="006617F6" w:rsidRPr="00ED7223" w:rsidRDefault="006617F6" w:rsidP="00693BB6">
            <w:pPr>
              <w:rPr>
                <w:rFonts w:eastAsia="Times New Roman"/>
                <w:sz w:val="18"/>
                <w:szCs w:val="18"/>
              </w:rPr>
            </w:pPr>
            <w:r w:rsidRPr="00ED7223">
              <w:rPr>
                <w:rFonts w:eastAsia="Times New Roman"/>
                <w:sz w:val="18"/>
                <w:szCs w:val="18"/>
              </w:rPr>
              <w:t>IRPF Profesionales</w:t>
            </w:r>
          </w:p>
        </w:tc>
        <w:tc>
          <w:tcPr>
            <w:tcW w:w="1477" w:type="dxa"/>
            <w:tcBorders>
              <w:top w:val="nil"/>
              <w:left w:val="nil"/>
              <w:bottom w:val="nil"/>
              <w:right w:val="nil"/>
            </w:tcBorders>
            <w:shd w:val="clear" w:color="auto" w:fill="auto"/>
            <w:vAlign w:val="center"/>
          </w:tcPr>
          <w:p w14:paraId="6FC40401" w14:textId="77777777" w:rsidR="006617F6" w:rsidRPr="006E00F7" w:rsidRDefault="006617F6" w:rsidP="00693BB6">
            <w:pPr>
              <w:jc w:val="right"/>
              <w:rPr>
                <w:sz w:val="18"/>
                <w:szCs w:val="18"/>
              </w:rPr>
            </w:pPr>
            <w:r>
              <w:rPr>
                <w:sz w:val="18"/>
                <w:szCs w:val="18"/>
              </w:rPr>
              <w:t>12.173,29</w:t>
            </w:r>
          </w:p>
        </w:tc>
        <w:tc>
          <w:tcPr>
            <w:tcW w:w="1478" w:type="dxa"/>
            <w:tcBorders>
              <w:top w:val="nil"/>
              <w:left w:val="nil"/>
              <w:bottom w:val="nil"/>
              <w:right w:val="nil"/>
            </w:tcBorders>
            <w:shd w:val="clear" w:color="auto" w:fill="auto"/>
            <w:vAlign w:val="center"/>
          </w:tcPr>
          <w:p w14:paraId="4DDA97DE" w14:textId="77777777" w:rsidR="006617F6" w:rsidRPr="006E00F7" w:rsidRDefault="006617F6" w:rsidP="00693BB6">
            <w:pPr>
              <w:jc w:val="right"/>
              <w:rPr>
                <w:sz w:val="18"/>
                <w:szCs w:val="18"/>
              </w:rPr>
            </w:pPr>
            <w:r w:rsidRPr="006E00F7">
              <w:rPr>
                <w:sz w:val="18"/>
                <w:szCs w:val="18"/>
              </w:rPr>
              <w:t>14.746,35</w:t>
            </w:r>
          </w:p>
        </w:tc>
      </w:tr>
      <w:tr w:rsidR="006617F6" w:rsidRPr="00ED7223" w14:paraId="320FD7DA" w14:textId="77777777" w:rsidTr="00693BB6">
        <w:trPr>
          <w:trHeight w:val="238"/>
          <w:jc w:val="center"/>
        </w:trPr>
        <w:tc>
          <w:tcPr>
            <w:tcW w:w="3849" w:type="dxa"/>
            <w:tcBorders>
              <w:top w:val="nil"/>
              <w:left w:val="nil"/>
              <w:bottom w:val="single" w:sz="4" w:space="0" w:color="auto"/>
              <w:right w:val="nil"/>
            </w:tcBorders>
            <w:shd w:val="clear" w:color="auto" w:fill="auto"/>
            <w:vAlign w:val="center"/>
            <w:hideMark/>
          </w:tcPr>
          <w:p w14:paraId="7FDFF186" w14:textId="77777777" w:rsidR="006617F6" w:rsidRPr="00ED7223" w:rsidRDefault="006617F6" w:rsidP="00693BB6">
            <w:pPr>
              <w:rPr>
                <w:rFonts w:eastAsia="Times New Roman"/>
                <w:sz w:val="18"/>
                <w:szCs w:val="18"/>
              </w:rPr>
            </w:pPr>
            <w:r w:rsidRPr="00ED7223">
              <w:rPr>
                <w:rFonts w:eastAsia="Times New Roman"/>
                <w:sz w:val="18"/>
                <w:szCs w:val="18"/>
              </w:rPr>
              <w:t>Retenciones alquiler</w:t>
            </w:r>
          </w:p>
        </w:tc>
        <w:tc>
          <w:tcPr>
            <w:tcW w:w="1477" w:type="dxa"/>
            <w:tcBorders>
              <w:top w:val="nil"/>
              <w:left w:val="nil"/>
              <w:bottom w:val="single" w:sz="4" w:space="0" w:color="auto"/>
              <w:right w:val="nil"/>
            </w:tcBorders>
            <w:shd w:val="clear" w:color="auto" w:fill="auto"/>
            <w:vAlign w:val="center"/>
          </w:tcPr>
          <w:p w14:paraId="4D41AB06" w14:textId="77777777" w:rsidR="006617F6" w:rsidRPr="006E00F7" w:rsidRDefault="006617F6" w:rsidP="00693BB6">
            <w:pPr>
              <w:jc w:val="right"/>
              <w:rPr>
                <w:sz w:val="18"/>
                <w:szCs w:val="18"/>
              </w:rPr>
            </w:pPr>
            <w:r>
              <w:rPr>
                <w:sz w:val="18"/>
                <w:szCs w:val="18"/>
              </w:rPr>
              <w:t>1.182,51</w:t>
            </w:r>
          </w:p>
        </w:tc>
        <w:tc>
          <w:tcPr>
            <w:tcW w:w="1478" w:type="dxa"/>
            <w:tcBorders>
              <w:top w:val="nil"/>
              <w:left w:val="nil"/>
              <w:bottom w:val="single" w:sz="4" w:space="0" w:color="auto"/>
              <w:right w:val="nil"/>
            </w:tcBorders>
            <w:shd w:val="clear" w:color="auto" w:fill="auto"/>
            <w:vAlign w:val="center"/>
          </w:tcPr>
          <w:p w14:paraId="6B4ADD11" w14:textId="77777777" w:rsidR="006617F6" w:rsidRPr="006E00F7" w:rsidRDefault="006617F6" w:rsidP="00693BB6">
            <w:pPr>
              <w:jc w:val="right"/>
              <w:rPr>
                <w:sz w:val="18"/>
                <w:szCs w:val="18"/>
              </w:rPr>
            </w:pPr>
            <w:r w:rsidRPr="006E00F7">
              <w:rPr>
                <w:sz w:val="18"/>
                <w:szCs w:val="18"/>
              </w:rPr>
              <w:t>1.168,50</w:t>
            </w:r>
          </w:p>
        </w:tc>
      </w:tr>
      <w:tr w:rsidR="006617F6" w:rsidRPr="00ED7223" w14:paraId="2D774D11" w14:textId="77777777" w:rsidTr="00693BB6">
        <w:trPr>
          <w:trHeight w:val="238"/>
          <w:jc w:val="center"/>
        </w:trPr>
        <w:tc>
          <w:tcPr>
            <w:tcW w:w="3849" w:type="dxa"/>
            <w:tcBorders>
              <w:top w:val="nil"/>
              <w:left w:val="nil"/>
              <w:bottom w:val="single" w:sz="4" w:space="0" w:color="auto"/>
              <w:right w:val="nil"/>
            </w:tcBorders>
            <w:shd w:val="clear" w:color="auto" w:fill="auto"/>
            <w:vAlign w:val="center"/>
            <w:hideMark/>
          </w:tcPr>
          <w:p w14:paraId="24D897A5" w14:textId="77777777" w:rsidR="006617F6" w:rsidRPr="00ED7223" w:rsidRDefault="006617F6" w:rsidP="00693BB6">
            <w:pPr>
              <w:rPr>
                <w:rFonts w:eastAsia="Times New Roman"/>
                <w:b/>
                <w:bCs/>
                <w:sz w:val="18"/>
                <w:szCs w:val="18"/>
              </w:rPr>
            </w:pPr>
            <w:r w:rsidRPr="00ED7223">
              <w:rPr>
                <w:rFonts w:eastAsia="Times New Roman"/>
                <w:b/>
                <w:bCs/>
                <w:sz w:val="18"/>
                <w:szCs w:val="18"/>
              </w:rPr>
              <w:t>Total</w:t>
            </w:r>
          </w:p>
        </w:tc>
        <w:tc>
          <w:tcPr>
            <w:tcW w:w="1477" w:type="dxa"/>
            <w:tcBorders>
              <w:top w:val="nil"/>
              <w:left w:val="nil"/>
              <w:bottom w:val="single" w:sz="4" w:space="0" w:color="auto"/>
              <w:right w:val="nil"/>
            </w:tcBorders>
            <w:shd w:val="clear" w:color="auto" w:fill="auto"/>
            <w:vAlign w:val="center"/>
          </w:tcPr>
          <w:p w14:paraId="243E596E" w14:textId="77777777" w:rsidR="006617F6" w:rsidRDefault="006617F6" w:rsidP="00693BB6">
            <w:pPr>
              <w:jc w:val="right"/>
              <w:rPr>
                <w:b/>
                <w:bCs/>
                <w:sz w:val="18"/>
                <w:szCs w:val="18"/>
              </w:rPr>
            </w:pPr>
            <w:r>
              <w:rPr>
                <w:b/>
                <w:bCs/>
                <w:sz w:val="18"/>
                <w:szCs w:val="18"/>
              </w:rPr>
              <w:t>753.078,69</w:t>
            </w:r>
          </w:p>
        </w:tc>
        <w:tc>
          <w:tcPr>
            <w:tcW w:w="1478" w:type="dxa"/>
            <w:tcBorders>
              <w:top w:val="nil"/>
              <w:left w:val="nil"/>
              <w:bottom w:val="single" w:sz="4" w:space="0" w:color="auto"/>
              <w:right w:val="nil"/>
            </w:tcBorders>
            <w:shd w:val="clear" w:color="auto" w:fill="auto"/>
            <w:vAlign w:val="center"/>
            <w:hideMark/>
          </w:tcPr>
          <w:p w14:paraId="06F98531" w14:textId="77777777" w:rsidR="006617F6" w:rsidRPr="00ED7223" w:rsidRDefault="006617F6" w:rsidP="00693BB6">
            <w:pPr>
              <w:jc w:val="right"/>
              <w:rPr>
                <w:rFonts w:eastAsia="Times New Roman"/>
                <w:b/>
                <w:bCs/>
                <w:sz w:val="18"/>
                <w:szCs w:val="18"/>
              </w:rPr>
            </w:pPr>
            <w:r>
              <w:rPr>
                <w:rFonts w:eastAsia="Times New Roman"/>
                <w:b/>
                <w:bCs/>
                <w:sz w:val="18"/>
                <w:szCs w:val="18"/>
              </w:rPr>
              <w:t>1.103.132,70</w:t>
            </w:r>
          </w:p>
        </w:tc>
      </w:tr>
    </w:tbl>
    <w:p w14:paraId="54D45BB8" w14:textId="77777777" w:rsidR="006220A2" w:rsidRPr="00072A1A" w:rsidRDefault="006220A2" w:rsidP="006220A2">
      <w:pPr>
        <w:widowControl w:val="0"/>
        <w:spacing w:before="200"/>
        <w:rPr>
          <w:b/>
          <w:sz w:val="20"/>
          <w:szCs w:val="22"/>
          <w:u w:val="single"/>
        </w:rPr>
      </w:pPr>
      <w:r w:rsidRPr="00072A1A">
        <w:rPr>
          <w:b/>
          <w:sz w:val="20"/>
          <w:szCs w:val="22"/>
        </w:rPr>
        <w:t>11.2</w:t>
      </w:r>
      <w:r w:rsidRPr="00FF5498">
        <w:rPr>
          <w:b/>
          <w:sz w:val="20"/>
          <w:szCs w:val="22"/>
        </w:rPr>
        <w:t>.</w:t>
      </w:r>
      <w:r w:rsidR="00841182" w:rsidRPr="00FF5498">
        <w:rPr>
          <w:b/>
          <w:sz w:val="20"/>
          <w:szCs w:val="22"/>
        </w:rPr>
        <w:t xml:space="preserve"> </w:t>
      </w:r>
      <w:r w:rsidRPr="00FF5498">
        <w:rPr>
          <w:b/>
          <w:sz w:val="20"/>
          <w:szCs w:val="22"/>
        </w:rPr>
        <w:t>Impuesto sobre beneficios y situación fiscal</w:t>
      </w:r>
    </w:p>
    <w:p w14:paraId="71CF73D0" w14:textId="77777777" w:rsidR="006220A2" w:rsidRPr="00072A1A" w:rsidRDefault="006220A2" w:rsidP="006220A2">
      <w:pPr>
        <w:widowControl w:val="0"/>
        <w:spacing w:before="120" w:after="120"/>
        <w:jc w:val="both"/>
        <w:rPr>
          <w:sz w:val="20"/>
          <w:szCs w:val="22"/>
        </w:rPr>
      </w:pPr>
      <w:r w:rsidRPr="00072A1A">
        <w:rPr>
          <w:sz w:val="20"/>
          <w:szCs w:val="22"/>
        </w:rPr>
        <w:t>La conciliación entre el importe neto de ingresos y gastos del ejercicio y la base imponible del impuesto sobre beneficios es la siguiente:</w:t>
      </w:r>
    </w:p>
    <w:tbl>
      <w:tblPr>
        <w:tblW w:w="6804" w:type="dxa"/>
        <w:jc w:val="center"/>
        <w:tblCellMar>
          <w:left w:w="70" w:type="dxa"/>
          <w:right w:w="70" w:type="dxa"/>
        </w:tblCellMar>
        <w:tblLook w:val="04A0" w:firstRow="1" w:lastRow="0" w:firstColumn="1" w:lastColumn="0" w:noHBand="0" w:noVBand="1"/>
      </w:tblPr>
      <w:tblGrid>
        <w:gridCol w:w="5215"/>
        <w:gridCol w:w="1589"/>
      </w:tblGrid>
      <w:tr w:rsidR="006220A2" w:rsidRPr="00464483" w14:paraId="72CE5898" w14:textId="77777777" w:rsidTr="00852114">
        <w:trPr>
          <w:trHeight w:val="283"/>
          <w:jc w:val="center"/>
        </w:trPr>
        <w:tc>
          <w:tcPr>
            <w:tcW w:w="5215" w:type="dxa"/>
            <w:tcBorders>
              <w:top w:val="single" w:sz="4" w:space="0" w:color="auto"/>
              <w:left w:val="nil"/>
              <w:bottom w:val="single" w:sz="4" w:space="0" w:color="auto"/>
              <w:right w:val="nil"/>
            </w:tcBorders>
            <w:shd w:val="clear" w:color="auto" w:fill="auto"/>
            <w:vAlign w:val="bottom"/>
            <w:hideMark/>
          </w:tcPr>
          <w:p w14:paraId="3E9AE7D3" w14:textId="77777777" w:rsidR="006220A2" w:rsidRPr="00072A1A" w:rsidRDefault="006220A2" w:rsidP="00852114">
            <w:pPr>
              <w:jc w:val="center"/>
              <w:rPr>
                <w:rFonts w:eastAsia="Times New Roman" w:cs="Times"/>
                <w:sz w:val="20"/>
              </w:rPr>
            </w:pPr>
          </w:p>
        </w:tc>
        <w:tc>
          <w:tcPr>
            <w:tcW w:w="1589" w:type="dxa"/>
            <w:tcBorders>
              <w:top w:val="single" w:sz="4" w:space="0" w:color="auto"/>
              <w:left w:val="nil"/>
              <w:bottom w:val="single" w:sz="4" w:space="0" w:color="auto"/>
              <w:right w:val="nil"/>
            </w:tcBorders>
            <w:shd w:val="clear" w:color="auto" w:fill="auto"/>
            <w:vAlign w:val="bottom"/>
            <w:hideMark/>
          </w:tcPr>
          <w:p w14:paraId="57BC6DD5" w14:textId="77777777" w:rsidR="006220A2" w:rsidRPr="00464483" w:rsidRDefault="006220A2" w:rsidP="00852114">
            <w:pPr>
              <w:jc w:val="center"/>
              <w:rPr>
                <w:rFonts w:eastAsia="Times New Roman"/>
                <w:b/>
                <w:bCs/>
                <w:sz w:val="18"/>
                <w:szCs w:val="18"/>
              </w:rPr>
            </w:pPr>
            <w:r w:rsidRPr="00072A1A">
              <w:rPr>
                <w:rFonts w:eastAsia="Times New Roman"/>
                <w:b/>
                <w:bCs/>
                <w:sz w:val="18"/>
                <w:szCs w:val="18"/>
              </w:rPr>
              <w:t>Euros</w:t>
            </w:r>
          </w:p>
        </w:tc>
      </w:tr>
      <w:tr w:rsidR="006220A2" w:rsidRPr="00464483" w14:paraId="1EA0336F" w14:textId="77777777" w:rsidTr="00693BB6">
        <w:trPr>
          <w:trHeight w:val="238"/>
          <w:jc w:val="center"/>
        </w:trPr>
        <w:tc>
          <w:tcPr>
            <w:tcW w:w="5215" w:type="dxa"/>
            <w:tcBorders>
              <w:top w:val="nil"/>
              <w:left w:val="nil"/>
              <w:bottom w:val="single" w:sz="4" w:space="0" w:color="auto"/>
              <w:right w:val="nil"/>
            </w:tcBorders>
            <w:shd w:val="clear" w:color="auto" w:fill="auto"/>
            <w:vAlign w:val="center"/>
            <w:hideMark/>
          </w:tcPr>
          <w:p w14:paraId="7129C5B6" w14:textId="77777777" w:rsidR="006220A2" w:rsidRPr="00FF5498" w:rsidRDefault="006220A2" w:rsidP="00852114">
            <w:pPr>
              <w:jc w:val="both"/>
              <w:rPr>
                <w:rFonts w:eastAsia="Times New Roman"/>
                <w:b/>
                <w:bCs/>
                <w:sz w:val="18"/>
                <w:szCs w:val="18"/>
              </w:rPr>
            </w:pPr>
            <w:r w:rsidRPr="00FF5498">
              <w:rPr>
                <w:rFonts w:eastAsia="Times New Roman"/>
                <w:b/>
                <w:bCs/>
                <w:sz w:val="18"/>
                <w:szCs w:val="18"/>
              </w:rPr>
              <w:t>RESULTADO CONTABLE</w:t>
            </w:r>
          </w:p>
        </w:tc>
        <w:tc>
          <w:tcPr>
            <w:tcW w:w="1589" w:type="dxa"/>
            <w:tcBorders>
              <w:top w:val="nil"/>
              <w:left w:val="nil"/>
              <w:bottom w:val="single" w:sz="4" w:space="0" w:color="auto"/>
              <w:right w:val="nil"/>
            </w:tcBorders>
            <w:shd w:val="clear" w:color="auto" w:fill="auto"/>
            <w:vAlign w:val="center"/>
            <w:hideMark/>
          </w:tcPr>
          <w:p w14:paraId="6A92D91E" w14:textId="77777777" w:rsidR="006220A2" w:rsidRPr="00FF5498" w:rsidRDefault="006220A2" w:rsidP="00852114">
            <w:pPr>
              <w:ind w:right="71"/>
              <w:jc w:val="right"/>
              <w:rPr>
                <w:rFonts w:eastAsia="Times New Roman"/>
                <w:b/>
                <w:bCs/>
                <w:sz w:val="18"/>
                <w:szCs w:val="18"/>
              </w:rPr>
            </w:pPr>
            <w:r w:rsidRPr="00FF5498">
              <w:rPr>
                <w:rFonts w:eastAsia="Times New Roman"/>
                <w:b/>
                <w:bCs/>
                <w:sz w:val="18"/>
                <w:szCs w:val="18"/>
              </w:rPr>
              <w:t>(2.165.867,00) </w:t>
            </w:r>
          </w:p>
        </w:tc>
      </w:tr>
      <w:tr w:rsidR="006220A2" w:rsidRPr="00464483" w14:paraId="1C7897B5" w14:textId="77777777" w:rsidTr="00693BB6">
        <w:trPr>
          <w:trHeight w:val="238"/>
          <w:jc w:val="center"/>
        </w:trPr>
        <w:tc>
          <w:tcPr>
            <w:tcW w:w="5215" w:type="dxa"/>
            <w:tcBorders>
              <w:top w:val="nil"/>
              <w:left w:val="nil"/>
              <w:bottom w:val="nil"/>
              <w:right w:val="nil"/>
            </w:tcBorders>
            <w:shd w:val="clear" w:color="auto" w:fill="auto"/>
            <w:vAlign w:val="center"/>
            <w:hideMark/>
          </w:tcPr>
          <w:p w14:paraId="02E1F382" w14:textId="77777777" w:rsidR="006220A2" w:rsidRPr="00FF5498" w:rsidRDefault="006220A2" w:rsidP="00852114">
            <w:pPr>
              <w:jc w:val="both"/>
              <w:rPr>
                <w:rFonts w:eastAsia="Times New Roman"/>
                <w:sz w:val="18"/>
                <w:szCs w:val="18"/>
              </w:rPr>
            </w:pPr>
            <w:r w:rsidRPr="00FF5498">
              <w:rPr>
                <w:rFonts w:eastAsia="Times New Roman"/>
                <w:sz w:val="18"/>
                <w:szCs w:val="18"/>
              </w:rPr>
              <w:t xml:space="preserve">Diferencias permanentes: </w:t>
            </w:r>
          </w:p>
        </w:tc>
        <w:tc>
          <w:tcPr>
            <w:tcW w:w="1589" w:type="dxa"/>
            <w:tcBorders>
              <w:top w:val="nil"/>
              <w:left w:val="nil"/>
              <w:bottom w:val="nil"/>
              <w:right w:val="nil"/>
            </w:tcBorders>
            <w:shd w:val="clear" w:color="auto" w:fill="auto"/>
            <w:noWrap/>
            <w:vAlign w:val="bottom"/>
            <w:hideMark/>
          </w:tcPr>
          <w:p w14:paraId="31476EF6" w14:textId="77777777" w:rsidR="006220A2" w:rsidRPr="00FF5498" w:rsidRDefault="006220A2" w:rsidP="00852114">
            <w:pPr>
              <w:ind w:right="71"/>
              <w:jc w:val="both"/>
              <w:rPr>
                <w:rFonts w:eastAsia="Times New Roman"/>
                <w:sz w:val="18"/>
                <w:szCs w:val="18"/>
              </w:rPr>
            </w:pPr>
          </w:p>
        </w:tc>
      </w:tr>
      <w:tr w:rsidR="006220A2" w:rsidRPr="00464483" w14:paraId="766C17DF" w14:textId="77777777" w:rsidTr="00693BB6">
        <w:trPr>
          <w:trHeight w:val="238"/>
          <w:jc w:val="center"/>
        </w:trPr>
        <w:tc>
          <w:tcPr>
            <w:tcW w:w="5215" w:type="dxa"/>
            <w:tcBorders>
              <w:top w:val="nil"/>
              <w:left w:val="nil"/>
              <w:bottom w:val="nil"/>
              <w:right w:val="nil"/>
            </w:tcBorders>
            <w:shd w:val="clear" w:color="auto" w:fill="auto"/>
            <w:vAlign w:val="center"/>
            <w:hideMark/>
          </w:tcPr>
          <w:p w14:paraId="5960B80B" w14:textId="77777777" w:rsidR="006220A2" w:rsidRPr="00FF5498" w:rsidRDefault="006220A2" w:rsidP="00852114">
            <w:pPr>
              <w:jc w:val="both"/>
              <w:rPr>
                <w:rFonts w:eastAsia="Times New Roman"/>
                <w:sz w:val="18"/>
                <w:szCs w:val="18"/>
              </w:rPr>
            </w:pPr>
            <w:r w:rsidRPr="00FF5498">
              <w:rPr>
                <w:rFonts w:eastAsia="Times New Roman"/>
                <w:sz w:val="18"/>
                <w:szCs w:val="18"/>
              </w:rPr>
              <w:t xml:space="preserve">     Sanciones y recargos</w:t>
            </w:r>
          </w:p>
        </w:tc>
        <w:tc>
          <w:tcPr>
            <w:tcW w:w="1589" w:type="dxa"/>
            <w:tcBorders>
              <w:top w:val="nil"/>
              <w:left w:val="nil"/>
              <w:bottom w:val="nil"/>
              <w:right w:val="nil"/>
            </w:tcBorders>
            <w:shd w:val="clear" w:color="auto" w:fill="auto"/>
            <w:vAlign w:val="center"/>
            <w:hideMark/>
          </w:tcPr>
          <w:p w14:paraId="6E816E29" w14:textId="77777777" w:rsidR="006220A2" w:rsidRPr="00FF5498" w:rsidRDefault="006220A2" w:rsidP="00852114">
            <w:pPr>
              <w:ind w:right="71"/>
              <w:jc w:val="right"/>
              <w:rPr>
                <w:rFonts w:eastAsia="Times New Roman"/>
                <w:sz w:val="18"/>
                <w:szCs w:val="18"/>
              </w:rPr>
            </w:pPr>
            <w:r w:rsidRPr="00FF5498">
              <w:rPr>
                <w:rFonts w:eastAsia="Times New Roman"/>
                <w:sz w:val="18"/>
                <w:szCs w:val="18"/>
              </w:rPr>
              <w:t>-</w:t>
            </w:r>
          </w:p>
        </w:tc>
      </w:tr>
      <w:tr w:rsidR="006220A2" w:rsidRPr="00464483" w14:paraId="0F41B23E" w14:textId="77777777" w:rsidTr="00693BB6">
        <w:trPr>
          <w:trHeight w:val="238"/>
          <w:jc w:val="center"/>
        </w:trPr>
        <w:tc>
          <w:tcPr>
            <w:tcW w:w="5215" w:type="dxa"/>
            <w:tcBorders>
              <w:top w:val="nil"/>
              <w:left w:val="nil"/>
              <w:bottom w:val="nil"/>
              <w:right w:val="nil"/>
            </w:tcBorders>
            <w:shd w:val="clear" w:color="auto" w:fill="auto"/>
            <w:vAlign w:val="center"/>
            <w:hideMark/>
          </w:tcPr>
          <w:p w14:paraId="2BDCC551" w14:textId="77777777" w:rsidR="006220A2" w:rsidRPr="00FF5498" w:rsidRDefault="006220A2" w:rsidP="00852114">
            <w:pPr>
              <w:jc w:val="both"/>
              <w:rPr>
                <w:rFonts w:eastAsia="Times New Roman"/>
                <w:sz w:val="18"/>
                <w:szCs w:val="18"/>
              </w:rPr>
            </w:pPr>
            <w:r w:rsidRPr="00FF5498">
              <w:rPr>
                <w:rFonts w:eastAsia="Times New Roman"/>
                <w:sz w:val="18"/>
                <w:szCs w:val="18"/>
              </w:rPr>
              <w:t xml:space="preserve">     Programa desarrollo de vuelos</w:t>
            </w:r>
          </w:p>
        </w:tc>
        <w:tc>
          <w:tcPr>
            <w:tcW w:w="1589" w:type="dxa"/>
            <w:tcBorders>
              <w:top w:val="nil"/>
              <w:left w:val="nil"/>
              <w:bottom w:val="nil"/>
              <w:right w:val="nil"/>
            </w:tcBorders>
            <w:shd w:val="clear" w:color="auto" w:fill="auto"/>
            <w:vAlign w:val="center"/>
            <w:hideMark/>
          </w:tcPr>
          <w:p w14:paraId="4F8A7F47" w14:textId="77777777" w:rsidR="006220A2" w:rsidRPr="0063724F" w:rsidRDefault="00FF5498" w:rsidP="00852114">
            <w:pPr>
              <w:jc w:val="right"/>
              <w:rPr>
                <w:sz w:val="18"/>
                <w:szCs w:val="18"/>
              </w:rPr>
            </w:pPr>
            <w:r w:rsidRPr="0063724F">
              <w:rPr>
                <w:sz w:val="18"/>
                <w:szCs w:val="18"/>
              </w:rPr>
              <w:t>599.248,79</w:t>
            </w:r>
          </w:p>
        </w:tc>
      </w:tr>
      <w:tr w:rsidR="006220A2" w:rsidRPr="00464483" w14:paraId="6C878E69" w14:textId="77777777" w:rsidTr="00693BB6">
        <w:trPr>
          <w:trHeight w:val="238"/>
          <w:jc w:val="center"/>
        </w:trPr>
        <w:tc>
          <w:tcPr>
            <w:tcW w:w="5215" w:type="dxa"/>
            <w:tcBorders>
              <w:top w:val="nil"/>
              <w:left w:val="nil"/>
              <w:bottom w:val="nil"/>
              <w:right w:val="nil"/>
            </w:tcBorders>
            <w:shd w:val="clear" w:color="auto" w:fill="auto"/>
            <w:vAlign w:val="center"/>
            <w:hideMark/>
          </w:tcPr>
          <w:p w14:paraId="665FBA21" w14:textId="77777777" w:rsidR="006220A2" w:rsidRPr="00FF5498" w:rsidRDefault="006220A2" w:rsidP="00852114">
            <w:pPr>
              <w:jc w:val="both"/>
              <w:rPr>
                <w:rFonts w:eastAsia="Times New Roman"/>
                <w:sz w:val="18"/>
                <w:szCs w:val="18"/>
              </w:rPr>
            </w:pPr>
            <w:r w:rsidRPr="00FF5498">
              <w:rPr>
                <w:rFonts w:eastAsia="Times New Roman"/>
                <w:sz w:val="18"/>
                <w:szCs w:val="18"/>
              </w:rPr>
              <w:t xml:space="preserve">     Mayor valor de mercado de Operaciones vinculadas</w:t>
            </w:r>
          </w:p>
        </w:tc>
        <w:tc>
          <w:tcPr>
            <w:tcW w:w="1589" w:type="dxa"/>
            <w:tcBorders>
              <w:top w:val="nil"/>
              <w:left w:val="nil"/>
              <w:bottom w:val="nil"/>
              <w:right w:val="nil"/>
            </w:tcBorders>
            <w:shd w:val="clear" w:color="auto" w:fill="auto"/>
            <w:vAlign w:val="center"/>
            <w:hideMark/>
          </w:tcPr>
          <w:p w14:paraId="01747A61" w14:textId="77777777" w:rsidR="006220A2" w:rsidRPr="0063724F" w:rsidRDefault="006220A2" w:rsidP="00852114">
            <w:pPr>
              <w:jc w:val="right"/>
              <w:rPr>
                <w:sz w:val="18"/>
                <w:szCs w:val="18"/>
              </w:rPr>
            </w:pPr>
            <w:r w:rsidRPr="0063724F">
              <w:rPr>
                <w:sz w:val="18"/>
                <w:szCs w:val="18"/>
              </w:rPr>
              <w:t>9</w:t>
            </w:r>
            <w:r w:rsidR="00FF5498" w:rsidRPr="0063724F">
              <w:rPr>
                <w:sz w:val="18"/>
                <w:szCs w:val="18"/>
              </w:rPr>
              <w:t>50.897,92</w:t>
            </w:r>
          </w:p>
        </w:tc>
      </w:tr>
      <w:tr w:rsidR="006220A2" w:rsidRPr="00464483" w14:paraId="05B06873" w14:textId="77777777" w:rsidTr="00693BB6">
        <w:trPr>
          <w:trHeight w:val="238"/>
          <w:jc w:val="center"/>
        </w:trPr>
        <w:tc>
          <w:tcPr>
            <w:tcW w:w="5215" w:type="dxa"/>
            <w:tcBorders>
              <w:top w:val="single" w:sz="4" w:space="0" w:color="auto"/>
              <w:left w:val="nil"/>
              <w:bottom w:val="single" w:sz="4" w:space="0" w:color="auto"/>
              <w:right w:val="nil"/>
            </w:tcBorders>
            <w:shd w:val="clear" w:color="auto" w:fill="auto"/>
            <w:vAlign w:val="center"/>
            <w:hideMark/>
          </w:tcPr>
          <w:p w14:paraId="276F54AC" w14:textId="77777777" w:rsidR="006220A2" w:rsidRPr="00FF5498" w:rsidRDefault="006220A2" w:rsidP="00852114">
            <w:pPr>
              <w:jc w:val="both"/>
              <w:rPr>
                <w:rFonts w:eastAsia="Times New Roman"/>
                <w:b/>
                <w:bCs/>
                <w:sz w:val="18"/>
                <w:szCs w:val="18"/>
              </w:rPr>
            </w:pPr>
            <w:r w:rsidRPr="00FF5498">
              <w:rPr>
                <w:rFonts w:eastAsia="Times New Roman"/>
                <w:b/>
                <w:bCs/>
                <w:sz w:val="18"/>
                <w:szCs w:val="18"/>
              </w:rPr>
              <w:t>RESULTADO CONTABLE AJUSTADO</w:t>
            </w:r>
          </w:p>
        </w:tc>
        <w:tc>
          <w:tcPr>
            <w:tcW w:w="1589" w:type="dxa"/>
            <w:tcBorders>
              <w:top w:val="single" w:sz="4" w:space="0" w:color="auto"/>
              <w:left w:val="nil"/>
              <w:bottom w:val="single" w:sz="4" w:space="0" w:color="auto"/>
              <w:right w:val="nil"/>
            </w:tcBorders>
            <w:shd w:val="clear" w:color="auto" w:fill="auto"/>
            <w:vAlign w:val="center"/>
            <w:hideMark/>
          </w:tcPr>
          <w:p w14:paraId="75101988" w14:textId="77777777" w:rsidR="006220A2" w:rsidRPr="0063724F" w:rsidRDefault="006220A2" w:rsidP="00852114">
            <w:pPr>
              <w:jc w:val="right"/>
              <w:rPr>
                <w:b/>
                <w:bCs/>
                <w:sz w:val="18"/>
                <w:szCs w:val="18"/>
              </w:rPr>
            </w:pPr>
            <w:r w:rsidRPr="0063724F">
              <w:rPr>
                <w:b/>
                <w:bCs/>
                <w:sz w:val="18"/>
                <w:szCs w:val="18"/>
              </w:rPr>
              <w:t>(</w:t>
            </w:r>
            <w:r w:rsidR="00FF5498" w:rsidRPr="0063724F">
              <w:rPr>
                <w:b/>
                <w:bCs/>
                <w:sz w:val="18"/>
                <w:szCs w:val="18"/>
              </w:rPr>
              <w:t>615.720,29</w:t>
            </w:r>
            <w:r w:rsidRPr="0063724F">
              <w:rPr>
                <w:b/>
                <w:bCs/>
                <w:sz w:val="18"/>
                <w:szCs w:val="18"/>
              </w:rPr>
              <w:t>)</w:t>
            </w:r>
          </w:p>
        </w:tc>
      </w:tr>
      <w:tr w:rsidR="006220A2" w:rsidRPr="00464483" w14:paraId="4F130A1B" w14:textId="77777777" w:rsidTr="00693BB6">
        <w:trPr>
          <w:trHeight w:val="238"/>
          <w:jc w:val="center"/>
        </w:trPr>
        <w:tc>
          <w:tcPr>
            <w:tcW w:w="5215" w:type="dxa"/>
            <w:tcBorders>
              <w:top w:val="nil"/>
              <w:left w:val="nil"/>
              <w:bottom w:val="nil"/>
              <w:right w:val="nil"/>
            </w:tcBorders>
            <w:shd w:val="clear" w:color="auto" w:fill="auto"/>
            <w:vAlign w:val="center"/>
            <w:hideMark/>
          </w:tcPr>
          <w:p w14:paraId="5BA3C8EF" w14:textId="77777777" w:rsidR="006220A2" w:rsidRPr="00FF5498" w:rsidRDefault="006220A2" w:rsidP="00852114">
            <w:pPr>
              <w:jc w:val="both"/>
              <w:rPr>
                <w:rFonts w:eastAsia="Times New Roman"/>
                <w:sz w:val="18"/>
                <w:szCs w:val="18"/>
              </w:rPr>
            </w:pPr>
            <w:r w:rsidRPr="00FF5498">
              <w:rPr>
                <w:rFonts w:eastAsia="Times New Roman"/>
                <w:sz w:val="18"/>
                <w:szCs w:val="18"/>
              </w:rPr>
              <w:t>Base imponible Impuesto sobre Sociedades</w:t>
            </w:r>
          </w:p>
        </w:tc>
        <w:tc>
          <w:tcPr>
            <w:tcW w:w="1589" w:type="dxa"/>
            <w:tcBorders>
              <w:top w:val="nil"/>
              <w:left w:val="nil"/>
              <w:bottom w:val="nil"/>
              <w:right w:val="nil"/>
            </w:tcBorders>
            <w:shd w:val="clear" w:color="auto" w:fill="auto"/>
            <w:vAlign w:val="center"/>
            <w:hideMark/>
          </w:tcPr>
          <w:p w14:paraId="35606BC4" w14:textId="77777777" w:rsidR="006220A2" w:rsidRPr="0063724F" w:rsidRDefault="006220A2" w:rsidP="00852114">
            <w:pPr>
              <w:jc w:val="right"/>
              <w:rPr>
                <w:sz w:val="18"/>
                <w:szCs w:val="18"/>
              </w:rPr>
            </w:pPr>
            <w:r w:rsidRPr="0063724F">
              <w:rPr>
                <w:sz w:val="18"/>
                <w:szCs w:val="18"/>
              </w:rPr>
              <w:t>(</w:t>
            </w:r>
            <w:r w:rsidR="00FF5498" w:rsidRPr="0063724F">
              <w:rPr>
                <w:sz w:val="18"/>
                <w:szCs w:val="18"/>
              </w:rPr>
              <w:t>615.720,29</w:t>
            </w:r>
            <w:r w:rsidRPr="0063724F">
              <w:rPr>
                <w:sz w:val="18"/>
                <w:szCs w:val="18"/>
              </w:rPr>
              <w:t>)</w:t>
            </w:r>
          </w:p>
        </w:tc>
      </w:tr>
      <w:tr w:rsidR="006220A2" w:rsidRPr="00464483" w14:paraId="3BF4061A" w14:textId="77777777" w:rsidTr="00693BB6">
        <w:trPr>
          <w:trHeight w:val="238"/>
          <w:jc w:val="center"/>
        </w:trPr>
        <w:tc>
          <w:tcPr>
            <w:tcW w:w="5215" w:type="dxa"/>
            <w:tcBorders>
              <w:top w:val="nil"/>
              <w:left w:val="nil"/>
              <w:bottom w:val="nil"/>
              <w:right w:val="nil"/>
            </w:tcBorders>
            <w:shd w:val="clear" w:color="auto" w:fill="auto"/>
            <w:vAlign w:val="center"/>
            <w:hideMark/>
          </w:tcPr>
          <w:p w14:paraId="287787B9" w14:textId="77777777" w:rsidR="006220A2" w:rsidRPr="00FF5498" w:rsidRDefault="006220A2" w:rsidP="00852114">
            <w:pPr>
              <w:jc w:val="both"/>
              <w:rPr>
                <w:rFonts w:eastAsia="Times New Roman"/>
                <w:sz w:val="18"/>
                <w:szCs w:val="18"/>
              </w:rPr>
            </w:pPr>
            <w:r w:rsidRPr="00FF5498">
              <w:rPr>
                <w:rFonts w:eastAsia="Times New Roman"/>
                <w:sz w:val="18"/>
                <w:szCs w:val="18"/>
              </w:rPr>
              <w:t>Tipo de gravamen 25%-28%</w:t>
            </w:r>
          </w:p>
        </w:tc>
        <w:tc>
          <w:tcPr>
            <w:tcW w:w="1589" w:type="dxa"/>
            <w:tcBorders>
              <w:top w:val="nil"/>
              <w:left w:val="nil"/>
              <w:bottom w:val="nil"/>
              <w:right w:val="nil"/>
            </w:tcBorders>
            <w:shd w:val="clear" w:color="auto" w:fill="auto"/>
            <w:vAlign w:val="center"/>
            <w:hideMark/>
          </w:tcPr>
          <w:p w14:paraId="0C9E9CDA" w14:textId="77777777" w:rsidR="006220A2" w:rsidRPr="00FF5498" w:rsidRDefault="006220A2" w:rsidP="00852114">
            <w:pPr>
              <w:ind w:right="71"/>
              <w:jc w:val="right"/>
              <w:rPr>
                <w:rFonts w:eastAsia="Times New Roman"/>
                <w:sz w:val="18"/>
                <w:szCs w:val="18"/>
              </w:rPr>
            </w:pPr>
            <w:r w:rsidRPr="00FF5498">
              <w:rPr>
                <w:rFonts w:eastAsia="Times New Roman"/>
                <w:sz w:val="18"/>
                <w:szCs w:val="18"/>
              </w:rPr>
              <w:t>-</w:t>
            </w:r>
          </w:p>
        </w:tc>
      </w:tr>
      <w:tr w:rsidR="006220A2" w:rsidRPr="00464483" w14:paraId="3CDCB497" w14:textId="77777777" w:rsidTr="00693BB6">
        <w:trPr>
          <w:trHeight w:val="238"/>
          <w:jc w:val="center"/>
        </w:trPr>
        <w:tc>
          <w:tcPr>
            <w:tcW w:w="5215" w:type="dxa"/>
            <w:tcBorders>
              <w:top w:val="nil"/>
              <w:left w:val="nil"/>
              <w:bottom w:val="nil"/>
              <w:right w:val="nil"/>
            </w:tcBorders>
            <w:shd w:val="clear" w:color="auto" w:fill="auto"/>
            <w:vAlign w:val="center"/>
            <w:hideMark/>
          </w:tcPr>
          <w:p w14:paraId="1B9AE20C" w14:textId="77777777" w:rsidR="006220A2" w:rsidRPr="00FF5498" w:rsidRDefault="006220A2" w:rsidP="00852114">
            <w:pPr>
              <w:jc w:val="both"/>
              <w:rPr>
                <w:rFonts w:eastAsia="Times New Roman"/>
                <w:sz w:val="18"/>
                <w:szCs w:val="18"/>
              </w:rPr>
            </w:pPr>
            <w:r w:rsidRPr="00FF5498">
              <w:rPr>
                <w:rFonts w:eastAsia="Times New Roman"/>
                <w:sz w:val="18"/>
                <w:szCs w:val="18"/>
              </w:rPr>
              <w:t>Cuota impositiva</w:t>
            </w:r>
          </w:p>
        </w:tc>
        <w:tc>
          <w:tcPr>
            <w:tcW w:w="1589" w:type="dxa"/>
            <w:tcBorders>
              <w:top w:val="nil"/>
              <w:left w:val="nil"/>
              <w:bottom w:val="nil"/>
              <w:right w:val="nil"/>
            </w:tcBorders>
            <w:shd w:val="clear" w:color="auto" w:fill="auto"/>
            <w:vAlign w:val="center"/>
            <w:hideMark/>
          </w:tcPr>
          <w:p w14:paraId="1FDEAE98" w14:textId="77777777" w:rsidR="006220A2" w:rsidRPr="00FF5498" w:rsidRDefault="006220A2" w:rsidP="00852114">
            <w:pPr>
              <w:ind w:right="71"/>
              <w:jc w:val="right"/>
              <w:rPr>
                <w:rFonts w:eastAsia="Times New Roman"/>
                <w:sz w:val="18"/>
                <w:szCs w:val="18"/>
              </w:rPr>
            </w:pPr>
            <w:r w:rsidRPr="00FF5498">
              <w:rPr>
                <w:rFonts w:eastAsia="Times New Roman"/>
                <w:sz w:val="18"/>
                <w:szCs w:val="18"/>
              </w:rPr>
              <w:t>-</w:t>
            </w:r>
          </w:p>
        </w:tc>
      </w:tr>
      <w:tr w:rsidR="006220A2" w:rsidRPr="00464483" w14:paraId="16BE09B3" w14:textId="77777777" w:rsidTr="00693BB6">
        <w:trPr>
          <w:trHeight w:val="238"/>
          <w:jc w:val="center"/>
        </w:trPr>
        <w:tc>
          <w:tcPr>
            <w:tcW w:w="5215" w:type="dxa"/>
            <w:tcBorders>
              <w:top w:val="single" w:sz="4" w:space="0" w:color="auto"/>
              <w:left w:val="nil"/>
              <w:bottom w:val="single" w:sz="4" w:space="0" w:color="auto"/>
              <w:right w:val="nil"/>
            </w:tcBorders>
            <w:shd w:val="clear" w:color="auto" w:fill="auto"/>
            <w:vAlign w:val="center"/>
            <w:hideMark/>
          </w:tcPr>
          <w:p w14:paraId="7A08E79C" w14:textId="77777777" w:rsidR="006220A2" w:rsidRPr="00FF5498" w:rsidRDefault="006220A2" w:rsidP="00852114">
            <w:pPr>
              <w:jc w:val="both"/>
              <w:rPr>
                <w:rFonts w:eastAsia="Times New Roman"/>
                <w:b/>
                <w:bCs/>
                <w:sz w:val="18"/>
                <w:szCs w:val="18"/>
              </w:rPr>
            </w:pPr>
            <w:r w:rsidRPr="00FF5498">
              <w:rPr>
                <w:rFonts w:eastAsia="Times New Roman"/>
                <w:b/>
                <w:bCs/>
                <w:sz w:val="18"/>
                <w:szCs w:val="18"/>
              </w:rPr>
              <w:t>Impuesto sobre Beneficios</w:t>
            </w:r>
          </w:p>
        </w:tc>
        <w:tc>
          <w:tcPr>
            <w:tcW w:w="1589" w:type="dxa"/>
            <w:tcBorders>
              <w:top w:val="single" w:sz="4" w:space="0" w:color="auto"/>
              <w:left w:val="nil"/>
              <w:bottom w:val="single" w:sz="4" w:space="0" w:color="auto"/>
              <w:right w:val="nil"/>
            </w:tcBorders>
            <w:shd w:val="clear" w:color="auto" w:fill="auto"/>
            <w:vAlign w:val="center"/>
            <w:hideMark/>
          </w:tcPr>
          <w:p w14:paraId="42AA34F2" w14:textId="77777777" w:rsidR="006220A2" w:rsidRPr="00FF5498" w:rsidRDefault="006220A2" w:rsidP="00852114">
            <w:pPr>
              <w:ind w:right="71"/>
              <w:jc w:val="right"/>
              <w:rPr>
                <w:rFonts w:eastAsia="Times New Roman"/>
                <w:b/>
                <w:bCs/>
                <w:sz w:val="18"/>
                <w:szCs w:val="18"/>
              </w:rPr>
            </w:pPr>
            <w:r w:rsidRPr="00FF5498">
              <w:rPr>
                <w:rFonts w:eastAsia="Times New Roman"/>
                <w:b/>
                <w:bCs/>
                <w:sz w:val="18"/>
                <w:szCs w:val="18"/>
              </w:rPr>
              <w:t>-</w:t>
            </w:r>
          </w:p>
        </w:tc>
      </w:tr>
      <w:tr w:rsidR="006220A2" w:rsidRPr="00464483" w14:paraId="14EE41DE" w14:textId="77777777" w:rsidTr="00693BB6">
        <w:trPr>
          <w:trHeight w:val="238"/>
          <w:jc w:val="center"/>
        </w:trPr>
        <w:tc>
          <w:tcPr>
            <w:tcW w:w="5215" w:type="dxa"/>
            <w:tcBorders>
              <w:top w:val="nil"/>
              <w:left w:val="nil"/>
              <w:bottom w:val="nil"/>
              <w:right w:val="nil"/>
            </w:tcBorders>
            <w:shd w:val="clear" w:color="auto" w:fill="auto"/>
            <w:vAlign w:val="center"/>
            <w:hideMark/>
          </w:tcPr>
          <w:p w14:paraId="1386CD14" w14:textId="77777777" w:rsidR="006220A2" w:rsidRPr="00FF5498" w:rsidRDefault="006220A2" w:rsidP="00852114">
            <w:pPr>
              <w:jc w:val="both"/>
              <w:rPr>
                <w:rFonts w:eastAsia="Times New Roman"/>
                <w:sz w:val="18"/>
                <w:szCs w:val="18"/>
              </w:rPr>
            </w:pPr>
            <w:r w:rsidRPr="00FF5498">
              <w:rPr>
                <w:rFonts w:eastAsia="Times New Roman"/>
                <w:sz w:val="18"/>
                <w:szCs w:val="18"/>
              </w:rPr>
              <w:t>Pagos Fraccionados</w:t>
            </w:r>
          </w:p>
        </w:tc>
        <w:tc>
          <w:tcPr>
            <w:tcW w:w="1589" w:type="dxa"/>
            <w:tcBorders>
              <w:top w:val="nil"/>
              <w:left w:val="nil"/>
              <w:bottom w:val="nil"/>
              <w:right w:val="nil"/>
            </w:tcBorders>
            <w:shd w:val="clear" w:color="auto" w:fill="auto"/>
            <w:vAlign w:val="center"/>
            <w:hideMark/>
          </w:tcPr>
          <w:p w14:paraId="357642D2" w14:textId="77777777" w:rsidR="006220A2" w:rsidRPr="00FF5498" w:rsidRDefault="006220A2" w:rsidP="00852114">
            <w:pPr>
              <w:ind w:right="71"/>
              <w:jc w:val="right"/>
              <w:rPr>
                <w:rFonts w:eastAsia="Times New Roman"/>
                <w:sz w:val="18"/>
                <w:szCs w:val="18"/>
              </w:rPr>
            </w:pPr>
            <w:r w:rsidRPr="00FF5498">
              <w:rPr>
                <w:rFonts w:eastAsia="Times New Roman"/>
                <w:sz w:val="18"/>
                <w:szCs w:val="18"/>
              </w:rPr>
              <w:t>-</w:t>
            </w:r>
          </w:p>
        </w:tc>
      </w:tr>
      <w:tr w:rsidR="006220A2" w:rsidRPr="00464483" w14:paraId="71AA9477" w14:textId="77777777" w:rsidTr="00693BB6">
        <w:trPr>
          <w:trHeight w:val="238"/>
          <w:jc w:val="center"/>
        </w:trPr>
        <w:tc>
          <w:tcPr>
            <w:tcW w:w="5215" w:type="dxa"/>
            <w:tcBorders>
              <w:top w:val="nil"/>
              <w:left w:val="nil"/>
              <w:bottom w:val="nil"/>
              <w:right w:val="nil"/>
            </w:tcBorders>
            <w:shd w:val="clear" w:color="auto" w:fill="auto"/>
            <w:vAlign w:val="center"/>
            <w:hideMark/>
          </w:tcPr>
          <w:p w14:paraId="13619161" w14:textId="77777777" w:rsidR="006220A2" w:rsidRPr="00FF5498" w:rsidRDefault="006220A2" w:rsidP="00852114">
            <w:pPr>
              <w:jc w:val="both"/>
              <w:rPr>
                <w:rFonts w:eastAsia="Times New Roman"/>
                <w:sz w:val="18"/>
                <w:szCs w:val="18"/>
              </w:rPr>
            </w:pPr>
            <w:r w:rsidRPr="00FF5498">
              <w:rPr>
                <w:rFonts w:eastAsia="Times New Roman"/>
                <w:sz w:val="18"/>
                <w:szCs w:val="18"/>
              </w:rPr>
              <w:t xml:space="preserve">Retenciones </w:t>
            </w:r>
          </w:p>
        </w:tc>
        <w:tc>
          <w:tcPr>
            <w:tcW w:w="1589" w:type="dxa"/>
            <w:tcBorders>
              <w:top w:val="nil"/>
              <w:left w:val="nil"/>
              <w:bottom w:val="nil"/>
              <w:right w:val="nil"/>
            </w:tcBorders>
            <w:shd w:val="clear" w:color="auto" w:fill="auto"/>
            <w:vAlign w:val="center"/>
            <w:hideMark/>
          </w:tcPr>
          <w:p w14:paraId="211304C4" w14:textId="77777777" w:rsidR="006220A2" w:rsidRPr="00FF5498" w:rsidRDefault="00693BB6" w:rsidP="00852114">
            <w:pPr>
              <w:ind w:right="71"/>
              <w:jc w:val="right"/>
              <w:rPr>
                <w:rFonts w:eastAsia="Times New Roman"/>
                <w:sz w:val="18"/>
                <w:szCs w:val="18"/>
              </w:rPr>
            </w:pPr>
            <w:r w:rsidRPr="00FF5498">
              <w:rPr>
                <w:rFonts w:eastAsia="Times New Roman"/>
                <w:sz w:val="18"/>
                <w:szCs w:val="18"/>
              </w:rPr>
              <w:t>-</w:t>
            </w:r>
          </w:p>
        </w:tc>
      </w:tr>
      <w:tr w:rsidR="006220A2" w:rsidRPr="00464483" w14:paraId="5003320C" w14:textId="77777777" w:rsidTr="00693BB6">
        <w:trPr>
          <w:trHeight w:val="238"/>
          <w:jc w:val="center"/>
        </w:trPr>
        <w:tc>
          <w:tcPr>
            <w:tcW w:w="5215" w:type="dxa"/>
            <w:tcBorders>
              <w:top w:val="single" w:sz="4" w:space="0" w:color="auto"/>
              <w:left w:val="nil"/>
              <w:bottom w:val="single" w:sz="4" w:space="0" w:color="auto"/>
              <w:right w:val="nil"/>
            </w:tcBorders>
            <w:shd w:val="clear" w:color="auto" w:fill="auto"/>
            <w:vAlign w:val="center"/>
            <w:hideMark/>
          </w:tcPr>
          <w:p w14:paraId="380E7B16" w14:textId="77777777" w:rsidR="006220A2" w:rsidRPr="00FF5498" w:rsidRDefault="006220A2" w:rsidP="00852114">
            <w:pPr>
              <w:jc w:val="both"/>
              <w:rPr>
                <w:rFonts w:eastAsia="Times New Roman"/>
                <w:b/>
                <w:bCs/>
                <w:sz w:val="18"/>
                <w:szCs w:val="18"/>
              </w:rPr>
            </w:pPr>
            <w:r w:rsidRPr="00FF5498">
              <w:rPr>
                <w:rFonts w:eastAsia="Times New Roman"/>
                <w:b/>
                <w:bCs/>
                <w:sz w:val="18"/>
                <w:szCs w:val="18"/>
              </w:rPr>
              <w:t>A DEVOLVER</w:t>
            </w:r>
          </w:p>
        </w:tc>
        <w:tc>
          <w:tcPr>
            <w:tcW w:w="1589" w:type="dxa"/>
            <w:tcBorders>
              <w:top w:val="single" w:sz="4" w:space="0" w:color="auto"/>
              <w:left w:val="nil"/>
              <w:bottom w:val="single" w:sz="4" w:space="0" w:color="auto"/>
              <w:right w:val="nil"/>
            </w:tcBorders>
            <w:shd w:val="clear" w:color="auto" w:fill="auto"/>
            <w:vAlign w:val="center"/>
            <w:hideMark/>
          </w:tcPr>
          <w:p w14:paraId="1E94DD86" w14:textId="77777777" w:rsidR="006220A2" w:rsidRPr="00FF5498" w:rsidRDefault="00693BB6" w:rsidP="00852114">
            <w:pPr>
              <w:ind w:right="71"/>
              <w:jc w:val="right"/>
              <w:rPr>
                <w:rFonts w:eastAsia="Times New Roman"/>
                <w:b/>
                <w:bCs/>
                <w:sz w:val="18"/>
                <w:szCs w:val="18"/>
              </w:rPr>
            </w:pPr>
            <w:r w:rsidRPr="00FF5498">
              <w:rPr>
                <w:rFonts w:eastAsia="Times New Roman"/>
                <w:b/>
                <w:bCs/>
                <w:sz w:val="18"/>
                <w:szCs w:val="18"/>
              </w:rPr>
              <w:t>-</w:t>
            </w:r>
          </w:p>
        </w:tc>
      </w:tr>
    </w:tbl>
    <w:p w14:paraId="25A3E46E" w14:textId="77777777" w:rsidR="006220A2" w:rsidRDefault="006220A2" w:rsidP="006220A2">
      <w:pPr>
        <w:widowControl w:val="0"/>
        <w:spacing w:before="120" w:after="120"/>
        <w:jc w:val="both"/>
        <w:rPr>
          <w:sz w:val="20"/>
          <w:szCs w:val="22"/>
        </w:rPr>
      </w:pPr>
      <w:r w:rsidRPr="0068424E">
        <w:rPr>
          <w:sz w:val="20"/>
          <w:szCs w:val="22"/>
        </w:rPr>
        <w:t>Quedan pendientes de aplicación deducciones por inversión y formación cuyos importes y plazos son los siguientes:</w:t>
      </w:r>
    </w:p>
    <w:tbl>
      <w:tblPr>
        <w:tblW w:w="6804" w:type="dxa"/>
        <w:jc w:val="center"/>
        <w:shd w:val="clear" w:color="auto" w:fill="D0CECE"/>
        <w:tblCellMar>
          <w:left w:w="70" w:type="dxa"/>
          <w:right w:w="70" w:type="dxa"/>
        </w:tblCellMar>
        <w:tblLook w:val="04A0" w:firstRow="1" w:lastRow="0" w:firstColumn="1" w:lastColumn="0" w:noHBand="0" w:noVBand="1"/>
      </w:tblPr>
      <w:tblGrid>
        <w:gridCol w:w="1134"/>
        <w:gridCol w:w="2804"/>
        <w:gridCol w:w="1341"/>
        <w:gridCol w:w="1525"/>
      </w:tblGrid>
      <w:tr w:rsidR="006220A2" w:rsidRPr="0090066F" w14:paraId="547378B3" w14:textId="77777777" w:rsidTr="00A75530">
        <w:trPr>
          <w:trHeight w:val="238"/>
          <w:jc w:val="center"/>
        </w:trPr>
        <w:tc>
          <w:tcPr>
            <w:tcW w:w="1134" w:type="dxa"/>
            <w:tcBorders>
              <w:top w:val="single" w:sz="4" w:space="0" w:color="auto"/>
              <w:left w:val="nil"/>
              <w:bottom w:val="single" w:sz="4" w:space="0" w:color="auto"/>
              <w:right w:val="nil"/>
            </w:tcBorders>
            <w:shd w:val="clear" w:color="auto" w:fill="auto"/>
            <w:noWrap/>
            <w:vAlign w:val="bottom"/>
            <w:hideMark/>
          </w:tcPr>
          <w:p w14:paraId="1B7F2349" w14:textId="77777777" w:rsidR="006220A2" w:rsidRPr="00FF5498" w:rsidRDefault="006220A2" w:rsidP="00852114">
            <w:pPr>
              <w:jc w:val="center"/>
              <w:rPr>
                <w:rFonts w:eastAsia="Times New Roman"/>
                <w:b/>
                <w:bCs/>
                <w:sz w:val="18"/>
                <w:szCs w:val="18"/>
              </w:rPr>
            </w:pPr>
            <w:r w:rsidRPr="00FF5498">
              <w:rPr>
                <w:rFonts w:eastAsia="Times New Roman"/>
                <w:b/>
                <w:bCs/>
                <w:sz w:val="18"/>
                <w:szCs w:val="18"/>
                <w:lang w:val="en-US"/>
              </w:rPr>
              <w:t>Año</w:t>
            </w:r>
          </w:p>
        </w:tc>
        <w:tc>
          <w:tcPr>
            <w:tcW w:w="2804" w:type="dxa"/>
            <w:tcBorders>
              <w:top w:val="single" w:sz="4" w:space="0" w:color="auto"/>
              <w:left w:val="nil"/>
              <w:bottom w:val="single" w:sz="4" w:space="0" w:color="auto"/>
              <w:right w:val="nil"/>
            </w:tcBorders>
            <w:shd w:val="clear" w:color="auto" w:fill="auto"/>
            <w:noWrap/>
            <w:vAlign w:val="bottom"/>
            <w:hideMark/>
          </w:tcPr>
          <w:p w14:paraId="77795A65" w14:textId="77777777" w:rsidR="006220A2" w:rsidRPr="00FF5498" w:rsidRDefault="006220A2" w:rsidP="00852114">
            <w:pPr>
              <w:jc w:val="center"/>
              <w:rPr>
                <w:rFonts w:eastAsia="Times New Roman"/>
                <w:b/>
                <w:bCs/>
                <w:sz w:val="18"/>
                <w:szCs w:val="18"/>
              </w:rPr>
            </w:pPr>
            <w:r w:rsidRPr="00FF5498">
              <w:rPr>
                <w:rFonts w:eastAsia="Times New Roman"/>
                <w:b/>
                <w:bCs/>
                <w:sz w:val="18"/>
                <w:szCs w:val="18"/>
                <w:lang w:val="en-US"/>
              </w:rPr>
              <w:t>Concepto</w:t>
            </w:r>
          </w:p>
        </w:tc>
        <w:tc>
          <w:tcPr>
            <w:tcW w:w="0" w:type="auto"/>
            <w:tcBorders>
              <w:top w:val="single" w:sz="4" w:space="0" w:color="auto"/>
              <w:left w:val="nil"/>
              <w:bottom w:val="single" w:sz="4" w:space="0" w:color="auto"/>
              <w:right w:val="nil"/>
            </w:tcBorders>
            <w:shd w:val="clear" w:color="auto" w:fill="auto"/>
            <w:noWrap/>
            <w:vAlign w:val="bottom"/>
            <w:hideMark/>
          </w:tcPr>
          <w:p w14:paraId="058DBB59" w14:textId="77777777" w:rsidR="006220A2" w:rsidRPr="00FF5498" w:rsidRDefault="006220A2" w:rsidP="00852114">
            <w:pPr>
              <w:jc w:val="center"/>
              <w:rPr>
                <w:rFonts w:eastAsia="Times New Roman"/>
                <w:b/>
                <w:bCs/>
                <w:sz w:val="18"/>
                <w:szCs w:val="18"/>
              </w:rPr>
            </w:pPr>
            <w:r w:rsidRPr="00FF5498">
              <w:rPr>
                <w:rFonts w:eastAsia="Times New Roman"/>
                <w:b/>
                <w:bCs/>
                <w:sz w:val="18"/>
                <w:szCs w:val="18"/>
                <w:lang w:val="en-US"/>
              </w:rPr>
              <w:t>Euros</w:t>
            </w:r>
          </w:p>
        </w:tc>
        <w:tc>
          <w:tcPr>
            <w:tcW w:w="0" w:type="auto"/>
            <w:tcBorders>
              <w:top w:val="single" w:sz="4" w:space="0" w:color="auto"/>
              <w:left w:val="nil"/>
              <w:bottom w:val="single" w:sz="4" w:space="0" w:color="auto"/>
              <w:right w:val="nil"/>
            </w:tcBorders>
            <w:shd w:val="clear" w:color="auto" w:fill="auto"/>
            <w:noWrap/>
            <w:vAlign w:val="bottom"/>
            <w:hideMark/>
          </w:tcPr>
          <w:p w14:paraId="2958F31D" w14:textId="77777777" w:rsidR="006220A2" w:rsidRPr="00FF5498" w:rsidRDefault="006220A2" w:rsidP="00852114">
            <w:pPr>
              <w:jc w:val="center"/>
              <w:rPr>
                <w:rFonts w:eastAsia="Times New Roman"/>
                <w:b/>
                <w:bCs/>
                <w:sz w:val="18"/>
                <w:szCs w:val="18"/>
              </w:rPr>
            </w:pPr>
            <w:r w:rsidRPr="00FF5498">
              <w:rPr>
                <w:rFonts w:eastAsia="Times New Roman"/>
                <w:b/>
                <w:bCs/>
                <w:sz w:val="18"/>
                <w:szCs w:val="18"/>
                <w:lang w:val="en-US"/>
              </w:rPr>
              <w:t>Último año</w:t>
            </w:r>
          </w:p>
        </w:tc>
      </w:tr>
      <w:tr w:rsidR="006220A2" w:rsidRPr="0090066F" w14:paraId="2D105898" w14:textId="77777777" w:rsidTr="00A75530">
        <w:trPr>
          <w:trHeight w:val="238"/>
          <w:jc w:val="center"/>
        </w:trPr>
        <w:tc>
          <w:tcPr>
            <w:tcW w:w="1134" w:type="dxa"/>
            <w:tcBorders>
              <w:top w:val="nil"/>
              <w:left w:val="nil"/>
              <w:right w:val="nil"/>
            </w:tcBorders>
            <w:shd w:val="clear" w:color="auto" w:fill="auto"/>
            <w:noWrap/>
            <w:vAlign w:val="center"/>
            <w:hideMark/>
          </w:tcPr>
          <w:p w14:paraId="6CEA4AB5" w14:textId="77777777" w:rsidR="006220A2" w:rsidRPr="00FF5498" w:rsidRDefault="006220A2" w:rsidP="00852114">
            <w:pPr>
              <w:jc w:val="center"/>
              <w:rPr>
                <w:sz w:val="18"/>
                <w:szCs w:val="18"/>
              </w:rPr>
            </w:pPr>
            <w:r w:rsidRPr="00FF5498">
              <w:rPr>
                <w:sz w:val="18"/>
                <w:szCs w:val="18"/>
              </w:rPr>
              <w:t>2008</w:t>
            </w:r>
          </w:p>
        </w:tc>
        <w:tc>
          <w:tcPr>
            <w:tcW w:w="2804" w:type="dxa"/>
            <w:tcBorders>
              <w:top w:val="nil"/>
              <w:left w:val="nil"/>
              <w:right w:val="nil"/>
            </w:tcBorders>
            <w:shd w:val="clear" w:color="auto" w:fill="auto"/>
            <w:noWrap/>
            <w:vAlign w:val="center"/>
            <w:hideMark/>
          </w:tcPr>
          <w:p w14:paraId="7341003B" w14:textId="77777777" w:rsidR="006220A2" w:rsidRPr="00FF5498" w:rsidRDefault="006220A2" w:rsidP="00852114">
            <w:pPr>
              <w:rPr>
                <w:sz w:val="18"/>
                <w:szCs w:val="18"/>
              </w:rPr>
            </w:pPr>
            <w:r w:rsidRPr="00FF5498">
              <w:rPr>
                <w:sz w:val="18"/>
                <w:szCs w:val="18"/>
              </w:rPr>
              <w:t>Deducción por formación</w:t>
            </w:r>
          </w:p>
        </w:tc>
        <w:tc>
          <w:tcPr>
            <w:tcW w:w="0" w:type="auto"/>
            <w:tcBorders>
              <w:top w:val="nil"/>
              <w:left w:val="nil"/>
              <w:right w:val="nil"/>
            </w:tcBorders>
            <w:shd w:val="clear" w:color="auto" w:fill="auto"/>
            <w:noWrap/>
            <w:vAlign w:val="center"/>
            <w:hideMark/>
          </w:tcPr>
          <w:p w14:paraId="1FB2C8A7" w14:textId="77777777" w:rsidR="006220A2" w:rsidRPr="00FF5498" w:rsidRDefault="006220A2" w:rsidP="00852114">
            <w:pPr>
              <w:jc w:val="right"/>
              <w:rPr>
                <w:sz w:val="18"/>
                <w:szCs w:val="18"/>
              </w:rPr>
            </w:pPr>
            <w:r w:rsidRPr="00FF5498">
              <w:rPr>
                <w:sz w:val="18"/>
                <w:szCs w:val="18"/>
              </w:rPr>
              <w:t>1.370,85</w:t>
            </w:r>
          </w:p>
        </w:tc>
        <w:tc>
          <w:tcPr>
            <w:tcW w:w="0" w:type="auto"/>
            <w:tcBorders>
              <w:top w:val="nil"/>
              <w:left w:val="nil"/>
              <w:right w:val="nil"/>
            </w:tcBorders>
            <w:shd w:val="clear" w:color="auto" w:fill="auto"/>
            <w:noWrap/>
            <w:vAlign w:val="center"/>
            <w:hideMark/>
          </w:tcPr>
          <w:p w14:paraId="28C873D4" w14:textId="77777777" w:rsidR="006220A2" w:rsidRPr="00FF5498" w:rsidRDefault="006220A2" w:rsidP="00852114">
            <w:pPr>
              <w:jc w:val="center"/>
              <w:rPr>
                <w:rFonts w:eastAsia="Times New Roman"/>
                <w:sz w:val="18"/>
                <w:szCs w:val="18"/>
              </w:rPr>
            </w:pPr>
            <w:r w:rsidRPr="00FF5498">
              <w:rPr>
                <w:rFonts w:eastAsia="Times New Roman"/>
                <w:sz w:val="18"/>
                <w:szCs w:val="18"/>
                <w:lang w:val="en-US"/>
              </w:rPr>
              <w:t>2023</w:t>
            </w:r>
          </w:p>
        </w:tc>
      </w:tr>
      <w:tr w:rsidR="006220A2" w:rsidRPr="0090066F" w14:paraId="677CD275" w14:textId="77777777" w:rsidTr="00A75530">
        <w:trPr>
          <w:trHeight w:val="238"/>
          <w:jc w:val="center"/>
        </w:trPr>
        <w:tc>
          <w:tcPr>
            <w:tcW w:w="1134" w:type="dxa"/>
            <w:tcBorders>
              <w:top w:val="nil"/>
              <w:left w:val="nil"/>
              <w:right w:val="nil"/>
            </w:tcBorders>
            <w:shd w:val="clear" w:color="auto" w:fill="auto"/>
            <w:noWrap/>
            <w:vAlign w:val="center"/>
            <w:hideMark/>
          </w:tcPr>
          <w:p w14:paraId="67238B1E" w14:textId="77777777" w:rsidR="006220A2" w:rsidRPr="00FF5498" w:rsidRDefault="006220A2" w:rsidP="00852114">
            <w:pPr>
              <w:jc w:val="center"/>
              <w:rPr>
                <w:sz w:val="18"/>
                <w:szCs w:val="18"/>
              </w:rPr>
            </w:pPr>
            <w:r w:rsidRPr="00FF5498">
              <w:rPr>
                <w:sz w:val="18"/>
                <w:szCs w:val="18"/>
              </w:rPr>
              <w:t>2016</w:t>
            </w:r>
          </w:p>
        </w:tc>
        <w:tc>
          <w:tcPr>
            <w:tcW w:w="2804" w:type="dxa"/>
            <w:tcBorders>
              <w:top w:val="nil"/>
              <w:left w:val="nil"/>
              <w:right w:val="nil"/>
            </w:tcBorders>
            <w:shd w:val="clear" w:color="auto" w:fill="auto"/>
            <w:noWrap/>
            <w:vAlign w:val="center"/>
            <w:hideMark/>
          </w:tcPr>
          <w:p w14:paraId="599CFE2D" w14:textId="77777777" w:rsidR="006220A2" w:rsidRPr="00FF5498" w:rsidRDefault="006220A2" w:rsidP="00852114">
            <w:pPr>
              <w:rPr>
                <w:sz w:val="18"/>
                <w:szCs w:val="18"/>
              </w:rPr>
            </w:pPr>
            <w:r w:rsidRPr="00FF5498">
              <w:rPr>
                <w:sz w:val="18"/>
                <w:szCs w:val="18"/>
              </w:rPr>
              <w:t>Deducción por inversión</w:t>
            </w:r>
          </w:p>
        </w:tc>
        <w:tc>
          <w:tcPr>
            <w:tcW w:w="0" w:type="auto"/>
            <w:tcBorders>
              <w:top w:val="nil"/>
              <w:left w:val="nil"/>
              <w:right w:val="nil"/>
            </w:tcBorders>
            <w:shd w:val="clear" w:color="auto" w:fill="auto"/>
            <w:noWrap/>
            <w:vAlign w:val="center"/>
            <w:hideMark/>
          </w:tcPr>
          <w:p w14:paraId="76CFDCFC" w14:textId="77777777" w:rsidR="006220A2" w:rsidRPr="00FF5498" w:rsidRDefault="006220A2" w:rsidP="00852114">
            <w:pPr>
              <w:jc w:val="right"/>
              <w:rPr>
                <w:sz w:val="18"/>
                <w:szCs w:val="18"/>
              </w:rPr>
            </w:pPr>
            <w:r w:rsidRPr="00FF5498">
              <w:rPr>
                <w:sz w:val="18"/>
                <w:szCs w:val="18"/>
              </w:rPr>
              <w:t>2.331,13</w:t>
            </w:r>
          </w:p>
        </w:tc>
        <w:tc>
          <w:tcPr>
            <w:tcW w:w="0" w:type="auto"/>
            <w:tcBorders>
              <w:top w:val="nil"/>
              <w:left w:val="nil"/>
              <w:right w:val="nil"/>
            </w:tcBorders>
            <w:shd w:val="clear" w:color="auto" w:fill="auto"/>
            <w:noWrap/>
            <w:vAlign w:val="center"/>
            <w:hideMark/>
          </w:tcPr>
          <w:p w14:paraId="1F5DAB2E" w14:textId="77777777" w:rsidR="006220A2" w:rsidRPr="00FF5498" w:rsidRDefault="006220A2" w:rsidP="00852114">
            <w:pPr>
              <w:jc w:val="center"/>
              <w:rPr>
                <w:rFonts w:eastAsia="Times New Roman"/>
                <w:sz w:val="18"/>
                <w:szCs w:val="18"/>
              </w:rPr>
            </w:pPr>
            <w:r w:rsidRPr="00FF5498">
              <w:rPr>
                <w:rFonts w:eastAsia="Times New Roman"/>
                <w:sz w:val="18"/>
                <w:szCs w:val="18"/>
                <w:lang w:val="en-US"/>
              </w:rPr>
              <w:t>2031</w:t>
            </w:r>
          </w:p>
        </w:tc>
      </w:tr>
      <w:tr w:rsidR="006220A2" w:rsidRPr="0090066F" w14:paraId="665FEE62" w14:textId="77777777" w:rsidTr="00A75530">
        <w:trPr>
          <w:trHeight w:val="238"/>
          <w:jc w:val="center"/>
        </w:trPr>
        <w:tc>
          <w:tcPr>
            <w:tcW w:w="1134" w:type="dxa"/>
            <w:tcBorders>
              <w:left w:val="nil"/>
              <w:right w:val="nil"/>
            </w:tcBorders>
            <w:shd w:val="clear" w:color="auto" w:fill="auto"/>
            <w:noWrap/>
            <w:vAlign w:val="center"/>
          </w:tcPr>
          <w:p w14:paraId="3AA2CF09" w14:textId="77777777" w:rsidR="006220A2" w:rsidRPr="00FF5498" w:rsidRDefault="006220A2" w:rsidP="00852114">
            <w:pPr>
              <w:jc w:val="center"/>
              <w:rPr>
                <w:sz w:val="18"/>
                <w:szCs w:val="18"/>
              </w:rPr>
            </w:pPr>
            <w:r w:rsidRPr="00FF5498">
              <w:rPr>
                <w:sz w:val="18"/>
                <w:szCs w:val="18"/>
              </w:rPr>
              <w:t>2017</w:t>
            </w:r>
          </w:p>
        </w:tc>
        <w:tc>
          <w:tcPr>
            <w:tcW w:w="2804" w:type="dxa"/>
            <w:tcBorders>
              <w:left w:val="nil"/>
              <w:right w:val="nil"/>
            </w:tcBorders>
            <w:shd w:val="clear" w:color="auto" w:fill="auto"/>
            <w:noWrap/>
            <w:vAlign w:val="center"/>
          </w:tcPr>
          <w:p w14:paraId="12ED61C4" w14:textId="77777777" w:rsidR="006220A2" w:rsidRPr="00FF5498" w:rsidRDefault="006220A2" w:rsidP="00852114">
            <w:pPr>
              <w:rPr>
                <w:sz w:val="18"/>
                <w:szCs w:val="18"/>
              </w:rPr>
            </w:pPr>
            <w:r w:rsidRPr="00FF5498">
              <w:rPr>
                <w:sz w:val="18"/>
                <w:szCs w:val="18"/>
              </w:rPr>
              <w:t>Deducción por inversión</w:t>
            </w:r>
          </w:p>
        </w:tc>
        <w:tc>
          <w:tcPr>
            <w:tcW w:w="0" w:type="auto"/>
            <w:tcBorders>
              <w:left w:val="nil"/>
              <w:right w:val="nil"/>
            </w:tcBorders>
            <w:shd w:val="clear" w:color="auto" w:fill="auto"/>
            <w:noWrap/>
            <w:vAlign w:val="center"/>
          </w:tcPr>
          <w:p w14:paraId="37CC5958" w14:textId="77777777" w:rsidR="006220A2" w:rsidRPr="00FF5498" w:rsidRDefault="006220A2" w:rsidP="00852114">
            <w:pPr>
              <w:jc w:val="right"/>
              <w:rPr>
                <w:sz w:val="18"/>
                <w:szCs w:val="18"/>
              </w:rPr>
            </w:pPr>
            <w:r w:rsidRPr="00FF5498">
              <w:rPr>
                <w:sz w:val="18"/>
                <w:szCs w:val="18"/>
              </w:rPr>
              <w:t>4.501,76</w:t>
            </w:r>
          </w:p>
        </w:tc>
        <w:tc>
          <w:tcPr>
            <w:tcW w:w="0" w:type="auto"/>
            <w:tcBorders>
              <w:left w:val="nil"/>
              <w:right w:val="nil"/>
            </w:tcBorders>
            <w:shd w:val="clear" w:color="auto" w:fill="auto"/>
            <w:noWrap/>
            <w:vAlign w:val="center"/>
          </w:tcPr>
          <w:p w14:paraId="358C6733" w14:textId="77777777" w:rsidR="006220A2" w:rsidRPr="00FF5498" w:rsidRDefault="006220A2" w:rsidP="00852114">
            <w:pPr>
              <w:jc w:val="center"/>
              <w:rPr>
                <w:rFonts w:eastAsia="Times New Roman"/>
                <w:bCs/>
                <w:sz w:val="18"/>
                <w:szCs w:val="18"/>
                <w:lang w:val="en-US"/>
              </w:rPr>
            </w:pPr>
            <w:r w:rsidRPr="00FF5498">
              <w:rPr>
                <w:rFonts w:eastAsia="Times New Roman"/>
                <w:bCs/>
                <w:sz w:val="18"/>
                <w:szCs w:val="18"/>
                <w:lang w:val="en-US"/>
              </w:rPr>
              <w:t>2032</w:t>
            </w:r>
          </w:p>
        </w:tc>
      </w:tr>
      <w:tr w:rsidR="003A50C9" w:rsidRPr="0090066F" w14:paraId="022F8BC4" w14:textId="77777777" w:rsidTr="00A75530">
        <w:trPr>
          <w:trHeight w:val="238"/>
          <w:jc w:val="center"/>
        </w:trPr>
        <w:tc>
          <w:tcPr>
            <w:tcW w:w="1134" w:type="dxa"/>
            <w:tcBorders>
              <w:top w:val="nil"/>
              <w:left w:val="nil"/>
              <w:bottom w:val="single" w:sz="4" w:space="0" w:color="auto"/>
              <w:right w:val="nil"/>
            </w:tcBorders>
            <w:shd w:val="clear" w:color="auto" w:fill="auto"/>
            <w:noWrap/>
            <w:vAlign w:val="center"/>
          </w:tcPr>
          <w:p w14:paraId="09492429" w14:textId="77777777" w:rsidR="003A50C9" w:rsidRPr="0063724F" w:rsidRDefault="003A50C9" w:rsidP="00852114">
            <w:pPr>
              <w:jc w:val="center"/>
              <w:rPr>
                <w:rFonts w:eastAsia="Times New Roman"/>
                <w:bCs/>
                <w:sz w:val="18"/>
                <w:szCs w:val="18"/>
                <w:lang w:val="en-US"/>
              </w:rPr>
            </w:pPr>
            <w:r w:rsidRPr="0063724F">
              <w:rPr>
                <w:rFonts w:eastAsia="Times New Roman"/>
                <w:bCs/>
                <w:sz w:val="18"/>
                <w:szCs w:val="18"/>
                <w:lang w:val="en-US"/>
              </w:rPr>
              <w:t>2018</w:t>
            </w:r>
          </w:p>
        </w:tc>
        <w:tc>
          <w:tcPr>
            <w:tcW w:w="2804" w:type="dxa"/>
            <w:tcBorders>
              <w:top w:val="nil"/>
              <w:left w:val="nil"/>
              <w:bottom w:val="single" w:sz="4" w:space="0" w:color="auto"/>
              <w:right w:val="nil"/>
            </w:tcBorders>
            <w:shd w:val="clear" w:color="auto" w:fill="auto"/>
            <w:noWrap/>
            <w:vAlign w:val="center"/>
          </w:tcPr>
          <w:p w14:paraId="55FCE45A" w14:textId="77777777" w:rsidR="003A50C9" w:rsidRPr="0063724F" w:rsidRDefault="003A50C9" w:rsidP="00852114">
            <w:pPr>
              <w:rPr>
                <w:rFonts w:eastAsia="Times New Roman"/>
                <w:bCs/>
                <w:sz w:val="18"/>
                <w:szCs w:val="18"/>
                <w:lang w:val="en-US"/>
              </w:rPr>
            </w:pPr>
            <w:r w:rsidRPr="0063724F">
              <w:rPr>
                <w:rFonts w:eastAsia="Times New Roman"/>
                <w:bCs/>
                <w:sz w:val="18"/>
                <w:szCs w:val="18"/>
                <w:lang w:val="en-US"/>
              </w:rPr>
              <w:t>Deducción por inversión</w:t>
            </w:r>
          </w:p>
        </w:tc>
        <w:tc>
          <w:tcPr>
            <w:tcW w:w="0" w:type="auto"/>
            <w:tcBorders>
              <w:top w:val="nil"/>
              <w:left w:val="nil"/>
              <w:bottom w:val="single" w:sz="4" w:space="0" w:color="auto"/>
              <w:right w:val="nil"/>
            </w:tcBorders>
            <w:shd w:val="clear" w:color="auto" w:fill="auto"/>
            <w:noWrap/>
            <w:vAlign w:val="center"/>
          </w:tcPr>
          <w:p w14:paraId="61D13805" w14:textId="77777777" w:rsidR="003A50C9" w:rsidRPr="0063724F" w:rsidRDefault="003A50C9" w:rsidP="00852114">
            <w:pPr>
              <w:jc w:val="right"/>
              <w:rPr>
                <w:bCs/>
                <w:sz w:val="18"/>
                <w:szCs w:val="18"/>
              </w:rPr>
            </w:pPr>
            <w:r w:rsidRPr="0063724F">
              <w:rPr>
                <w:bCs/>
                <w:sz w:val="18"/>
                <w:szCs w:val="18"/>
              </w:rPr>
              <w:t>6.566,13</w:t>
            </w:r>
          </w:p>
        </w:tc>
        <w:tc>
          <w:tcPr>
            <w:tcW w:w="0" w:type="auto"/>
            <w:tcBorders>
              <w:top w:val="nil"/>
              <w:left w:val="nil"/>
              <w:bottom w:val="single" w:sz="4" w:space="0" w:color="auto"/>
              <w:right w:val="nil"/>
            </w:tcBorders>
            <w:shd w:val="clear" w:color="auto" w:fill="auto"/>
            <w:noWrap/>
            <w:vAlign w:val="center"/>
          </w:tcPr>
          <w:p w14:paraId="325F042A" w14:textId="77777777" w:rsidR="003A50C9" w:rsidRPr="0063724F" w:rsidRDefault="003A50C9" w:rsidP="00852114">
            <w:pPr>
              <w:jc w:val="center"/>
              <w:rPr>
                <w:rFonts w:eastAsia="Times New Roman"/>
                <w:bCs/>
                <w:sz w:val="18"/>
                <w:szCs w:val="18"/>
                <w:lang w:val="en-US"/>
              </w:rPr>
            </w:pPr>
            <w:r w:rsidRPr="0063724F">
              <w:rPr>
                <w:rFonts w:eastAsia="Times New Roman"/>
                <w:bCs/>
                <w:sz w:val="18"/>
                <w:szCs w:val="18"/>
                <w:lang w:val="en-US"/>
              </w:rPr>
              <w:t>2033</w:t>
            </w:r>
          </w:p>
        </w:tc>
      </w:tr>
      <w:tr w:rsidR="006220A2" w:rsidRPr="0090066F" w14:paraId="272F843D" w14:textId="77777777" w:rsidTr="00A75530">
        <w:trPr>
          <w:trHeight w:val="238"/>
          <w:jc w:val="center"/>
        </w:trPr>
        <w:tc>
          <w:tcPr>
            <w:tcW w:w="1134" w:type="dxa"/>
            <w:tcBorders>
              <w:top w:val="nil"/>
              <w:left w:val="nil"/>
              <w:bottom w:val="single" w:sz="4" w:space="0" w:color="auto"/>
              <w:right w:val="nil"/>
            </w:tcBorders>
            <w:shd w:val="clear" w:color="auto" w:fill="auto"/>
            <w:noWrap/>
            <w:vAlign w:val="center"/>
            <w:hideMark/>
          </w:tcPr>
          <w:p w14:paraId="75117CC5" w14:textId="77777777" w:rsidR="006220A2" w:rsidRPr="0063724F" w:rsidRDefault="006220A2" w:rsidP="00852114">
            <w:pPr>
              <w:jc w:val="center"/>
              <w:rPr>
                <w:rFonts w:eastAsia="Times New Roman"/>
                <w:b/>
                <w:bCs/>
                <w:sz w:val="18"/>
                <w:szCs w:val="18"/>
              </w:rPr>
            </w:pPr>
            <w:r w:rsidRPr="0063724F">
              <w:rPr>
                <w:rFonts w:eastAsia="Times New Roman"/>
                <w:b/>
                <w:bCs/>
                <w:sz w:val="18"/>
                <w:szCs w:val="18"/>
                <w:lang w:val="en-US"/>
              </w:rPr>
              <w:t>Total </w:t>
            </w:r>
          </w:p>
        </w:tc>
        <w:tc>
          <w:tcPr>
            <w:tcW w:w="2804" w:type="dxa"/>
            <w:tcBorders>
              <w:top w:val="nil"/>
              <w:left w:val="nil"/>
              <w:bottom w:val="single" w:sz="4" w:space="0" w:color="auto"/>
              <w:right w:val="nil"/>
            </w:tcBorders>
            <w:shd w:val="clear" w:color="auto" w:fill="auto"/>
            <w:noWrap/>
            <w:vAlign w:val="center"/>
            <w:hideMark/>
          </w:tcPr>
          <w:p w14:paraId="3AEC95F8" w14:textId="77777777" w:rsidR="006220A2" w:rsidRPr="0063724F" w:rsidRDefault="006220A2" w:rsidP="00852114">
            <w:pPr>
              <w:rPr>
                <w:rFonts w:eastAsia="Times New Roman"/>
                <w:b/>
                <w:bCs/>
                <w:sz w:val="18"/>
                <w:szCs w:val="18"/>
              </w:rPr>
            </w:pPr>
            <w:r w:rsidRPr="0063724F">
              <w:rPr>
                <w:rFonts w:eastAsia="Times New Roman"/>
                <w:b/>
                <w:bCs/>
                <w:sz w:val="18"/>
                <w:szCs w:val="18"/>
                <w:lang w:val="en-US"/>
              </w:rPr>
              <w:t> </w:t>
            </w:r>
          </w:p>
        </w:tc>
        <w:tc>
          <w:tcPr>
            <w:tcW w:w="0" w:type="auto"/>
            <w:tcBorders>
              <w:top w:val="nil"/>
              <w:left w:val="nil"/>
              <w:bottom w:val="single" w:sz="4" w:space="0" w:color="auto"/>
              <w:right w:val="nil"/>
            </w:tcBorders>
            <w:shd w:val="clear" w:color="auto" w:fill="auto"/>
            <w:noWrap/>
            <w:vAlign w:val="center"/>
            <w:hideMark/>
          </w:tcPr>
          <w:p w14:paraId="21421400" w14:textId="77777777" w:rsidR="006220A2" w:rsidRPr="0063724F" w:rsidRDefault="003A50C9" w:rsidP="00852114">
            <w:pPr>
              <w:jc w:val="right"/>
              <w:rPr>
                <w:b/>
                <w:bCs/>
                <w:sz w:val="18"/>
                <w:szCs w:val="18"/>
              </w:rPr>
            </w:pPr>
            <w:r w:rsidRPr="0063724F">
              <w:rPr>
                <w:b/>
                <w:bCs/>
                <w:sz w:val="18"/>
                <w:szCs w:val="18"/>
              </w:rPr>
              <w:t>14.769,86</w:t>
            </w:r>
          </w:p>
        </w:tc>
        <w:tc>
          <w:tcPr>
            <w:tcW w:w="0" w:type="auto"/>
            <w:tcBorders>
              <w:top w:val="nil"/>
              <w:left w:val="nil"/>
              <w:bottom w:val="single" w:sz="4" w:space="0" w:color="auto"/>
              <w:right w:val="nil"/>
            </w:tcBorders>
            <w:shd w:val="clear" w:color="auto" w:fill="auto"/>
            <w:noWrap/>
            <w:vAlign w:val="center"/>
            <w:hideMark/>
          </w:tcPr>
          <w:p w14:paraId="7F0613B8" w14:textId="77777777" w:rsidR="006220A2" w:rsidRPr="0063724F" w:rsidRDefault="006220A2" w:rsidP="00852114">
            <w:pPr>
              <w:jc w:val="center"/>
              <w:rPr>
                <w:rFonts w:eastAsia="Times New Roman"/>
                <w:b/>
                <w:bCs/>
                <w:sz w:val="18"/>
                <w:szCs w:val="18"/>
              </w:rPr>
            </w:pPr>
            <w:r w:rsidRPr="0063724F">
              <w:rPr>
                <w:rFonts w:eastAsia="Times New Roman"/>
                <w:b/>
                <w:bCs/>
                <w:sz w:val="18"/>
                <w:szCs w:val="18"/>
                <w:lang w:val="en-US"/>
              </w:rPr>
              <w:t> </w:t>
            </w:r>
          </w:p>
        </w:tc>
      </w:tr>
    </w:tbl>
    <w:p w14:paraId="64F0DE84" w14:textId="77777777" w:rsidR="006220A2" w:rsidRPr="0068424E" w:rsidRDefault="006220A2" w:rsidP="006220A2">
      <w:pPr>
        <w:widowControl w:val="0"/>
        <w:spacing w:before="200"/>
        <w:jc w:val="both"/>
        <w:rPr>
          <w:sz w:val="20"/>
          <w:szCs w:val="22"/>
        </w:rPr>
      </w:pPr>
      <w:r w:rsidRPr="0068424E">
        <w:rPr>
          <w:sz w:val="20"/>
          <w:szCs w:val="22"/>
        </w:rPr>
        <w:t>Los activos en los que se aplica deducción por inversión en activos fijos materiales nuevos deben permanecer en funcionamiento en la empresa durante 5 años o durante su vida útil conforme a la amortización fiscal si ésta fuera inferior.</w:t>
      </w:r>
    </w:p>
    <w:p w14:paraId="07955D4D" w14:textId="77777777" w:rsidR="006220A2" w:rsidRDefault="006220A2" w:rsidP="006220A2">
      <w:pPr>
        <w:widowControl w:val="0"/>
        <w:spacing w:before="120" w:after="120"/>
        <w:jc w:val="both"/>
        <w:rPr>
          <w:sz w:val="20"/>
          <w:szCs w:val="22"/>
        </w:rPr>
      </w:pPr>
      <w:r w:rsidRPr="0068424E">
        <w:rPr>
          <w:sz w:val="20"/>
          <w:szCs w:val="22"/>
        </w:rPr>
        <w:t>La Sociedad incurrió en el pasado en pérdidas fiscales, de las cuáles quedan pendientes de compensar las siguientes:</w:t>
      </w:r>
    </w:p>
    <w:tbl>
      <w:tblPr>
        <w:tblW w:w="6804" w:type="dxa"/>
        <w:jc w:val="center"/>
        <w:tblCellMar>
          <w:left w:w="70" w:type="dxa"/>
          <w:right w:w="70" w:type="dxa"/>
        </w:tblCellMar>
        <w:tblLook w:val="04A0" w:firstRow="1" w:lastRow="0" w:firstColumn="1" w:lastColumn="0" w:noHBand="0" w:noVBand="1"/>
      </w:tblPr>
      <w:tblGrid>
        <w:gridCol w:w="2404"/>
        <w:gridCol w:w="2379"/>
        <w:gridCol w:w="2021"/>
      </w:tblGrid>
      <w:tr w:rsidR="006220A2" w:rsidRPr="0098694D" w14:paraId="36480B55" w14:textId="77777777" w:rsidTr="0098694D">
        <w:trPr>
          <w:trHeight w:val="240"/>
          <w:jc w:val="center"/>
        </w:trPr>
        <w:tc>
          <w:tcPr>
            <w:tcW w:w="2404" w:type="dxa"/>
            <w:tcBorders>
              <w:top w:val="single" w:sz="4" w:space="0" w:color="auto"/>
              <w:left w:val="nil"/>
              <w:bottom w:val="single" w:sz="4" w:space="0" w:color="auto"/>
              <w:right w:val="nil"/>
            </w:tcBorders>
            <w:shd w:val="clear" w:color="auto" w:fill="auto"/>
            <w:noWrap/>
            <w:vAlign w:val="bottom"/>
            <w:hideMark/>
          </w:tcPr>
          <w:p w14:paraId="0829034E" w14:textId="77777777" w:rsidR="006220A2" w:rsidRPr="0098694D" w:rsidRDefault="006220A2" w:rsidP="00852114">
            <w:pPr>
              <w:jc w:val="center"/>
              <w:rPr>
                <w:rFonts w:eastAsia="Times New Roman"/>
                <w:b/>
                <w:bCs/>
                <w:sz w:val="18"/>
                <w:szCs w:val="18"/>
              </w:rPr>
            </w:pPr>
            <w:r w:rsidRPr="0098694D">
              <w:rPr>
                <w:rFonts w:eastAsia="Times New Roman"/>
                <w:b/>
                <w:bCs/>
                <w:sz w:val="18"/>
                <w:szCs w:val="18"/>
              </w:rPr>
              <w:t>Año</w:t>
            </w:r>
          </w:p>
        </w:tc>
        <w:tc>
          <w:tcPr>
            <w:tcW w:w="2379" w:type="dxa"/>
            <w:tcBorders>
              <w:top w:val="single" w:sz="4" w:space="0" w:color="auto"/>
              <w:left w:val="nil"/>
              <w:bottom w:val="single" w:sz="4" w:space="0" w:color="auto"/>
              <w:right w:val="nil"/>
            </w:tcBorders>
            <w:shd w:val="clear" w:color="auto" w:fill="auto"/>
            <w:noWrap/>
            <w:vAlign w:val="bottom"/>
            <w:hideMark/>
          </w:tcPr>
          <w:p w14:paraId="287080E2" w14:textId="77777777" w:rsidR="006220A2" w:rsidRPr="0098694D" w:rsidRDefault="006220A2" w:rsidP="00852114">
            <w:pPr>
              <w:jc w:val="center"/>
              <w:rPr>
                <w:rFonts w:eastAsia="Times New Roman"/>
                <w:b/>
                <w:bCs/>
                <w:sz w:val="18"/>
                <w:szCs w:val="18"/>
              </w:rPr>
            </w:pPr>
            <w:r w:rsidRPr="0098694D">
              <w:rPr>
                <w:rFonts w:eastAsia="Times New Roman"/>
                <w:b/>
                <w:bCs/>
                <w:sz w:val="18"/>
                <w:szCs w:val="18"/>
              </w:rPr>
              <w:t>Concepto</w:t>
            </w:r>
          </w:p>
        </w:tc>
        <w:tc>
          <w:tcPr>
            <w:tcW w:w="2021" w:type="dxa"/>
            <w:tcBorders>
              <w:top w:val="single" w:sz="4" w:space="0" w:color="auto"/>
              <w:left w:val="nil"/>
              <w:bottom w:val="single" w:sz="4" w:space="0" w:color="auto"/>
              <w:right w:val="nil"/>
            </w:tcBorders>
            <w:shd w:val="clear" w:color="auto" w:fill="auto"/>
            <w:noWrap/>
            <w:vAlign w:val="bottom"/>
            <w:hideMark/>
          </w:tcPr>
          <w:p w14:paraId="7F0D24C1" w14:textId="77777777" w:rsidR="006220A2" w:rsidRPr="0098694D" w:rsidRDefault="006220A2" w:rsidP="00852114">
            <w:pPr>
              <w:jc w:val="center"/>
              <w:rPr>
                <w:rFonts w:eastAsia="Times New Roman"/>
                <w:b/>
                <w:bCs/>
                <w:sz w:val="18"/>
                <w:szCs w:val="18"/>
              </w:rPr>
            </w:pPr>
            <w:r w:rsidRPr="0098694D">
              <w:rPr>
                <w:rFonts w:eastAsia="Times New Roman"/>
                <w:b/>
                <w:bCs/>
                <w:sz w:val="18"/>
                <w:szCs w:val="18"/>
              </w:rPr>
              <w:t>Euros</w:t>
            </w:r>
          </w:p>
        </w:tc>
      </w:tr>
      <w:tr w:rsidR="006220A2" w:rsidRPr="0098694D" w14:paraId="08D1737A" w14:textId="77777777" w:rsidTr="0098694D">
        <w:trPr>
          <w:trHeight w:val="240"/>
          <w:jc w:val="center"/>
        </w:trPr>
        <w:tc>
          <w:tcPr>
            <w:tcW w:w="2404" w:type="dxa"/>
            <w:tcBorders>
              <w:top w:val="nil"/>
              <w:left w:val="nil"/>
              <w:bottom w:val="nil"/>
              <w:right w:val="nil"/>
            </w:tcBorders>
            <w:shd w:val="clear" w:color="auto" w:fill="auto"/>
            <w:noWrap/>
            <w:vAlign w:val="center"/>
            <w:hideMark/>
          </w:tcPr>
          <w:p w14:paraId="04E7823E" w14:textId="77777777" w:rsidR="006220A2" w:rsidRPr="0098694D" w:rsidRDefault="006220A2" w:rsidP="00852114">
            <w:pPr>
              <w:jc w:val="center"/>
              <w:rPr>
                <w:rFonts w:eastAsia="Times New Roman"/>
                <w:sz w:val="18"/>
                <w:szCs w:val="18"/>
              </w:rPr>
            </w:pPr>
            <w:r w:rsidRPr="0098694D">
              <w:rPr>
                <w:rFonts w:eastAsia="Times New Roman"/>
                <w:sz w:val="18"/>
                <w:szCs w:val="18"/>
              </w:rPr>
              <w:t>2009</w:t>
            </w:r>
          </w:p>
        </w:tc>
        <w:tc>
          <w:tcPr>
            <w:tcW w:w="2379" w:type="dxa"/>
            <w:tcBorders>
              <w:top w:val="nil"/>
              <w:left w:val="nil"/>
              <w:bottom w:val="nil"/>
              <w:right w:val="nil"/>
            </w:tcBorders>
            <w:shd w:val="clear" w:color="auto" w:fill="auto"/>
            <w:noWrap/>
            <w:vAlign w:val="center"/>
            <w:hideMark/>
          </w:tcPr>
          <w:p w14:paraId="407C2724" w14:textId="77777777" w:rsidR="006220A2" w:rsidRPr="0098694D" w:rsidRDefault="006220A2" w:rsidP="00852114">
            <w:pPr>
              <w:rPr>
                <w:rFonts w:eastAsia="Times New Roman"/>
                <w:sz w:val="18"/>
                <w:szCs w:val="18"/>
              </w:rPr>
            </w:pPr>
            <w:r w:rsidRPr="0098694D">
              <w:rPr>
                <w:rFonts w:eastAsia="Times New Roman"/>
                <w:sz w:val="18"/>
                <w:szCs w:val="18"/>
              </w:rPr>
              <w:t>Base imponible negativa</w:t>
            </w:r>
          </w:p>
        </w:tc>
        <w:tc>
          <w:tcPr>
            <w:tcW w:w="2021" w:type="dxa"/>
            <w:tcBorders>
              <w:top w:val="nil"/>
              <w:left w:val="nil"/>
              <w:bottom w:val="nil"/>
              <w:right w:val="nil"/>
            </w:tcBorders>
            <w:shd w:val="clear" w:color="auto" w:fill="auto"/>
            <w:noWrap/>
            <w:vAlign w:val="center"/>
            <w:hideMark/>
          </w:tcPr>
          <w:p w14:paraId="75F666C4" w14:textId="77777777" w:rsidR="006220A2" w:rsidRPr="0098694D" w:rsidRDefault="006220A2" w:rsidP="00852114">
            <w:pPr>
              <w:jc w:val="right"/>
              <w:rPr>
                <w:rFonts w:eastAsia="Times New Roman"/>
                <w:sz w:val="18"/>
                <w:szCs w:val="18"/>
              </w:rPr>
            </w:pPr>
            <w:r w:rsidRPr="0098694D">
              <w:rPr>
                <w:rFonts w:eastAsia="Times New Roman"/>
                <w:sz w:val="18"/>
                <w:szCs w:val="18"/>
              </w:rPr>
              <w:t>1.257.754,99</w:t>
            </w:r>
          </w:p>
        </w:tc>
      </w:tr>
      <w:tr w:rsidR="006220A2" w:rsidRPr="0098694D" w14:paraId="50379D91" w14:textId="77777777" w:rsidTr="0098694D">
        <w:trPr>
          <w:trHeight w:val="240"/>
          <w:jc w:val="center"/>
        </w:trPr>
        <w:tc>
          <w:tcPr>
            <w:tcW w:w="2404" w:type="dxa"/>
            <w:tcBorders>
              <w:top w:val="nil"/>
              <w:left w:val="nil"/>
              <w:bottom w:val="nil"/>
              <w:right w:val="nil"/>
            </w:tcBorders>
            <w:shd w:val="clear" w:color="auto" w:fill="auto"/>
            <w:noWrap/>
            <w:vAlign w:val="center"/>
            <w:hideMark/>
          </w:tcPr>
          <w:p w14:paraId="6647D5FA" w14:textId="77777777" w:rsidR="006220A2" w:rsidRPr="0098694D" w:rsidRDefault="006220A2" w:rsidP="00852114">
            <w:pPr>
              <w:jc w:val="center"/>
              <w:rPr>
                <w:rFonts w:eastAsia="Times New Roman"/>
                <w:sz w:val="18"/>
                <w:szCs w:val="18"/>
              </w:rPr>
            </w:pPr>
            <w:r w:rsidRPr="0098694D">
              <w:rPr>
                <w:rFonts w:eastAsia="Times New Roman"/>
                <w:sz w:val="18"/>
                <w:szCs w:val="18"/>
              </w:rPr>
              <w:t>2010</w:t>
            </w:r>
          </w:p>
        </w:tc>
        <w:tc>
          <w:tcPr>
            <w:tcW w:w="2379" w:type="dxa"/>
            <w:tcBorders>
              <w:top w:val="nil"/>
              <w:left w:val="nil"/>
              <w:bottom w:val="nil"/>
              <w:right w:val="nil"/>
            </w:tcBorders>
            <w:shd w:val="clear" w:color="auto" w:fill="auto"/>
            <w:noWrap/>
            <w:vAlign w:val="center"/>
            <w:hideMark/>
          </w:tcPr>
          <w:p w14:paraId="6CE8BCAC" w14:textId="77777777" w:rsidR="006220A2" w:rsidRPr="0098694D" w:rsidRDefault="006220A2" w:rsidP="00852114">
            <w:pPr>
              <w:rPr>
                <w:rFonts w:eastAsia="Times New Roman"/>
                <w:sz w:val="18"/>
                <w:szCs w:val="18"/>
              </w:rPr>
            </w:pPr>
            <w:r w:rsidRPr="0098694D">
              <w:rPr>
                <w:rFonts w:eastAsia="Times New Roman"/>
                <w:sz w:val="18"/>
                <w:szCs w:val="18"/>
              </w:rPr>
              <w:t>Base imponible negativa</w:t>
            </w:r>
          </w:p>
        </w:tc>
        <w:tc>
          <w:tcPr>
            <w:tcW w:w="2021" w:type="dxa"/>
            <w:tcBorders>
              <w:top w:val="nil"/>
              <w:left w:val="nil"/>
              <w:bottom w:val="nil"/>
              <w:right w:val="nil"/>
            </w:tcBorders>
            <w:shd w:val="clear" w:color="auto" w:fill="auto"/>
            <w:noWrap/>
            <w:vAlign w:val="center"/>
            <w:hideMark/>
          </w:tcPr>
          <w:p w14:paraId="379AFF0E" w14:textId="77777777" w:rsidR="006220A2" w:rsidRPr="0098694D" w:rsidRDefault="006220A2" w:rsidP="00852114">
            <w:pPr>
              <w:jc w:val="right"/>
              <w:rPr>
                <w:rFonts w:eastAsia="Times New Roman"/>
                <w:sz w:val="18"/>
                <w:szCs w:val="18"/>
              </w:rPr>
            </w:pPr>
            <w:r w:rsidRPr="0098694D">
              <w:rPr>
                <w:rFonts w:eastAsia="Times New Roman"/>
                <w:sz w:val="18"/>
                <w:szCs w:val="18"/>
              </w:rPr>
              <w:t>2.083.833,07</w:t>
            </w:r>
          </w:p>
        </w:tc>
      </w:tr>
      <w:tr w:rsidR="006220A2" w:rsidRPr="0098694D" w14:paraId="0B3DEB4B" w14:textId="77777777" w:rsidTr="0098694D">
        <w:trPr>
          <w:trHeight w:val="240"/>
          <w:jc w:val="center"/>
        </w:trPr>
        <w:tc>
          <w:tcPr>
            <w:tcW w:w="2404" w:type="dxa"/>
            <w:tcBorders>
              <w:top w:val="nil"/>
              <w:left w:val="nil"/>
              <w:bottom w:val="nil"/>
              <w:right w:val="nil"/>
            </w:tcBorders>
            <w:shd w:val="clear" w:color="auto" w:fill="auto"/>
            <w:noWrap/>
            <w:vAlign w:val="center"/>
            <w:hideMark/>
          </w:tcPr>
          <w:p w14:paraId="00A4A995" w14:textId="77777777" w:rsidR="006220A2" w:rsidRPr="0098694D" w:rsidRDefault="006220A2" w:rsidP="00852114">
            <w:pPr>
              <w:jc w:val="center"/>
              <w:rPr>
                <w:rFonts w:eastAsia="Times New Roman"/>
                <w:sz w:val="18"/>
                <w:szCs w:val="18"/>
              </w:rPr>
            </w:pPr>
            <w:r w:rsidRPr="0098694D">
              <w:rPr>
                <w:rFonts w:eastAsia="Times New Roman"/>
                <w:sz w:val="18"/>
                <w:szCs w:val="18"/>
              </w:rPr>
              <w:t>2011</w:t>
            </w:r>
          </w:p>
        </w:tc>
        <w:tc>
          <w:tcPr>
            <w:tcW w:w="2379" w:type="dxa"/>
            <w:tcBorders>
              <w:top w:val="nil"/>
              <w:left w:val="nil"/>
              <w:bottom w:val="nil"/>
              <w:right w:val="nil"/>
            </w:tcBorders>
            <w:shd w:val="clear" w:color="auto" w:fill="auto"/>
            <w:noWrap/>
            <w:vAlign w:val="center"/>
            <w:hideMark/>
          </w:tcPr>
          <w:p w14:paraId="480A6DCE" w14:textId="77777777" w:rsidR="006220A2" w:rsidRPr="0098694D" w:rsidRDefault="006220A2" w:rsidP="00852114">
            <w:pPr>
              <w:rPr>
                <w:rFonts w:eastAsia="Times New Roman"/>
                <w:sz w:val="18"/>
                <w:szCs w:val="18"/>
              </w:rPr>
            </w:pPr>
            <w:r w:rsidRPr="0098694D">
              <w:rPr>
                <w:rFonts w:eastAsia="Times New Roman"/>
                <w:sz w:val="18"/>
                <w:szCs w:val="18"/>
              </w:rPr>
              <w:t>Base imponible negativa</w:t>
            </w:r>
          </w:p>
        </w:tc>
        <w:tc>
          <w:tcPr>
            <w:tcW w:w="2021" w:type="dxa"/>
            <w:tcBorders>
              <w:top w:val="nil"/>
              <w:left w:val="nil"/>
              <w:bottom w:val="nil"/>
              <w:right w:val="nil"/>
            </w:tcBorders>
            <w:shd w:val="clear" w:color="auto" w:fill="auto"/>
            <w:noWrap/>
            <w:vAlign w:val="center"/>
            <w:hideMark/>
          </w:tcPr>
          <w:p w14:paraId="532345E9" w14:textId="77777777" w:rsidR="006220A2" w:rsidRPr="0098694D" w:rsidRDefault="006220A2" w:rsidP="00852114">
            <w:pPr>
              <w:jc w:val="right"/>
              <w:rPr>
                <w:rFonts w:eastAsia="Times New Roman"/>
                <w:sz w:val="18"/>
                <w:szCs w:val="18"/>
              </w:rPr>
            </w:pPr>
            <w:r w:rsidRPr="0098694D">
              <w:rPr>
                <w:rFonts w:eastAsia="Times New Roman"/>
                <w:sz w:val="18"/>
                <w:szCs w:val="18"/>
              </w:rPr>
              <w:t>2.530.082,21</w:t>
            </w:r>
          </w:p>
        </w:tc>
      </w:tr>
      <w:tr w:rsidR="006220A2" w:rsidRPr="0098694D" w14:paraId="45094D4F" w14:textId="77777777" w:rsidTr="0098694D">
        <w:trPr>
          <w:trHeight w:val="240"/>
          <w:jc w:val="center"/>
        </w:trPr>
        <w:tc>
          <w:tcPr>
            <w:tcW w:w="2404" w:type="dxa"/>
            <w:tcBorders>
              <w:top w:val="nil"/>
              <w:left w:val="nil"/>
              <w:bottom w:val="nil"/>
              <w:right w:val="nil"/>
            </w:tcBorders>
            <w:shd w:val="clear" w:color="auto" w:fill="auto"/>
            <w:noWrap/>
            <w:vAlign w:val="center"/>
            <w:hideMark/>
          </w:tcPr>
          <w:p w14:paraId="61784215" w14:textId="77777777" w:rsidR="006220A2" w:rsidRPr="0098694D" w:rsidRDefault="006220A2" w:rsidP="00852114">
            <w:pPr>
              <w:jc w:val="center"/>
              <w:rPr>
                <w:rFonts w:eastAsia="Times New Roman"/>
                <w:sz w:val="18"/>
                <w:szCs w:val="18"/>
              </w:rPr>
            </w:pPr>
            <w:r w:rsidRPr="0098694D">
              <w:rPr>
                <w:rFonts w:eastAsia="Times New Roman"/>
                <w:sz w:val="18"/>
                <w:szCs w:val="18"/>
              </w:rPr>
              <w:t>2012</w:t>
            </w:r>
          </w:p>
        </w:tc>
        <w:tc>
          <w:tcPr>
            <w:tcW w:w="2379" w:type="dxa"/>
            <w:tcBorders>
              <w:top w:val="nil"/>
              <w:left w:val="nil"/>
              <w:bottom w:val="nil"/>
              <w:right w:val="nil"/>
            </w:tcBorders>
            <w:shd w:val="clear" w:color="auto" w:fill="auto"/>
            <w:noWrap/>
            <w:vAlign w:val="center"/>
            <w:hideMark/>
          </w:tcPr>
          <w:p w14:paraId="5D8C156A" w14:textId="77777777" w:rsidR="006220A2" w:rsidRPr="0098694D" w:rsidRDefault="006220A2" w:rsidP="00852114">
            <w:pPr>
              <w:rPr>
                <w:rFonts w:eastAsia="Times New Roman"/>
                <w:sz w:val="18"/>
                <w:szCs w:val="18"/>
              </w:rPr>
            </w:pPr>
            <w:r w:rsidRPr="0098694D">
              <w:rPr>
                <w:rFonts w:eastAsia="Times New Roman"/>
                <w:sz w:val="18"/>
                <w:szCs w:val="18"/>
              </w:rPr>
              <w:t>Base imponible negativa</w:t>
            </w:r>
          </w:p>
        </w:tc>
        <w:tc>
          <w:tcPr>
            <w:tcW w:w="2021" w:type="dxa"/>
            <w:tcBorders>
              <w:top w:val="nil"/>
              <w:left w:val="nil"/>
              <w:bottom w:val="nil"/>
              <w:right w:val="nil"/>
            </w:tcBorders>
            <w:shd w:val="clear" w:color="auto" w:fill="auto"/>
            <w:noWrap/>
            <w:vAlign w:val="center"/>
            <w:hideMark/>
          </w:tcPr>
          <w:p w14:paraId="621E7206" w14:textId="77777777" w:rsidR="006220A2" w:rsidRPr="0098694D" w:rsidRDefault="006220A2" w:rsidP="00852114">
            <w:pPr>
              <w:jc w:val="right"/>
              <w:rPr>
                <w:rFonts w:eastAsia="Times New Roman"/>
                <w:sz w:val="18"/>
                <w:szCs w:val="18"/>
              </w:rPr>
            </w:pPr>
            <w:r w:rsidRPr="0098694D">
              <w:rPr>
                <w:rFonts w:eastAsia="Times New Roman"/>
                <w:sz w:val="18"/>
                <w:szCs w:val="18"/>
              </w:rPr>
              <w:t>2.118.377,26</w:t>
            </w:r>
          </w:p>
        </w:tc>
      </w:tr>
      <w:tr w:rsidR="006220A2" w:rsidRPr="0098694D" w14:paraId="19C3DE94" w14:textId="77777777" w:rsidTr="0098694D">
        <w:trPr>
          <w:trHeight w:val="240"/>
          <w:jc w:val="center"/>
        </w:trPr>
        <w:tc>
          <w:tcPr>
            <w:tcW w:w="2404" w:type="dxa"/>
            <w:tcBorders>
              <w:top w:val="nil"/>
              <w:left w:val="nil"/>
              <w:bottom w:val="nil"/>
              <w:right w:val="nil"/>
            </w:tcBorders>
            <w:shd w:val="clear" w:color="auto" w:fill="auto"/>
            <w:noWrap/>
            <w:vAlign w:val="center"/>
            <w:hideMark/>
          </w:tcPr>
          <w:p w14:paraId="10E7B694" w14:textId="77777777" w:rsidR="006220A2" w:rsidRPr="0098694D" w:rsidRDefault="006220A2" w:rsidP="00852114">
            <w:pPr>
              <w:jc w:val="center"/>
              <w:rPr>
                <w:rFonts w:eastAsia="Times New Roman"/>
                <w:sz w:val="18"/>
                <w:szCs w:val="18"/>
              </w:rPr>
            </w:pPr>
            <w:r w:rsidRPr="0098694D">
              <w:rPr>
                <w:rFonts w:eastAsia="Times New Roman"/>
                <w:sz w:val="18"/>
                <w:szCs w:val="18"/>
              </w:rPr>
              <w:t>2013</w:t>
            </w:r>
          </w:p>
        </w:tc>
        <w:tc>
          <w:tcPr>
            <w:tcW w:w="2379" w:type="dxa"/>
            <w:tcBorders>
              <w:top w:val="nil"/>
              <w:left w:val="nil"/>
              <w:bottom w:val="nil"/>
              <w:right w:val="nil"/>
            </w:tcBorders>
            <w:shd w:val="clear" w:color="auto" w:fill="auto"/>
            <w:noWrap/>
            <w:vAlign w:val="center"/>
            <w:hideMark/>
          </w:tcPr>
          <w:p w14:paraId="24540E4E" w14:textId="77777777" w:rsidR="006220A2" w:rsidRPr="0098694D" w:rsidRDefault="006220A2" w:rsidP="00852114">
            <w:pPr>
              <w:rPr>
                <w:rFonts w:eastAsia="Times New Roman"/>
                <w:sz w:val="18"/>
                <w:szCs w:val="18"/>
              </w:rPr>
            </w:pPr>
            <w:r w:rsidRPr="0098694D">
              <w:rPr>
                <w:rFonts w:eastAsia="Times New Roman"/>
                <w:sz w:val="18"/>
                <w:szCs w:val="18"/>
              </w:rPr>
              <w:t>Base imponible negativa</w:t>
            </w:r>
          </w:p>
        </w:tc>
        <w:tc>
          <w:tcPr>
            <w:tcW w:w="2021" w:type="dxa"/>
            <w:tcBorders>
              <w:top w:val="nil"/>
              <w:left w:val="nil"/>
              <w:bottom w:val="nil"/>
              <w:right w:val="nil"/>
            </w:tcBorders>
            <w:shd w:val="clear" w:color="auto" w:fill="auto"/>
            <w:noWrap/>
            <w:vAlign w:val="center"/>
            <w:hideMark/>
          </w:tcPr>
          <w:p w14:paraId="47B58533" w14:textId="77777777" w:rsidR="006220A2" w:rsidRPr="0098694D" w:rsidRDefault="006220A2" w:rsidP="00852114">
            <w:pPr>
              <w:jc w:val="right"/>
              <w:rPr>
                <w:rFonts w:eastAsia="Times New Roman"/>
                <w:sz w:val="18"/>
                <w:szCs w:val="18"/>
              </w:rPr>
            </w:pPr>
            <w:r w:rsidRPr="0098694D">
              <w:rPr>
                <w:rFonts w:eastAsia="Times New Roman"/>
                <w:sz w:val="18"/>
                <w:szCs w:val="18"/>
              </w:rPr>
              <w:t>1.365.508,47</w:t>
            </w:r>
          </w:p>
        </w:tc>
      </w:tr>
      <w:tr w:rsidR="006220A2" w:rsidRPr="0098694D" w14:paraId="1DEA3459" w14:textId="77777777" w:rsidTr="0098694D">
        <w:trPr>
          <w:trHeight w:val="240"/>
          <w:jc w:val="center"/>
        </w:trPr>
        <w:tc>
          <w:tcPr>
            <w:tcW w:w="2404" w:type="dxa"/>
            <w:tcBorders>
              <w:top w:val="nil"/>
              <w:left w:val="nil"/>
              <w:bottom w:val="nil"/>
              <w:right w:val="nil"/>
            </w:tcBorders>
            <w:shd w:val="clear" w:color="auto" w:fill="auto"/>
            <w:noWrap/>
            <w:vAlign w:val="center"/>
            <w:hideMark/>
          </w:tcPr>
          <w:p w14:paraId="0A3EA092" w14:textId="77777777" w:rsidR="006220A2" w:rsidRPr="0098694D" w:rsidRDefault="006220A2" w:rsidP="00852114">
            <w:pPr>
              <w:jc w:val="center"/>
              <w:rPr>
                <w:rFonts w:eastAsia="Times New Roman"/>
                <w:sz w:val="18"/>
                <w:szCs w:val="18"/>
              </w:rPr>
            </w:pPr>
            <w:r w:rsidRPr="0098694D">
              <w:rPr>
                <w:rFonts w:eastAsia="Times New Roman"/>
                <w:sz w:val="18"/>
                <w:szCs w:val="18"/>
              </w:rPr>
              <w:t>2014</w:t>
            </w:r>
          </w:p>
        </w:tc>
        <w:tc>
          <w:tcPr>
            <w:tcW w:w="2379" w:type="dxa"/>
            <w:tcBorders>
              <w:top w:val="nil"/>
              <w:left w:val="nil"/>
              <w:bottom w:val="nil"/>
              <w:right w:val="nil"/>
            </w:tcBorders>
            <w:shd w:val="clear" w:color="auto" w:fill="auto"/>
            <w:noWrap/>
            <w:vAlign w:val="center"/>
            <w:hideMark/>
          </w:tcPr>
          <w:p w14:paraId="1FA2BB7C" w14:textId="77777777" w:rsidR="006220A2" w:rsidRPr="0098694D" w:rsidRDefault="006220A2" w:rsidP="00852114">
            <w:pPr>
              <w:rPr>
                <w:rFonts w:eastAsia="Times New Roman"/>
                <w:sz w:val="18"/>
                <w:szCs w:val="18"/>
              </w:rPr>
            </w:pPr>
            <w:r w:rsidRPr="0098694D">
              <w:rPr>
                <w:rFonts w:eastAsia="Times New Roman"/>
                <w:sz w:val="18"/>
                <w:szCs w:val="18"/>
              </w:rPr>
              <w:t>Base imponible negativa</w:t>
            </w:r>
          </w:p>
        </w:tc>
        <w:tc>
          <w:tcPr>
            <w:tcW w:w="2021" w:type="dxa"/>
            <w:tcBorders>
              <w:top w:val="nil"/>
              <w:left w:val="nil"/>
              <w:bottom w:val="nil"/>
              <w:right w:val="nil"/>
            </w:tcBorders>
            <w:shd w:val="clear" w:color="auto" w:fill="auto"/>
            <w:noWrap/>
            <w:vAlign w:val="center"/>
            <w:hideMark/>
          </w:tcPr>
          <w:p w14:paraId="40FF5199" w14:textId="77777777" w:rsidR="006220A2" w:rsidRPr="0098694D" w:rsidRDefault="006220A2" w:rsidP="00852114">
            <w:pPr>
              <w:jc w:val="right"/>
              <w:rPr>
                <w:rFonts w:eastAsia="Times New Roman"/>
                <w:sz w:val="18"/>
                <w:szCs w:val="18"/>
              </w:rPr>
            </w:pPr>
            <w:r w:rsidRPr="0098694D">
              <w:rPr>
                <w:rFonts w:eastAsia="Times New Roman"/>
                <w:sz w:val="18"/>
                <w:szCs w:val="18"/>
              </w:rPr>
              <w:t>1.182.908,09</w:t>
            </w:r>
          </w:p>
        </w:tc>
      </w:tr>
      <w:tr w:rsidR="006220A2" w:rsidRPr="0098694D" w14:paraId="247FB781" w14:textId="77777777" w:rsidTr="0098694D">
        <w:trPr>
          <w:trHeight w:val="240"/>
          <w:jc w:val="center"/>
        </w:trPr>
        <w:tc>
          <w:tcPr>
            <w:tcW w:w="2404" w:type="dxa"/>
            <w:tcBorders>
              <w:top w:val="nil"/>
              <w:left w:val="nil"/>
              <w:right w:val="nil"/>
            </w:tcBorders>
            <w:shd w:val="clear" w:color="auto" w:fill="auto"/>
            <w:noWrap/>
            <w:vAlign w:val="center"/>
            <w:hideMark/>
          </w:tcPr>
          <w:p w14:paraId="3CE70509" w14:textId="77777777" w:rsidR="006220A2" w:rsidRPr="0098694D" w:rsidRDefault="006220A2" w:rsidP="00852114">
            <w:pPr>
              <w:jc w:val="center"/>
              <w:rPr>
                <w:rFonts w:eastAsia="Times New Roman"/>
                <w:sz w:val="18"/>
                <w:szCs w:val="18"/>
              </w:rPr>
            </w:pPr>
            <w:r w:rsidRPr="0098694D">
              <w:rPr>
                <w:rFonts w:eastAsia="Times New Roman"/>
                <w:sz w:val="18"/>
                <w:szCs w:val="18"/>
              </w:rPr>
              <w:t>2015</w:t>
            </w:r>
          </w:p>
        </w:tc>
        <w:tc>
          <w:tcPr>
            <w:tcW w:w="2379" w:type="dxa"/>
            <w:tcBorders>
              <w:top w:val="nil"/>
              <w:left w:val="nil"/>
              <w:right w:val="nil"/>
            </w:tcBorders>
            <w:shd w:val="clear" w:color="auto" w:fill="auto"/>
            <w:noWrap/>
            <w:vAlign w:val="center"/>
            <w:hideMark/>
          </w:tcPr>
          <w:p w14:paraId="05B907C9" w14:textId="77777777" w:rsidR="006220A2" w:rsidRPr="0098694D" w:rsidRDefault="006220A2" w:rsidP="00852114">
            <w:pPr>
              <w:rPr>
                <w:rFonts w:eastAsia="Times New Roman"/>
                <w:sz w:val="18"/>
                <w:szCs w:val="18"/>
              </w:rPr>
            </w:pPr>
            <w:r w:rsidRPr="0098694D">
              <w:rPr>
                <w:rFonts w:eastAsia="Times New Roman"/>
                <w:sz w:val="18"/>
                <w:szCs w:val="18"/>
              </w:rPr>
              <w:t>Base imponible negativa</w:t>
            </w:r>
          </w:p>
        </w:tc>
        <w:tc>
          <w:tcPr>
            <w:tcW w:w="2021" w:type="dxa"/>
            <w:tcBorders>
              <w:top w:val="nil"/>
              <w:left w:val="nil"/>
              <w:right w:val="nil"/>
            </w:tcBorders>
            <w:shd w:val="clear" w:color="auto" w:fill="auto"/>
            <w:noWrap/>
            <w:vAlign w:val="center"/>
            <w:hideMark/>
          </w:tcPr>
          <w:p w14:paraId="266C5182" w14:textId="77777777" w:rsidR="006220A2" w:rsidRPr="0098694D" w:rsidRDefault="006220A2" w:rsidP="00852114">
            <w:pPr>
              <w:jc w:val="right"/>
              <w:rPr>
                <w:rFonts w:eastAsia="Times New Roman"/>
                <w:sz w:val="18"/>
                <w:szCs w:val="18"/>
              </w:rPr>
            </w:pPr>
            <w:r w:rsidRPr="0098694D">
              <w:rPr>
                <w:rFonts w:eastAsia="Times New Roman"/>
                <w:sz w:val="18"/>
                <w:szCs w:val="18"/>
              </w:rPr>
              <w:t>1.213.335,43</w:t>
            </w:r>
          </w:p>
        </w:tc>
      </w:tr>
      <w:tr w:rsidR="006220A2" w:rsidRPr="0098694D" w14:paraId="0FBFF68D" w14:textId="77777777" w:rsidTr="0098694D">
        <w:trPr>
          <w:trHeight w:val="240"/>
          <w:jc w:val="center"/>
        </w:trPr>
        <w:tc>
          <w:tcPr>
            <w:tcW w:w="2404" w:type="dxa"/>
            <w:tcBorders>
              <w:top w:val="nil"/>
              <w:left w:val="nil"/>
              <w:right w:val="nil"/>
            </w:tcBorders>
            <w:shd w:val="clear" w:color="auto" w:fill="auto"/>
            <w:noWrap/>
            <w:vAlign w:val="center"/>
            <w:hideMark/>
          </w:tcPr>
          <w:p w14:paraId="52AF8A15" w14:textId="77777777" w:rsidR="006220A2" w:rsidRPr="0098694D" w:rsidRDefault="006220A2" w:rsidP="00852114">
            <w:pPr>
              <w:jc w:val="center"/>
              <w:rPr>
                <w:rFonts w:eastAsia="Times New Roman"/>
                <w:sz w:val="18"/>
                <w:szCs w:val="18"/>
              </w:rPr>
            </w:pPr>
            <w:r w:rsidRPr="0098694D">
              <w:rPr>
                <w:rFonts w:eastAsia="Times New Roman"/>
                <w:sz w:val="18"/>
                <w:szCs w:val="18"/>
              </w:rPr>
              <w:t>2016</w:t>
            </w:r>
          </w:p>
        </w:tc>
        <w:tc>
          <w:tcPr>
            <w:tcW w:w="2379" w:type="dxa"/>
            <w:tcBorders>
              <w:top w:val="nil"/>
              <w:left w:val="nil"/>
              <w:right w:val="nil"/>
            </w:tcBorders>
            <w:shd w:val="clear" w:color="auto" w:fill="auto"/>
            <w:noWrap/>
            <w:vAlign w:val="center"/>
            <w:hideMark/>
          </w:tcPr>
          <w:p w14:paraId="335126A4" w14:textId="77777777" w:rsidR="006220A2" w:rsidRPr="0098694D" w:rsidRDefault="006220A2" w:rsidP="00852114">
            <w:pPr>
              <w:rPr>
                <w:rFonts w:eastAsia="Times New Roman"/>
                <w:sz w:val="18"/>
                <w:szCs w:val="18"/>
              </w:rPr>
            </w:pPr>
            <w:r w:rsidRPr="0098694D">
              <w:rPr>
                <w:rFonts w:eastAsia="Times New Roman"/>
                <w:sz w:val="18"/>
                <w:szCs w:val="18"/>
              </w:rPr>
              <w:t>Base imponible negativa</w:t>
            </w:r>
          </w:p>
        </w:tc>
        <w:tc>
          <w:tcPr>
            <w:tcW w:w="2021" w:type="dxa"/>
            <w:tcBorders>
              <w:top w:val="nil"/>
              <w:left w:val="nil"/>
              <w:right w:val="nil"/>
            </w:tcBorders>
            <w:shd w:val="clear" w:color="auto" w:fill="auto"/>
            <w:noWrap/>
            <w:vAlign w:val="center"/>
            <w:hideMark/>
          </w:tcPr>
          <w:p w14:paraId="4B442157" w14:textId="77777777" w:rsidR="006220A2" w:rsidRPr="0098694D" w:rsidRDefault="006220A2" w:rsidP="00852114">
            <w:pPr>
              <w:jc w:val="right"/>
              <w:rPr>
                <w:rFonts w:eastAsia="Times New Roman"/>
                <w:sz w:val="18"/>
                <w:szCs w:val="18"/>
              </w:rPr>
            </w:pPr>
            <w:r w:rsidRPr="0098694D">
              <w:rPr>
                <w:rFonts w:eastAsia="Times New Roman"/>
                <w:sz w:val="18"/>
                <w:szCs w:val="18"/>
              </w:rPr>
              <w:t>739.569,14</w:t>
            </w:r>
          </w:p>
        </w:tc>
      </w:tr>
      <w:tr w:rsidR="0098694D" w:rsidRPr="0098694D" w14:paraId="49E0979F" w14:textId="77777777" w:rsidTr="0098694D">
        <w:trPr>
          <w:trHeight w:val="240"/>
          <w:jc w:val="center"/>
        </w:trPr>
        <w:tc>
          <w:tcPr>
            <w:tcW w:w="2404" w:type="dxa"/>
            <w:tcBorders>
              <w:left w:val="nil"/>
              <w:bottom w:val="single" w:sz="4" w:space="0" w:color="auto"/>
              <w:right w:val="nil"/>
            </w:tcBorders>
            <w:shd w:val="clear" w:color="auto" w:fill="auto"/>
            <w:noWrap/>
            <w:vAlign w:val="center"/>
          </w:tcPr>
          <w:p w14:paraId="526240EF" w14:textId="77777777" w:rsidR="0098694D" w:rsidRPr="0098694D" w:rsidRDefault="0098694D" w:rsidP="0098694D">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98694D">
              <w:rPr>
                <w:sz w:val="18"/>
                <w:szCs w:val="18"/>
              </w:rPr>
              <w:t>2017</w:t>
            </w:r>
          </w:p>
        </w:tc>
        <w:tc>
          <w:tcPr>
            <w:tcW w:w="2379" w:type="dxa"/>
            <w:tcBorders>
              <w:left w:val="nil"/>
              <w:bottom w:val="single" w:sz="4" w:space="0" w:color="auto"/>
              <w:right w:val="nil"/>
            </w:tcBorders>
            <w:shd w:val="clear" w:color="auto" w:fill="auto"/>
            <w:noWrap/>
            <w:vAlign w:val="center"/>
          </w:tcPr>
          <w:p w14:paraId="1E61F621" w14:textId="77777777" w:rsidR="0098694D" w:rsidRPr="0098694D" w:rsidRDefault="0098694D" w:rsidP="0098694D">
            <w:pPr>
              <w:rPr>
                <w:sz w:val="18"/>
                <w:szCs w:val="18"/>
              </w:rPr>
            </w:pPr>
            <w:r w:rsidRPr="0098694D">
              <w:rPr>
                <w:sz w:val="18"/>
                <w:szCs w:val="18"/>
              </w:rPr>
              <w:t>Base imponible negativa</w:t>
            </w:r>
          </w:p>
        </w:tc>
        <w:tc>
          <w:tcPr>
            <w:tcW w:w="2021" w:type="dxa"/>
            <w:tcBorders>
              <w:left w:val="nil"/>
              <w:bottom w:val="single" w:sz="4" w:space="0" w:color="auto"/>
              <w:right w:val="nil"/>
            </w:tcBorders>
            <w:shd w:val="clear" w:color="auto" w:fill="auto"/>
            <w:noWrap/>
            <w:vAlign w:val="center"/>
          </w:tcPr>
          <w:p w14:paraId="2F2C19A5" w14:textId="77777777" w:rsidR="0098694D" w:rsidRPr="0098694D" w:rsidRDefault="0098694D" w:rsidP="0098694D">
            <w:pPr>
              <w:jc w:val="right"/>
              <w:rPr>
                <w:sz w:val="18"/>
                <w:szCs w:val="18"/>
              </w:rPr>
            </w:pPr>
            <w:r w:rsidRPr="0098694D">
              <w:rPr>
                <w:sz w:val="18"/>
                <w:szCs w:val="18"/>
              </w:rPr>
              <w:t>281.073,74</w:t>
            </w:r>
          </w:p>
        </w:tc>
      </w:tr>
      <w:tr w:rsidR="006220A2" w:rsidRPr="004A46C2" w14:paraId="23C5EA7B" w14:textId="77777777" w:rsidTr="0098694D">
        <w:trPr>
          <w:trHeight w:val="240"/>
          <w:jc w:val="center"/>
        </w:trPr>
        <w:tc>
          <w:tcPr>
            <w:tcW w:w="2404" w:type="dxa"/>
            <w:tcBorders>
              <w:top w:val="nil"/>
              <w:left w:val="nil"/>
              <w:bottom w:val="single" w:sz="4" w:space="0" w:color="auto"/>
              <w:right w:val="nil"/>
            </w:tcBorders>
            <w:shd w:val="clear" w:color="auto" w:fill="auto"/>
            <w:noWrap/>
            <w:vAlign w:val="center"/>
            <w:hideMark/>
          </w:tcPr>
          <w:p w14:paraId="48258FF2" w14:textId="77777777" w:rsidR="006220A2" w:rsidRPr="0098694D" w:rsidRDefault="006220A2" w:rsidP="00852114">
            <w:pPr>
              <w:rPr>
                <w:rFonts w:eastAsia="Times New Roman"/>
                <w:b/>
                <w:bCs/>
                <w:sz w:val="18"/>
                <w:szCs w:val="18"/>
              </w:rPr>
            </w:pPr>
            <w:r w:rsidRPr="0098694D">
              <w:rPr>
                <w:rFonts w:eastAsia="Times New Roman"/>
                <w:b/>
                <w:bCs/>
                <w:sz w:val="18"/>
                <w:szCs w:val="18"/>
              </w:rPr>
              <w:t>Total</w:t>
            </w:r>
          </w:p>
        </w:tc>
        <w:tc>
          <w:tcPr>
            <w:tcW w:w="2379" w:type="dxa"/>
            <w:tcBorders>
              <w:top w:val="nil"/>
              <w:left w:val="nil"/>
              <w:bottom w:val="single" w:sz="4" w:space="0" w:color="auto"/>
              <w:right w:val="nil"/>
            </w:tcBorders>
            <w:shd w:val="clear" w:color="auto" w:fill="auto"/>
            <w:noWrap/>
            <w:vAlign w:val="center"/>
            <w:hideMark/>
          </w:tcPr>
          <w:p w14:paraId="641000F1" w14:textId="77777777" w:rsidR="006220A2" w:rsidRPr="0098694D" w:rsidRDefault="006220A2" w:rsidP="00852114">
            <w:pPr>
              <w:rPr>
                <w:rFonts w:eastAsia="Times New Roman"/>
                <w:b/>
                <w:bCs/>
                <w:sz w:val="18"/>
                <w:szCs w:val="18"/>
              </w:rPr>
            </w:pPr>
            <w:r w:rsidRPr="0098694D">
              <w:rPr>
                <w:rFonts w:eastAsia="Times New Roman"/>
                <w:b/>
                <w:bCs/>
                <w:sz w:val="18"/>
                <w:szCs w:val="18"/>
              </w:rPr>
              <w:t> </w:t>
            </w:r>
          </w:p>
        </w:tc>
        <w:tc>
          <w:tcPr>
            <w:tcW w:w="2021" w:type="dxa"/>
            <w:tcBorders>
              <w:top w:val="nil"/>
              <w:left w:val="nil"/>
              <w:bottom w:val="single" w:sz="4" w:space="0" w:color="auto"/>
              <w:right w:val="nil"/>
            </w:tcBorders>
            <w:shd w:val="clear" w:color="auto" w:fill="auto"/>
            <w:noWrap/>
            <w:vAlign w:val="center"/>
            <w:hideMark/>
          </w:tcPr>
          <w:p w14:paraId="55010912" w14:textId="77777777" w:rsidR="006220A2" w:rsidRPr="0098694D" w:rsidRDefault="0098694D" w:rsidP="0098694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8694D">
              <w:rPr>
                <w:b/>
                <w:bCs/>
                <w:sz w:val="18"/>
                <w:szCs w:val="18"/>
              </w:rPr>
              <w:t>12.772.442,40</w:t>
            </w:r>
          </w:p>
        </w:tc>
      </w:tr>
    </w:tbl>
    <w:p w14:paraId="7AC13C95" w14:textId="77777777" w:rsidR="006220A2" w:rsidRPr="00FD445C" w:rsidRDefault="006220A2" w:rsidP="00FD445C">
      <w:pPr>
        <w:widowControl w:val="0"/>
        <w:spacing w:before="240"/>
        <w:jc w:val="both"/>
        <w:rPr>
          <w:sz w:val="20"/>
          <w:szCs w:val="22"/>
        </w:rPr>
      </w:pPr>
      <w:r w:rsidRPr="00FD445C">
        <w:rPr>
          <w:sz w:val="20"/>
          <w:szCs w:val="22"/>
        </w:rPr>
        <w:t>La Sociedad tiene pendientes de inspección por las autoridades fiscales los cuatro últimos ejercicios de los principales impuestos que le son aplicables.</w:t>
      </w:r>
    </w:p>
    <w:p w14:paraId="623E2068" w14:textId="77777777" w:rsidR="006220A2" w:rsidRPr="00FD445C" w:rsidRDefault="006220A2" w:rsidP="006220A2">
      <w:pPr>
        <w:widowControl w:val="0"/>
        <w:spacing w:before="120"/>
        <w:jc w:val="both"/>
        <w:rPr>
          <w:sz w:val="20"/>
          <w:szCs w:val="22"/>
        </w:rPr>
      </w:pPr>
      <w:r w:rsidRPr="00FD445C">
        <w:rPr>
          <w:sz w:val="20"/>
          <w:szCs w:val="22"/>
        </w:rPr>
        <w:t>Como consecuencia, entre otras, de las diferentes posibles interpretaciones de la legislación fiscal vigente, podrían surgir pasivos adicionales como resultado de una inspección. En todo caso, los administradores consideran que dichos pasivos, caso de producirse, no afectarían significativamente a las cuentas anuales.</w:t>
      </w:r>
    </w:p>
    <w:p w14:paraId="046E0E6D" w14:textId="77777777" w:rsidR="006220A2" w:rsidRPr="00FD445C" w:rsidRDefault="006220A2" w:rsidP="006220A2">
      <w:pPr>
        <w:widowControl w:val="0"/>
        <w:spacing w:before="200"/>
        <w:rPr>
          <w:b/>
          <w:sz w:val="20"/>
          <w:szCs w:val="22"/>
        </w:rPr>
      </w:pPr>
      <w:r w:rsidRPr="00FD445C">
        <w:rPr>
          <w:b/>
          <w:sz w:val="20"/>
          <w:szCs w:val="22"/>
        </w:rPr>
        <w:t xml:space="preserve">11.3. Pasivo por impuesto diferido </w:t>
      </w:r>
    </w:p>
    <w:p w14:paraId="0D2C1A82" w14:textId="77777777" w:rsidR="006220A2" w:rsidRDefault="006220A2" w:rsidP="006220A2">
      <w:pPr>
        <w:widowControl w:val="0"/>
        <w:spacing w:before="120"/>
        <w:jc w:val="both"/>
        <w:rPr>
          <w:sz w:val="20"/>
          <w:szCs w:val="22"/>
        </w:rPr>
      </w:pPr>
      <w:r w:rsidRPr="00B10DE7">
        <w:rPr>
          <w:sz w:val="20"/>
          <w:szCs w:val="22"/>
        </w:rPr>
        <w:t xml:space="preserve">Este epígrafe recoge las diferencias temporarias imponibles por </w:t>
      </w:r>
      <w:r w:rsidR="00FD445C" w:rsidRPr="00B10DE7">
        <w:rPr>
          <w:sz w:val="20"/>
          <w:szCs w:val="22"/>
        </w:rPr>
        <w:t>77.644,64</w:t>
      </w:r>
      <w:r w:rsidRPr="00B10DE7">
        <w:rPr>
          <w:sz w:val="20"/>
          <w:szCs w:val="22"/>
        </w:rPr>
        <w:t xml:space="preserve"> euros (</w:t>
      </w:r>
      <w:r w:rsidR="00FD445C" w:rsidRPr="00B10DE7">
        <w:rPr>
          <w:sz w:val="20"/>
          <w:szCs w:val="22"/>
        </w:rPr>
        <w:t xml:space="preserve">84.635,54 </w:t>
      </w:r>
      <w:r w:rsidRPr="00B10DE7">
        <w:rPr>
          <w:sz w:val="20"/>
          <w:szCs w:val="22"/>
        </w:rPr>
        <w:t>euros en 201</w:t>
      </w:r>
      <w:r w:rsidR="003A749C" w:rsidRPr="00B10DE7">
        <w:rPr>
          <w:sz w:val="20"/>
          <w:szCs w:val="22"/>
        </w:rPr>
        <w:t>7</w:t>
      </w:r>
      <w:r w:rsidRPr="00B10DE7">
        <w:rPr>
          <w:sz w:val="20"/>
          <w:szCs w:val="22"/>
        </w:rPr>
        <w:t>)</w:t>
      </w:r>
      <w:r w:rsidRPr="00FD445C">
        <w:rPr>
          <w:sz w:val="20"/>
          <w:szCs w:val="22"/>
        </w:rPr>
        <w:t xml:space="preserve"> derivadas de las subvenciones de capital concedidas a la Sociedad, que darán lugar a mayores cantidades a pagar o menores cantidades a devolver por impuesto sobre beneficios en ejercicios futuros, normalmente a medida que se recuperen los activos o se liquiden los pasivos de los que se derivan.</w:t>
      </w:r>
    </w:p>
    <w:p w14:paraId="70019576" w14:textId="77777777" w:rsidR="006220A2" w:rsidRDefault="006220A2" w:rsidP="006220A2">
      <w:pPr>
        <w:jc w:val="both"/>
        <w:rPr>
          <w:sz w:val="20"/>
          <w:szCs w:val="22"/>
        </w:rPr>
      </w:pPr>
    </w:p>
    <w:p w14:paraId="07CFBE77" w14:textId="77777777" w:rsidR="006220A2" w:rsidRPr="00070E05" w:rsidRDefault="006220A2" w:rsidP="006220A2">
      <w:pPr>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lear" w:pos="644"/>
        </w:tabs>
        <w:ind w:left="284" w:hanging="284"/>
        <w:outlineLvl w:val="9"/>
        <w:rPr>
          <w:b/>
          <w:snapToGrid w:val="0"/>
          <w:sz w:val="22"/>
          <w:szCs w:val="22"/>
        </w:rPr>
      </w:pPr>
      <w:r>
        <w:rPr>
          <w:b/>
          <w:snapToGrid w:val="0"/>
          <w:sz w:val="22"/>
          <w:szCs w:val="22"/>
        </w:rPr>
        <w:t xml:space="preserve"> </w:t>
      </w:r>
      <w:r w:rsidRPr="00070E05">
        <w:rPr>
          <w:b/>
          <w:snapToGrid w:val="0"/>
          <w:sz w:val="22"/>
          <w:szCs w:val="22"/>
        </w:rPr>
        <w:t>Ingresos y gastos</w:t>
      </w:r>
    </w:p>
    <w:p w14:paraId="47CA929A" w14:textId="77777777" w:rsidR="006220A2" w:rsidRPr="000734A2" w:rsidRDefault="006220A2" w:rsidP="006220A2">
      <w:pPr>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200"/>
        <w:ind w:left="0" w:firstLine="0"/>
        <w:outlineLvl w:val="9"/>
        <w:rPr>
          <w:sz w:val="20"/>
          <w:szCs w:val="22"/>
          <w:u w:val="single"/>
        </w:rPr>
      </w:pPr>
      <w:r w:rsidRPr="00FE50DF">
        <w:rPr>
          <w:sz w:val="20"/>
          <w:szCs w:val="22"/>
          <w:u w:val="single"/>
        </w:rPr>
        <w:t>I</w:t>
      </w:r>
      <w:r w:rsidRPr="000734A2">
        <w:rPr>
          <w:sz w:val="20"/>
          <w:szCs w:val="22"/>
          <w:u w:val="single"/>
        </w:rPr>
        <w:t>ngresos de explotación</w:t>
      </w:r>
    </w:p>
    <w:p w14:paraId="416700B3" w14:textId="77777777" w:rsidR="006220A2" w:rsidRDefault="006220A2" w:rsidP="006220A2">
      <w:pPr>
        <w:widowControl w:val="0"/>
        <w:tabs>
          <w:tab w:val="left" w:pos="567"/>
          <w:tab w:val="left" w:pos="1134"/>
          <w:tab w:val="left" w:pos="1587"/>
        </w:tabs>
        <w:spacing w:before="120" w:after="120"/>
        <w:jc w:val="both"/>
        <w:rPr>
          <w:sz w:val="20"/>
          <w:szCs w:val="22"/>
        </w:rPr>
      </w:pPr>
      <w:r w:rsidRPr="000734A2">
        <w:rPr>
          <w:sz w:val="20"/>
          <w:szCs w:val="22"/>
        </w:rPr>
        <w:t>El detalle de los ingresos de explotación</w:t>
      </w:r>
      <w:r>
        <w:rPr>
          <w:sz w:val="20"/>
          <w:szCs w:val="22"/>
        </w:rPr>
        <w:t xml:space="preserve"> </w:t>
      </w:r>
      <w:r w:rsidRPr="000734A2">
        <w:rPr>
          <w:sz w:val="20"/>
          <w:szCs w:val="22"/>
        </w:rPr>
        <w:t>del ejercicio 201</w:t>
      </w:r>
      <w:r w:rsidR="00066C08">
        <w:rPr>
          <w:sz w:val="20"/>
          <w:szCs w:val="22"/>
        </w:rPr>
        <w:t>8 y 201</w:t>
      </w:r>
      <w:r w:rsidR="00FD445C">
        <w:rPr>
          <w:sz w:val="20"/>
          <w:szCs w:val="22"/>
        </w:rPr>
        <w:t>7</w:t>
      </w:r>
      <w:r w:rsidRPr="000734A2">
        <w:rPr>
          <w:sz w:val="20"/>
          <w:szCs w:val="22"/>
        </w:rPr>
        <w:t xml:space="preserve">, es </w:t>
      </w:r>
      <w:r>
        <w:rPr>
          <w:sz w:val="20"/>
          <w:szCs w:val="22"/>
        </w:rPr>
        <w:t>el siguiente</w:t>
      </w:r>
      <w:r w:rsidRPr="000734A2">
        <w:rPr>
          <w:sz w:val="20"/>
          <w:szCs w:val="22"/>
        </w:rPr>
        <w:t>:</w:t>
      </w:r>
    </w:p>
    <w:tbl>
      <w:tblPr>
        <w:tblW w:w="7088" w:type="dxa"/>
        <w:jc w:val="center"/>
        <w:tblCellMar>
          <w:left w:w="70" w:type="dxa"/>
          <w:right w:w="70" w:type="dxa"/>
        </w:tblCellMar>
        <w:tblLook w:val="04A0" w:firstRow="1" w:lastRow="0" w:firstColumn="1" w:lastColumn="0" w:noHBand="0" w:noVBand="1"/>
      </w:tblPr>
      <w:tblGrid>
        <w:gridCol w:w="4033"/>
        <w:gridCol w:w="1527"/>
        <w:gridCol w:w="1528"/>
      </w:tblGrid>
      <w:tr w:rsidR="006220A2" w:rsidRPr="00155265" w14:paraId="3DE962A8" w14:textId="77777777" w:rsidTr="00A526A7">
        <w:trPr>
          <w:trHeight w:val="227"/>
          <w:jc w:val="center"/>
        </w:trPr>
        <w:tc>
          <w:tcPr>
            <w:tcW w:w="4033" w:type="dxa"/>
            <w:tcBorders>
              <w:top w:val="single" w:sz="4" w:space="0" w:color="auto"/>
              <w:left w:val="nil"/>
              <w:bottom w:val="nil"/>
              <w:right w:val="nil"/>
            </w:tcBorders>
            <w:shd w:val="clear" w:color="auto" w:fill="auto"/>
            <w:vAlign w:val="bottom"/>
            <w:hideMark/>
          </w:tcPr>
          <w:p w14:paraId="2792BC4E" w14:textId="77777777" w:rsidR="006220A2" w:rsidRPr="00155265" w:rsidRDefault="006220A2" w:rsidP="00852114">
            <w:pPr>
              <w:jc w:val="center"/>
              <w:rPr>
                <w:rFonts w:eastAsia="Times New Roman" w:cs="Times"/>
                <w:sz w:val="20"/>
              </w:rPr>
            </w:pPr>
          </w:p>
        </w:tc>
        <w:tc>
          <w:tcPr>
            <w:tcW w:w="3055" w:type="dxa"/>
            <w:gridSpan w:val="2"/>
            <w:tcBorders>
              <w:top w:val="single" w:sz="4" w:space="0" w:color="auto"/>
              <w:left w:val="nil"/>
              <w:bottom w:val="single" w:sz="4" w:space="0" w:color="auto"/>
              <w:right w:val="nil"/>
            </w:tcBorders>
            <w:shd w:val="clear" w:color="auto" w:fill="auto"/>
            <w:vAlign w:val="bottom"/>
            <w:hideMark/>
          </w:tcPr>
          <w:p w14:paraId="434EB7AE" w14:textId="77777777" w:rsidR="006220A2" w:rsidRPr="00155265" w:rsidRDefault="006220A2" w:rsidP="00852114">
            <w:pPr>
              <w:jc w:val="center"/>
              <w:rPr>
                <w:rFonts w:eastAsia="Times New Roman"/>
                <w:b/>
                <w:bCs/>
                <w:sz w:val="18"/>
                <w:szCs w:val="18"/>
              </w:rPr>
            </w:pPr>
            <w:r w:rsidRPr="00155265">
              <w:rPr>
                <w:rFonts w:eastAsia="Times New Roman"/>
                <w:b/>
                <w:bCs/>
                <w:sz w:val="18"/>
                <w:szCs w:val="18"/>
              </w:rPr>
              <w:t>Euros</w:t>
            </w:r>
          </w:p>
        </w:tc>
      </w:tr>
      <w:tr w:rsidR="006220A2" w:rsidRPr="00155265" w14:paraId="77A2E9BE" w14:textId="77777777" w:rsidTr="00693BB6">
        <w:trPr>
          <w:trHeight w:val="227"/>
          <w:jc w:val="center"/>
        </w:trPr>
        <w:tc>
          <w:tcPr>
            <w:tcW w:w="4033" w:type="dxa"/>
            <w:tcBorders>
              <w:top w:val="nil"/>
              <w:left w:val="nil"/>
              <w:bottom w:val="single" w:sz="4" w:space="0" w:color="auto"/>
              <w:right w:val="nil"/>
            </w:tcBorders>
            <w:shd w:val="clear" w:color="auto" w:fill="auto"/>
            <w:vAlign w:val="bottom"/>
            <w:hideMark/>
          </w:tcPr>
          <w:p w14:paraId="3D7A95B5" w14:textId="77777777" w:rsidR="006220A2" w:rsidRPr="00155265" w:rsidRDefault="006220A2" w:rsidP="00852114">
            <w:pPr>
              <w:jc w:val="center"/>
              <w:rPr>
                <w:rFonts w:eastAsia="Times New Roman" w:cs="Times"/>
                <w:sz w:val="20"/>
              </w:rPr>
            </w:pPr>
          </w:p>
        </w:tc>
        <w:tc>
          <w:tcPr>
            <w:tcW w:w="1527" w:type="dxa"/>
            <w:tcBorders>
              <w:top w:val="nil"/>
              <w:left w:val="nil"/>
              <w:bottom w:val="single" w:sz="4" w:space="0" w:color="auto"/>
              <w:right w:val="nil"/>
            </w:tcBorders>
            <w:shd w:val="clear" w:color="auto" w:fill="auto"/>
            <w:vAlign w:val="bottom"/>
            <w:hideMark/>
          </w:tcPr>
          <w:p w14:paraId="22CE0FF5" w14:textId="77777777" w:rsidR="006220A2" w:rsidRPr="00155265" w:rsidRDefault="00A526A7" w:rsidP="00852114">
            <w:pPr>
              <w:jc w:val="center"/>
              <w:rPr>
                <w:rFonts w:eastAsia="Times New Roman"/>
                <w:b/>
                <w:bCs/>
                <w:sz w:val="18"/>
                <w:szCs w:val="18"/>
              </w:rPr>
            </w:pPr>
            <w:r>
              <w:rPr>
                <w:rFonts w:eastAsia="Times New Roman"/>
                <w:b/>
                <w:bCs/>
                <w:sz w:val="18"/>
                <w:szCs w:val="18"/>
              </w:rPr>
              <w:t>2018</w:t>
            </w:r>
          </w:p>
        </w:tc>
        <w:tc>
          <w:tcPr>
            <w:tcW w:w="1528" w:type="dxa"/>
            <w:tcBorders>
              <w:top w:val="nil"/>
              <w:left w:val="nil"/>
              <w:bottom w:val="single" w:sz="4" w:space="0" w:color="auto"/>
              <w:right w:val="nil"/>
            </w:tcBorders>
            <w:shd w:val="clear" w:color="auto" w:fill="auto"/>
            <w:vAlign w:val="bottom"/>
            <w:hideMark/>
          </w:tcPr>
          <w:p w14:paraId="5646DD41" w14:textId="77777777" w:rsidR="006220A2" w:rsidRPr="00155265" w:rsidRDefault="00A526A7" w:rsidP="00852114">
            <w:pPr>
              <w:jc w:val="center"/>
              <w:rPr>
                <w:rFonts w:eastAsia="Times New Roman"/>
                <w:b/>
                <w:bCs/>
                <w:sz w:val="18"/>
                <w:szCs w:val="18"/>
              </w:rPr>
            </w:pPr>
            <w:r>
              <w:rPr>
                <w:rFonts w:eastAsia="Times New Roman"/>
                <w:b/>
                <w:bCs/>
                <w:sz w:val="18"/>
                <w:szCs w:val="18"/>
              </w:rPr>
              <w:t>2017</w:t>
            </w:r>
          </w:p>
        </w:tc>
      </w:tr>
      <w:tr w:rsidR="006220A2" w:rsidRPr="00155265" w14:paraId="0F915EF1" w14:textId="77777777" w:rsidTr="00693BB6">
        <w:trPr>
          <w:trHeight w:val="238"/>
          <w:jc w:val="center"/>
        </w:trPr>
        <w:tc>
          <w:tcPr>
            <w:tcW w:w="4033" w:type="dxa"/>
            <w:tcBorders>
              <w:top w:val="nil"/>
              <w:left w:val="nil"/>
              <w:bottom w:val="nil"/>
              <w:right w:val="nil"/>
            </w:tcBorders>
            <w:shd w:val="clear" w:color="auto" w:fill="auto"/>
            <w:vAlign w:val="center"/>
          </w:tcPr>
          <w:p w14:paraId="3FEE03C7" w14:textId="77777777" w:rsidR="006220A2" w:rsidRPr="00B819FB" w:rsidRDefault="006220A2" w:rsidP="00852114">
            <w:pPr>
              <w:rPr>
                <w:rFonts w:eastAsia="Times New Roman"/>
                <w:b/>
                <w:sz w:val="18"/>
                <w:szCs w:val="18"/>
              </w:rPr>
            </w:pPr>
            <w:r>
              <w:rPr>
                <w:rFonts w:eastAsia="Times New Roman"/>
                <w:b/>
                <w:sz w:val="18"/>
                <w:szCs w:val="18"/>
              </w:rPr>
              <w:t>Ingresos de explotación</w:t>
            </w:r>
          </w:p>
        </w:tc>
        <w:tc>
          <w:tcPr>
            <w:tcW w:w="1527" w:type="dxa"/>
            <w:tcBorders>
              <w:top w:val="nil"/>
              <w:left w:val="nil"/>
              <w:bottom w:val="nil"/>
              <w:right w:val="nil"/>
            </w:tcBorders>
            <w:shd w:val="clear" w:color="auto" w:fill="auto"/>
            <w:vAlign w:val="center"/>
          </w:tcPr>
          <w:p w14:paraId="2913B68C" w14:textId="77777777" w:rsidR="006220A2" w:rsidRPr="00155265" w:rsidRDefault="006220A2" w:rsidP="00852114">
            <w:pPr>
              <w:jc w:val="right"/>
              <w:rPr>
                <w:rFonts w:eastAsia="Times New Roman"/>
                <w:sz w:val="18"/>
                <w:szCs w:val="18"/>
              </w:rPr>
            </w:pPr>
          </w:p>
        </w:tc>
        <w:tc>
          <w:tcPr>
            <w:tcW w:w="1528" w:type="dxa"/>
            <w:tcBorders>
              <w:top w:val="nil"/>
              <w:left w:val="nil"/>
              <w:bottom w:val="nil"/>
              <w:right w:val="nil"/>
            </w:tcBorders>
            <w:shd w:val="clear" w:color="auto" w:fill="auto"/>
            <w:vAlign w:val="center"/>
          </w:tcPr>
          <w:p w14:paraId="744ED6BF" w14:textId="77777777" w:rsidR="006220A2" w:rsidRPr="00155265" w:rsidRDefault="006220A2" w:rsidP="00852114">
            <w:pPr>
              <w:jc w:val="right"/>
              <w:rPr>
                <w:rFonts w:eastAsia="Times New Roman"/>
                <w:sz w:val="18"/>
                <w:szCs w:val="18"/>
              </w:rPr>
            </w:pPr>
          </w:p>
        </w:tc>
      </w:tr>
      <w:tr w:rsidR="00A526A7" w:rsidRPr="00155265" w14:paraId="73A4ECD1" w14:textId="77777777" w:rsidTr="00693BB6">
        <w:trPr>
          <w:trHeight w:val="238"/>
          <w:jc w:val="center"/>
        </w:trPr>
        <w:tc>
          <w:tcPr>
            <w:tcW w:w="4033" w:type="dxa"/>
            <w:tcBorders>
              <w:top w:val="nil"/>
              <w:left w:val="nil"/>
              <w:bottom w:val="nil"/>
              <w:right w:val="nil"/>
            </w:tcBorders>
            <w:shd w:val="clear" w:color="auto" w:fill="auto"/>
            <w:vAlign w:val="center"/>
            <w:hideMark/>
          </w:tcPr>
          <w:p w14:paraId="56F3F946" w14:textId="77777777" w:rsidR="00A526A7" w:rsidRPr="00155265" w:rsidRDefault="00A526A7" w:rsidP="00A526A7">
            <w:pPr>
              <w:rPr>
                <w:rFonts w:eastAsia="Times New Roman"/>
                <w:sz w:val="18"/>
                <w:szCs w:val="18"/>
              </w:rPr>
            </w:pPr>
            <w:r w:rsidRPr="00155265">
              <w:rPr>
                <w:rFonts w:eastAsia="Times New Roman"/>
                <w:sz w:val="18"/>
                <w:szCs w:val="18"/>
              </w:rPr>
              <w:t>Prestaciones de servicios</w:t>
            </w:r>
          </w:p>
        </w:tc>
        <w:tc>
          <w:tcPr>
            <w:tcW w:w="1527" w:type="dxa"/>
            <w:tcBorders>
              <w:top w:val="nil"/>
              <w:left w:val="nil"/>
              <w:bottom w:val="nil"/>
              <w:right w:val="nil"/>
            </w:tcBorders>
            <w:shd w:val="clear" w:color="auto" w:fill="auto"/>
            <w:vAlign w:val="center"/>
          </w:tcPr>
          <w:p w14:paraId="68AED555" w14:textId="77777777" w:rsidR="00A526A7" w:rsidRDefault="00A526A7" w:rsidP="00A526A7">
            <w:pPr>
              <w:jc w:val="right"/>
              <w:rPr>
                <w:sz w:val="18"/>
                <w:szCs w:val="18"/>
              </w:rPr>
            </w:pPr>
            <w:r>
              <w:rPr>
                <w:sz w:val="18"/>
                <w:szCs w:val="18"/>
              </w:rPr>
              <w:t>90.434,00</w:t>
            </w:r>
          </w:p>
        </w:tc>
        <w:tc>
          <w:tcPr>
            <w:tcW w:w="1528" w:type="dxa"/>
            <w:tcBorders>
              <w:top w:val="nil"/>
              <w:left w:val="nil"/>
              <w:bottom w:val="nil"/>
              <w:right w:val="nil"/>
            </w:tcBorders>
            <w:shd w:val="clear" w:color="auto" w:fill="auto"/>
            <w:vAlign w:val="center"/>
          </w:tcPr>
          <w:p w14:paraId="163B1518" w14:textId="77777777" w:rsidR="00A526A7" w:rsidRDefault="00A526A7" w:rsidP="00A526A7">
            <w:pPr>
              <w:jc w:val="right"/>
              <w:rPr>
                <w:sz w:val="18"/>
                <w:szCs w:val="18"/>
              </w:rPr>
            </w:pPr>
            <w:r>
              <w:rPr>
                <w:sz w:val="18"/>
                <w:szCs w:val="18"/>
              </w:rPr>
              <w:t>52.934,00</w:t>
            </w:r>
          </w:p>
        </w:tc>
      </w:tr>
      <w:tr w:rsidR="00A526A7" w:rsidRPr="00155265" w14:paraId="21CB4791" w14:textId="77777777" w:rsidTr="00693BB6">
        <w:trPr>
          <w:trHeight w:val="238"/>
          <w:jc w:val="center"/>
        </w:trPr>
        <w:tc>
          <w:tcPr>
            <w:tcW w:w="4033" w:type="dxa"/>
            <w:tcBorders>
              <w:top w:val="nil"/>
              <w:left w:val="nil"/>
              <w:right w:val="nil"/>
            </w:tcBorders>
            <w:shd w:val="clear" w:color="auto" w:fill="auto"/>
            <w:vAlign w:val="center"/>
            <w:hideMark/>
          </w:tcPr>
          <w:p w14:paraId="191E097C" w14:textId="77777777" w:rsidR="00A526A7" w:rsidRPr="00155265" w:rsidRDefault="00A526A7" w:rsidP="00A526A7">
            <w:pPr>
              <w:rPr>
                <w:rFonts w:eastAsia="Times New Roman"/>
                <w:sz w:val="18"/>
                <w:szCs w:val="18"/>
              </w:rPr>
            </w:pPr>
            <w:r w:rsidRPr="00155265">
              <w:rPr>
                <w:rFonts w:eastAsia="Times New Roman"/>
                <w:sz w:val="18"/>
                <w:szCs w:val="18"/>
              </w:rPr>
              <w:t>Subv</w:t>
            </w:r>
            <w:r>
              <w:rPr>
                <w:rFonts w:eastAsia="Times New Roman"/>
                <w:sz w:val="18"/>
                <w:szCs w:val="18"/>
              </w:rPr>
              <w:t>.</w:t>
            </w:r>
            <w:r w:rsidRPr="00155265">
              <w:rPr>
                <w:rFonts w:eastAsia="Times New Roman"/>
                <w:sz w:val="18"/>
                <w:szCs w:val="18"/>
              </w:rPr>
              <w:t xml:space="preserve"> de explotación incorporadas al resultado del ejercicio</w:t>
            </w:r>
          </w:p>
        </w:tc>
        <w:tc>
          <w:tcPr>
            <w:tcW w:w="1527" w:type="dxa"/>
            <w:tcBorders>
              <w:top w:val="nil"/>
              <w:left w:val="nil"/>
              <w:bottom w:val="nil"/>
              <w:right w:val="nil"/>
            </w:tcBorders>
            <w:shd w:val="clear" w:color="auto" w:fill="auto"/>
            <w:vAlign w:val="center"/>
          </w:tcPr>
          <w:p w14:paraId="305EA1C1" w14:textId="77777777" w:rsidR="00A526A7" w:rsidRDefault="00A526A7" w:rsidP="00A526A7">
            <w:pPr>
              <w:jc w:val="right"/>
              <w:rPr>
                <w:sz w:val="18"/>
                <w:szCs w:val="18"/>
              </w:rPr>
            </w:pPr>
            <w:r>
              <w:rPr>
                <w:sz w:val="18"/>
                <w:szCs w:val="18"/>
              </w:rPr>
              <w:t>19.017.958,46</w:t>
            </w:r>
          </w:p>
        </w:tc>
        <w:tc>
          <w:tcPr>
            <w:tcW w:w="1528" w:type="dxa"/>
            <w:tcBorders>
              <w:top w:val="nil"/>
              <w:left w:val="nil"/>
              <w:bottom w:val="nil"/>
              <w:right w:val="nil"/>
            </w:tcBorders>
            <w:shd w:val="clear" w:color="auto" w:fill="auto"/>
            <w:vAlign w:val="center"/>
          </w:tcPr>
          <w:p w14:paraId="39703C6F" w14:textId="77777777" w:rsidR="00A526A7" w:rsidRDefault="00A526A7" w:rsidP="00A526A7">
            <w:pPr>
              <w:jc w:val="right"/>
              <w:rPr>
                <w:sz w:val="18"/>
                <w:szCs w:val="18"/>
              </w:rPr>
            </w:pPr>
            <w:r>
              <w:rPr>
                <w:sz w:val="18"/>
                <w:szCs w:val="18"/>
              </w:rPr>
              <w:t>18.192.327,76</w:t>
            </w:r>
          </w:p>
        </w:tc>
      </w:tr>
      <w:tr w:rsidR="00A526A7" w:rsidRPr="00155265" w14:paraId="568C6409" w14:textId="77777777" w:rsidTr="00693BB6">
        <w:trPr>
          <w:trHeight w:val="238"/>
          <w:jc w:val="center"/>
        </w:trPr>
        <w:tc>
          <w:tcPr>
            <w:tcW w:w="4033" w:type="dxa"/>
            <w:tcBorders>
              <w:top w:val="nil"/>
              <w:left w:val="nil"/>
              <w:right w:val="nil"/>
            </w:tcBorders>
            <w:shd w:val="clear" w:color="auto" w:fill="auto"/>
            <w:vAlign w:val="center"/>
            <w:hideMark/>
          </w:tcPr>
          <w:p w14:paraId="0E8545F8" w14:textId="77777777" w:rsidR="00A526A7" w:rsidRPr="00155265" w:rsidRDefault="00A526A7" w:rsidP="00A526A7">
            <w:pPr>
              <w:rPr>
                <w:rFonts w:eastAsia="Times New Roman"/>
                <w:sz w:val="18"/>
                <w:szCs w:val="18"/>
              </w:rPr>
            </w:pPr>
            <w:r w:rsidRPr="00155265">
              <w:rPr>
                <w:rFonts w:eastAsia="Times New Roman"/>
                <w:sz w:val="18"/>
                <w:szCs w:val="18"/>
              </w:rPr>
              <w:t>Ingresos accesorios y otros de gestión corriente</w:t>
            </w:r>
          </w:p>
        </w:tc>
        <w:tc>
          <w:tcPr>
            <w:tcW w:w="1527" w:type="dxa"/>
            <w:tcBorders>
              <w:top w:val="nil"/>
              <w:left w:val="nil"/>
              <w:right w:val="nil"/>
            </w:tcBorders>
            <w:shd w:val="clear" w:color="auto" w:fill="auto"/>
            <w:vAlign w:val="center"/>
          </w:tcPr>
          <w:p w14:paraId="29D9E8BA" w14:textId="77777777" w:rsidR="00A526A7" w:rsidRDefault="00FB27C9" w:rsidP="00A526A7">
            <w:pPr>
              <w:jc w:val="right"/>
              <w:rPr>
                <w:sz w:val="18"/>
                <w:szCs w:val="18"/>
              </w:rPr>
            </w:pPr>
            <w:r>
              <w:rPr>
                <w:sz w:val="18"/>
                <w:szCs w:val="18"/>
              </w:rPr>
              <w:t>481.061,53</w:t>
            </w:r>
          </w:p>
        </w:tc>
        <w:tc>
          <w:tcPr>
            <w:tcW w:w="1528" w:type="dxa"/>
            <w:tcBorders>
              <w:top w:val="nil"/>
              <w:left w:val="nil"/>
              <w:right w:val="nil"/>
            </w:tcBorders>
            <w:shd w:val="clear" w:color="auto" w:fill="auto"/>
            <w:vAlign w:val="center"/>
          </w:tcPr>
          <w:p w14:paraId="27C1F2CD" w14:textId="77777777" w:rsidR="00A526A7" w:rsidRDefault="00A526A7" w:rsidP="00A526A7">
            <w:pPr>
              <w:jc w:val="right"/>
              <w:rPr>
                <w:sz w:val="18"/>
                <w:szCs w:val="18"/>
              </w:rPr>
            </w:pPr>
            <w:r>
              <w:rPr>
                <w:sz w:val="18"/>
                <w:szCs w:val="18"/>
              </w:rPr>
              <w:t>435.155,25</w:t>
            </w:r>
          </w:p>
        </w:tc>
      </w:tr>
      <w:tr w:rsidR="00A526A7" w:rsidRPr="00155265" w14:paraId="1D796875" w14:textId="77777777" w:rsidTr="00693BB6">
        <w:trPr>
          <w:trHeight w:val="238"/>
          <w:jc w:val="center"/>
        </w:trPr>
        <w:tc>
          <w:tcPr>
            <w:tcW w:w="4033" w:type="dxa"/>
            <w:tcBorders>
              <w:top w:val="single" w:sz="4" w:space="0" w:color="auto"/>
              <w:left w:val="nil"/>
              <w:bottom w:val="single" w:sz="4" w:space="0" w:color="auto"/>
              <w:right w:val="nil"/>
            </w:tcBorders>
            <w:shd w:val="clear" w:color="auto" w:fill="auto"/>
            <w:vAlign w:val="center"/>
            <w:hideMark/>
          </w:tcPr>
          <w:p w14:paraId="62E684A2" w14:textId="77777777" w:rsidR="00A526A7" w:rsidRPr="00155265" w:rsidRDefault="00A526A7" w:rsidP="00A526A7">
            <w:pPr>
              <w:rPr>
                <w:rFonts w:eastAsia="Times New Roman"/>
                <w:b/>
                <w:bCs/>
                <w:sz w:val="18"/>
                <w:szCs w:val="18"/>
              </w:rPr>
            </w:pPr>
            <w:r w:rsidRPr="00155265">
              <w:rPr>
                <w:rFonts w:eastAsia="Times New Roman"/>
                <w:b/>
                <w:bCs/>
                <w:sz w:val="18"/>
                <w:szCs w:val="18"/>
              </w:rPr>
              <w:t>Total</w:t>
            </w:r>
          </w:p>
        </w:tc>
        <w:tc>
          <w:tcPr>
            <w:tcW w:w="1527" w:type="dxa"/>
            <w:tcBorders>
              <w:top w:val="single" w:sz="4" w:space="0" w:color="auto"/>
              <w:left w:val="nil"/>
              <w:bottom w:val="single" w:sz="4" w:space="0" w:color="auto"/>
              <w:right w:val="nil"/>
            </w:tcBorders>
            <w:shd w:val="clear" w:color="auto" w:fill="auto"/>
            <w:vAlign w:val="center"/>
          </w:tcPr>
          <w:p w14:paraId="407B331D" w14:textId="77777777" w:rsidR="00A526A7" w:rsidRDefault="00A526A7" w:rsidP="00A526A7">
            <w:pPr>
              <w:jc w:val="right"/>
              <w:rPr>
                <w:b/>
                <w:bCs/>
                <w:sz w:val="18"/>
                <w:szCs w:val="18"/>
              </w:rPr>
            </w:pPr>
            <w:r>
              <w:rPr>
                <w:b/>
                <w:bCs/>
                <w:sz w:val="18"/>
                <w:szCs w:val="18"/>
              </w:rPr>
              <w:t>19.589.453,99</w:t>
            </w:r>
          </w:p>
        </w:tc>
        <w:tc>
          <w:tcPr>
            <w:tcW w:w="1528" w:type="dxa"/>
            <w:tcBorders>
              <w:top w:val="single" w:sz="4" w:space="0" w:color="auto"/>
              <w:left w:val="nil"/>
              <w:bottom w:val="single" w:sz="4" w:space="0" w:color="auto"/>
              <w:right w:val="nil"/>
            </w:tcBorders>
            <w:shd w:val="clear" w:color="auto" w:fill="auto"/>
            <w:vAlign w:val="center"/>
            <w:hideMark/>
          </w:tcPr>
          <w:p w14:paraId="5164A777" w14:textId="77777777" w:rsidR="00A526A7" w:rsidRPr="00155265" w:rsidRDefault="00A526A7" w:rsidP="00A526A7">
            <w:pPr>
              <w:jc w:val="right"/>
              <w:rPr>
                <w:rFonts w:eastAsia="Times New Roman"/>
                <w:b/>
                <w:bCs/>
                <w:sz w:val="18"/>
                <w:szCs w:val="18"/>
              </w:rPr>
            </w:pPr>
            <w:r>
              <w:rPr>
                <w:b/>
                <w:bCs/>
                <w:sz w:val="18"/>
                <w:szCs w:val="18"/>
              </w:rPr>
              <w:t>18.680.417,01</w:t>
            </w:r>
          </w:p>
        </w:tc>
      </w:tr>
    </w:tbl>
    <w:p w14:paraId="55A91D61" w14:textId="77777777" w:rsidR="006220A2" w:rsidRDefault="006220A2" w:rsidP="006220A2">
      <w:pPr>
        <w:keepNext/>
        <w:keepLines/>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0"/>
          <w:tab w:val="left" w:pos="284"/>
        </w:tabs>
        <w:spacing w:before="200"/>
        <w:ind w:left="0" w:firstLine="0"/>
        <w:outlineLvl w:val="9"/>
        <w:rPr>
          <w:sz w:val="20"/>
          <w:szCs w:val="22"/>
          <w:u w:val="single"/>
        </w:rPr>
      </w:pPr>
      <w:r w:rsidRPr="00957083">
        <w:rPr>
          <w:sz w:val="20"/>
          <w:szCs w:val="22"/>
          <w:u w:val="single"/>
        </w:rPr>
        <w:t>Gastos de explotación</w:t>
      </w:r>
    </w:p>
    <w:p w14:paraId="53D8FA03" w14:textId="77777777" w:rsidR="006220A2" w:rsidRPr="000734A2" w:rsidRDefault="006220A2" w:rsidP="006220A2">
      <w:pPr>
        <w:keepNext/>
        <w:keepLines/>
        <w:widowControl w:val="0"/>
        <w:tabs>
          <w:tab w:val="left" w:pos="567"/>
          <w:tab w:val="left" w:pos="1134"/>
          <w:tab w:val="left" w:pos="1587"/>
        </w:tabs>
        <w:spacing w:before="120" w:after="120"/>
        <w:jc w:val="both"/>
        <w:rPr>
          <w:sz w:val="20"/>
          <w:szCs w:val="22"/>
        </w:rPr>
      </w:pPr>
      <w:r w:rsidRPr="000734A2">
        <w:rPr>
          <w:sz w:val="20"/>
          <w:szCs w:val="22"/>
        </w:rPr>
        <w:t xml:space="preserve">Bajo este epígrafe se recogen los gastos en los que ha incurrido la </w:t>
      </w:r>
      <w:r>
        <w:rPr>
          <w:sz w:val="20"/>
          <w:szCs w:val="22"/>
        </w:rPr>
        <w:t>Sociedad</w:t>
      </w:r>
      <w:r w:rsidRPr="000734A2">
        <w:rPr>
          <w:sz w:val="20"/>
          <w:szCs w:val="22"/>
        </w:rPr>
        <w:t xml:space="preserve"> para la realización de su actividad promocional consistentes en la contratación de servicios a otras empresas, ver ampliación de esta información en el informe de gestión. </w:t>
      </w:r>
    </w:p>
    <w:tbl>
      <w:tblPr>
        <w:tblW w:w="6804" w:type="dxa"/>
        <w:jc w:val="center"/>
        <w:tblCellMar>
          <w:left w:w="70" w:type="dxa"/>
          <w:right w:w="70" w:type="dxa"/>
        </w:tblCellMar>
        <w:tblLook w:val="04A0" w:firstRow="1" w:lastRow="0" w:firstColumn="1" w:lastColumn="0" w:noHBand="0" w:noVBand="1"/>
      </w:tblPr>
      <w:tblGrid>
        <w:gridCol w:w="3659"/>
        <w:gridCol w:w="1595"/>
        <w:gridCol w:w="1550"/>
      </w:tblGrid>
      <w:tr w:rsidR="006220A2" w:rsidRPr="00B819FB" w14:paraId="5BC7BDB4" w14:textId="77777777" w:rsidTr="004161BD">
        <w:trPr>
          <w:trHeight w:val="170"/>
          <w:jc w:val="center"/>
        </w:trPr>
        <w:tc>
          <w:tcPr>
            <w:tcW w:w="3659" w:type="dxa"/>
            <w:tcBorders>
              <w:top w:val="single" w:sz="4" w:space="0" w:color="auto"/>
              <w:left w:val="nil"/>
              <w:bottom w:val="nil"/>
              <w:right w:val="nil"/>
            </w:tcBorders>
            <w:shd w:val="clear" w:color="auto" w:fill="auto"/>
            <w:vAlign w:val="bottom"/>
            <w:hideMark/>
          </w:tcPr>
          <w:p w14:paraId="45FC34E2" w14:textId="77777777" w:rsidR="006220A2" w:rsidRPr="00B819FB" w:rsidRDefault="006220A2" w:rsidP="00852114">
            <w:pPr>
              <w:jc w:val="center"/>
              <w:rPr>
                <w:rFonts w:eastAsia="Times New Roman" w:cs="Times"/>
                <w:sz w:val="20"/>
              </w:rPr>
            </w:pPr>
          </w:p>
        </w:tc>
        <w:tc>
          <w:tcPr>
            <w:tcW w:w="3145" w:type="dxa"/>
            <w:gridSpan w:val="2"/>
            <w:tcBorders>
              <w:top w:val="single" w:sz="4" w:space="0" w:color="auto"/>
              <w:left w:val="nil"/>
              <w:bottom w:val="single" w:sz="4" w:space="0" w:color="auto"/>
              <w:right w:val="nil"/>
            </w:tcBorders>
            <w:shd w:val="clear" w:color="auto" w:fill="auto"/>
            <w:vAlign w:val="bottom"/>
            <w:hideMark/>
          </w:tcPr>
          <w:p w14:paraId="77859C3D" w14:textId="77777777" w:rsidR="006220A2" w:rsidRPr="00B819FB" w:rsidRDefault="006220A2" w:rsidP="00852114">
            <w:pPr>
              <w:jc w:val="center"/>
              <w:rPr>
                <w:rFonts w:eastAsia="Times New Roman"/>
                <w:b/>
                <w:bCs/>
                <w:sz w:val="18"/>
                <w:szCs w:val="18"/>
              </w:rPr>
            </w:pPr>
            <w:r w:rsidRPr="00B819FB">
              <w:rPr>
                <w:rFonts w:eastAsia="Times New Roman"/>
                <w:b/>
                <w:bCs/>
                <w:sz w:val="18"/>
                <w:szCs w:val="18"/>
              </w:rPr>
              <w:t>Euros</w:t>
            </w:r>
          </w:p>
        </w:tc>
      </w:tr>
      <w:tr w:rsidR="006220A2" w:rsidRPr="00B819FB" w14:paraId="7991FB39" w14:textId="77777777" w:rsidTr="004161BD">
        <w:trPr>
          <w:trHeight w:val="170"/>
          <w:jc w:val="center"/>
        </w:trPr>
        <w:tc>
          <w:tcPr>
            <w:tcW w:w="3659" w:type="dxa"/>
            <w:tcBorders>
              <w:top w:val="nil"/>
              <w:left w:val="nil"/>
              <w:bottom w:val="single" w:sz="4" w:space="0" w:color="auto"/>
              <w:right w:val="nil"/>
            </w:tcBorders>
            <w:shd w:val="clear" w:color="auto" w:fill="auto"/>
            <w:vAlign w:val="bottom"/>
            <w:hideMark/>
          </w:tcPr>
          <w:p w14:paraId="18C591D0" w14:textId="77777777" w:rsidR="006220A2" w:rsidRPr="00B819FB" w:rsidRDefault="006220A2" w:rsidP="00852114">
            <w:pPr>
              <w:jc w:val="center"/>
              <w:rPr>
                <w:rFonts w:eastAsia="Times New Roman" w:cs="Times"/>
                <w:sz w:val="20"/>
              </w:rPr>
            </w:pPr>
          </w:p>
        </w:tc>
        <w:tc>
          <w:tcPr>
            <w:tcW w:w="1595" w:type="dxa"/>
            <w:tcBorders>
              <w:top w:val="nil"/>
              <w:left w:val="nil"/>
              <w:bottom w:val="single" w:sz="4" w:space="0" w:color="auto"/>
              <w:right w:val="nil"/>
            </w:tcBorders>
            <w:shd w:val="clear" w:color="auto" w:fill="auto"/>
            <w:vAlign w:val="bottom"/>
            <w:hideMark/>
          </w:tcPr>
          <w:p w14:paraId="6E778FDB" w14:textId="77777777" w:rsidR="006220A2" w:rsidRPr="00B819FB" w:rsidRDefault="00960E49" w:rsidP="00852114">
            <w:pPr>
              <w:jc w:val="center"/>
              <w:rPr>
                <w:rFonts w:eastAsia="Times New Roman"/>
                <w:b/>
                <w:bCs/>
                <w:sz w:val="18"/>
                <w:szCs w:val="18"/>
              </w:rPr>
            </w:pPr>
            <w:r>
              <w:rPr>
                <w:rFonts w:eastAsia="Times New Roman"/>
                <w:b/>
                <w:bCs/>
                <w:sz w:val="18"/>
                <w:szCs w:val="18"/>
              </w:rPr>
              <w:t>2018</w:t>
            </w:r>
          </w:p>
        </w:tc>
        <w:tc>
          <w:tcPr>
            <w:tcW w:w="1550" w:type="dxa"/>
            <w:tcBorders>
              <w:top w:val="nil"/>
              <w:left w:val="nil"/>
              <w:bottom w:val="single" w:sz="4" w:space="0" w:color="auto"/>
              <w:right w:val="nil"/>
            </w:tcBorders>
            <w:shd w:val="clear" w:color="auto" w:fill="auto"/>
            <w:vAlign w:val="bottom"/>
            <w:hideMark/>
          </w:tcPr>
          <w:p w14:paraId="7BD6C6B5" w14:textId="77777777" w:rsidR="006220A2" w:rsidRPr="00B819FB" w:rsidRDefault="006220A2" w:rsidP="00852114">
            <w:pPr>
              <w:jc w:val="center"/>
              <w:rPr>
                <w:rFonts w:eastAsia="Times New Roman"/>
                <w:b/>
                <w:bCs/>
                <w:sz w:val="18"/>
                <w:szCs w:val="18"/>
              </w:rPr>
            </w:pPr>
            <w:r w:rsidRPr="00B819FB">
              <w:rPr>
                <w:rFonts w:eastAsia="Times New Roman"/>
                <w:b/>
                <w:bCs/>
                <w:sz w:val="18"/>
                <w:szCs w:val="18"/>
              </w:rPr>
              <w:t>2</w:t>
            </w:r>
            <w:r w:rsidR="00960E49">
              <w:rPr>
                <w:rFonts w:eastAsia="Times New Roman"/>
                <w:b/>
                <w:bCs/>
                <w:sz w:val="18"/>
                <w:szCs w:val="18"/>
              </w:rPr>
              <w:t>017</w:t>
            </w:r>
          </w:p>
        </w:tc>
      </w:tr>
      <w:tr w:rsidR="006220A2" w:rsidRPr="00B819FB" w14:paraId="4DD28E6F" w14:textId="77777777" w:rsidTr="00693BB6">
        <w:trPr>
          <w:trHeight w:val="238"/>
          <w:jc w:val="center"/>
        </w:trPr>
        <w:tc>
          <w:tcPr>
            <w:tcW w:w="3659" w:type="dxa"/>
            <w:tcBorders>
              <w:top w:val="nil"/>
              <w:left w:val="nil"/>
              <w:bottom w:val="nil"/>
              <w:right w:val="nil"/>
            </w:tcBorders>
            <w:shd w:val="clear" w:color="auto" w:fill="auto"/>
            <w:vAlign w:val="center"/>
            <w:hideMark/>
          </w:tcPr>
          <w:p w14:paraId="705FA214" w14:textId="77777777" w:rsidR="006220A2" w:rsidRPr="00B819FB" w:rsidRDefault="006220A2" w:rsidP="00852114">
            <w:pPr>
              <w:jc w:val="both"/>
              <w:rPr>
                <w:rFonts w:eastAsia="Times New Roman"/>
                <w:b/>
                <w:bCs/>
                <w:sz w:val="18"/>
                <w:szCs w:val="18"/>
              </w:rPr>
            </w:pPr>
            <w:r w:rsidRPr="00B819FB">
              <w:rPr>
                <w:rFonts w:eastAsia="Times New Roman"/>
                <w:b/>
                <w:bCs/>
                <w:sz w:val="18"/>
                <w:szCs w:val="18"/>
              </w:rPr>
              <w:t>Gastos de explotación</w:t>
            </w:r>
          </w:p>
        </w:tc>
        <w:tc>
          <w:tcPr>
            <w:tcW w:w="1595" w:type="dxa"/>
            <w:tcBorders>
              <w:top w:val="nil"/>
              <w:left w:val="nil"/>
              <w:bottom w:val="nil"/>
              <w:right w:val="nil"/>
            </w:tcBorders>
            <w:shd w:val="clear" w:color="auto" w:fill="auto"/>
            <w:vAlign w:val="center"/>
            <w:hideMark/>
          </w:tcPr>
          <w:p w14:paraId="1FD9DA85" w14:textId="77777777" w:rsidR="006220A2" w:rsidRPr="00B819FB" w:rsidRDefault="006220A2" w:rsidP="00852114">
            <w:pPr>
              <w:jc w:val="both"/>
              <w:rPr>
                <w:rFonts w:eastAsia="Times New Roman"/>
                <w:b/>
                <w:bCs/>
                <w:sz w:val="18"/>
                <w:szCs w:val="18"/>
              </w:rPr>
            </w:pPr>
          </w:p>
        </w:tc>
        <w:tc>
          <w:tcPr>
            <w:tcW w:w="1550" w:type="dxa"/>
            <w:tcBorders>
              <w:top w:val="nil"/>
              <w:left w:val="nil"/>
              <w:bottom w:val="nil"/>
              <w:right w:val="nil"/>
            </w:tcBorders>
            <w:shd w:val="clear" w:color="auto" w:fill="auto"/>
            <w:vAlign w:val="center"/>
            <w:hideMark/>
          </w:tcPr>
          <w:p w14:paraId="03A0E089" w14:textId="77777777" w:rsidR="006220A2" w:rsidRPr="00B819FB" w:rsidRDefault="006220A2" w:rsidP="00852114">
            <w:pPr>
              <w:jc w:val="both"/>
              <w:rPr>
                <w:rFonts w:eastAsia="Times New Roman"/>
                <w:b/>
                <w:bCs/>
                <w:sz w:val="18"/>
                <w:szCs w:val="18"/>
              </w:rPr>
            </w:pPr>
          </w:p>
        </w:tc>
      </w:tr>
      <w:tr w:rsidR="00960E49" w:rsidRPr="00B819FB" w14:paraId="67AB8A08" w14:textId="77777777" w:rsidTr="00693BB6">
        <w:trPr>
          <w:trHeight w:val="238"/>
          <w:jc w:val="center"/>
        </w:trPr>
        <w:tc>
          <w:tcPr>
            <w:tcW w:w="3659" w:type="dxa"/>
            <w:tcBorders>
              <w:top w:val="nil"/>
              <w:left w:val="nil"/>
              <w:bottom w:val="nil"/>
              <w:right w:val="nil"/>
            </w:tcBorders>
            <w:shd w:val="clear" w:color="auto" w:fill="auto"/>
            <w:vAlign w:val="center"/>
            <w:hideMark/>
          </w:tcPr>
          <w:p w14:paraId="21AF07AD" w14:textId="77777777" w:rsidR="00960E49" w:rsidRPr="00B819FB" w:rsidRDefault="00960E49" w:rsidP="00960E49">
            <w:pPr>
              <w:jc w:val="both"/>
              <w:rPr>
                <w:rFonts w:eastAsia="Times New Roman"/>
                <w:sz w:val="18"/>
                <w:szCs w:val="18"/>
              </w:rPr>
            </w:pPr>
            <w:r w:rsidRPr="00B819FB">
              <w:rPr>
                <w:rFonts w:eastAsia="Times New Roman"/>
                <w:sz w:val="18"/>
                <w:szCs w:val="18"/>
              </w:rPr>
              <w:t>Trabajos realizados por otras empresas</w:t>
            </w:r>
          </w:p>
        </w:tc>
        <w:tc>
          <w:tcPr>
            <w:tcW w:w="1595" w:type="dxa"/>
            <w:tcBorders>
              <w:top w:val="nil"/>
              <w:left w:val="nil"/>
              <w:bottom w:val="nil"/>
              <w:right w:val="nil"/>
            </w:tcBorders>
            <w:shd w:val="clear" w:color="auto" w:fill="auto"/>
            <w:vAlign w:val="center"/>
          </w:tcPr>
          <w:p w14:paraId="52C63909" w14:textId="77777777" w:rsidR="00960E49" w:rsidRDefault="00960E49" w:rsidP="00960E49">
            <w:pPr>
              <w:jc w:val="right"/>
              <w:rPr>
                <w:sz w:val="18"/>
                <w:szCs w:val="18"/>
              </w:rPr>
            </w:pPr>
            <w:r>
              <w:rPr>
                <w:sz w:val="18"/>
                <w:szCs w:val="18"/>
              </w:rPr>
              <w:t>19.532.368,51</w:t>
            </w:r>
          </w:p>
        </w:tc>
        <w:tc>
          <w:tcPr>
            <w:tcW w:w="1550" w:type="dxa"/>
            <w:tcBorders>
              <w:top w:val="nil"/>
              <w:left w:val="nil"/>
              <w:bottom w:val="nil"/>
              <w:right w:val="nil"/>
            </w:tcBorders>
            <w:shd w:val="clear" w:color="auto" w:fill="auto"/>
            <w:vAlign w:val="center"/>
          </w:tcPr>
          <w:p w14:paraId="1986E929" w14:textId="77777777" w:rsidR="00960E49" w:rsidRDefault="00960E49" w:rsidP="00960E49">
            <w:pPr>
              <w:jc w:val="right"/>
              <w:rPr>
                <w:sz w:val="18"/>
                <w:szCs w:val="18"/>
              </w:rPr>
            </w:pPr>
            <w:r>
              <w:rPr>
                <w:sz w:val="18"/>
                <w:szCs w:val="18"/>
              </w:rPr>
              <w:t>18.640.577,74</w:t>
            </w:r>
          </w:p>
        </w:tc>
      </w:tr>
      <w:tr w:rsidR="00960E49" w:rsidRPr="00B819FB" w14:paraId="66550F9D" w14:textId="77777777" w:rsidTr="00693BB6">
        <w:trPr>
          <w:trHeight w:val="238"/>
          <w:jc w:val="center"/>
        </w:trPr>
        <w:tc>
          <w:tcPr>
            <w:tcW w:w="3659" w:type="dxa"/>
            <w:tcBorders>
              <w:top w:val="single" w:sz="4" w:space="0" w:color="auto"/>
              <w:left w:val="nil"/>
              <w:bottom w:val="single" w:sz="4" w:space="0" w:color="auto"/>
              <w:right w:val="nil"/>
            </w:tcBorders>
            <w:shd w:val="clear" w:color="auto" w:fill="auto"/>
            <w:vAlign w:val="center"/>
            <w:hideMark/>
          </w:tcPr>
          <w:p w14:paraId="3ADB4154" w14:textId="77777777" w:rsidR="00960E49" w:rsidRPr="00B819FB" w:rsidRDefault="00960E49" w:rsidP="00960E49">
            <w:pPr>
              <w:rPr>
                <w:rFonts w:eastAsia="Times New Roman"/>
                <w:b/>
                <w:bCs/>
                <w:sz w:val="18"/>
                <w:szCs w:val="18"/>
              </w:rPr>
            </w:pPr>
            <w:r w:rsidRPr="00B819FB">
              <w:rPr>
                <w:rFonts w:eastAsia="Times New Roman"/>
                <w:b/>
                <w:bCs/>
                <w:sz w:val="18"/>
                <w:szCs w:val="18"/>
              </w:rPr>
              <w:t>Total</w:t>
            </w:r>
          </w:p>
        </w:tc>
        <w:tc>
          <w:tcPr>
            <w:tcW w:w="1595" w:type="dxa"/>
            <w:tcBorders>
              <w:top w:val="single" w:sz="4" w:space="0" w:color="auto"/>
              <w:left w:val="nil"/>
              <w:bottom w:val="single" w:sz="4" w:space="0" w:color="auto"/>
              <w:right w:val="nil"/>
            </w:tcBorders>
            <w:shd w:val="clear" w:color="auto" w:fill="auto"/>
            <w:vAlign w:val="center"/>
          </w:tcPr>
          <w:p w14:paraId="086606FD" w14:textId="77777777" w:rsidR="00960E49" w:rsidRDefault="00960E49" w:rsidP="00960E49">
            <w:pPr>
              <w:jc w:val="right"/>
              <w:rPr>
                <w:b/>
                <w:bCs/>
                <w:sz w:val="18"/>
                <w:szCs w:val="18"/>
              </w:rPr>
            </w:pPr>
            <w:r>
              <w:rPr>
                <w:b/>
                <w:bCs/>
                <w:sz w:val="18"/>
                <w:szCs w:val="18"/>
              </w:rPr>
              <w:t>19.532.368,51</w:t>
            </w:r>
          </w:p>
        </w:tc>
        <w:tc>
          <w:tcPr>
            <w:tcW w:w="1550" w:type="dxa"/>
            <w:tcBorders>
              <w:top w:val="single" w:sz="4" w:space="0" w:color="auto"/>
              <w:left w:val="nil"/>
              <w:bottom w:val="single" w:sz="4" w:space="0" w:color="auto"/>
              <w:right w:val="nil"/>
            </w:tcBorders>
            <w:shd w:val="clear" w:color="auto" w:fill="auto"/>
            <w:vAlign w:val="center"/>
          </w:tcPr>
          <w:p w14:paraId="4D26D8B9" w14:textId="77777777" w:rsidR="00960E49" w:rsidRDefault="00960E49" w:rsidP="00960E49">
            <w:pPr>
              <w:jc w:val="right"/>
              <w:rPr>
                <w:b/>
                <w:bCs/>
                <w:sz w:val="18"/>
                <w:szCs w:val="18"/>
              </w:rPr>
            </w:pPr>
            <w:r>
              <w:rPr>
                <w:b/>
                <w:bCs/>
                <w:sz w:val="18"/>
                <w:szCs w:val="18"/>
              </w:rPr>
              <w:t>18.640.577,74</w:t>
            </w:r>
          </w:p>
        </w:tc>
      </w:tr>
    </w:tbl>
    <w:p w14:paraId="6844F524" w14:textId="77777777" w:rsidR="006220A2" w:rsidRDefault="006220A2" w:rsidP="006220A2">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284"/>
        </w:tabs>
        <w:spacing w:before="200"/>
        <w:ind w:left="0" w:firstLine="0"/>
        <w:outlineLvl w:val="9"/>
        <w:rPr>
          <w:sz w:val="20"/>
          <w:szCs w:val="22"/>
          <w:u w:val="single"/>
        </w:rPr>
      </w:pPr>
      <w:r w:rsidRPr="000734A2">
        <w:rPr>
          <w:sz w:val="20"/>
          <w:szCs w:val="22"/>
          <w:u w:val="single"/>
        </w:rPr>
        <w:t>Gastos de personal</w:t>
      </w:r>
    </w:p>
    <w:p w14:paraId="387D50A0" w14:textId="77777777" w:rsidR="006220A2" w:rsidRDefault="006220A2" w:rsidP="006220A2">
      <w:pPr>
        <w:widowControl w:val="0"/>
        <w:tabs>
          <w:tab w:val="left" w:pos="1134"/>
          <w:tab w:val="left" w:pos="1587"/>
        </w:tabs>
        <w:spacing w:before="120" w:after="120"/>
        <w:jc w:val="both"/>
        <w:rPr>
          <w:sz w:val="20"/>
          <w:szCs w:val="22"/>
        </w:rPr>
      </w:pPr>
      <w:r w:rsidRPr="000734A2">
        <w:rPr>
          <w:sz w:val="20"/>
          <w:szCs w:val="22"/>
        </w:rPr>
        <w:t xml:space="preserve">El detalle de los </w:t>
      </w:r>
      <w:r>
        <w:rPr>
          <w:sz w:val="20"/>
          <w:szCs w:val="22"/>
        </w:rPr>
        <w:t xml:space="preserve">gastos de personal </w:t>
      </w:r>
      <w:r w:rsidRPr="000734A2">
        <w:rPr>
          <w:sz w:val="20"/>
          <w:szCs w:val="22"/>
        </w:rPr>
        <w:t>del ejercicio 201</w:t>
      </w:r>
      <w:r w:rsidR="00CF69E6">
        <w:rPr>
          <w:sz w:val="20"/>
          <w:szCs w:val="22"/>
        </w:rPr>
        <w:t>8 y 2017</w:t>
      </w:r>
      <w:r w:rsidRPr="000734A2">
        <w:rPr>
          <w:sz w:val="20"/>
          <w:szCs w:val="22"/>
        </w:rPr>
        <w:t xml:space="preserve">, es </w:t>
      </w:r>
      <w:r>
        <w:rPr>
          <w:sz w:val="20"/>
          <w:szCs w:val="22"/>
        </w:rPr>
        <w:t>el siguiente</w:t>
      </w:r>
      <w:r w:rsidRPr="000734A2">
        <w:rPr>
          <w:sz w:val="20"/>
          <w:szCs w:val="22"/>
        </w:rPr>
        <w:t>:</w:t>
      </w:r>
    </w:p>
    <w:tbl>
      <w:tblPr>
        <w:tblW w:w="6804" w:type="dxa"/>
        <w:jc w:val="center"/>
        <w:tblCellMar>
          <w:left w:w="70" w:type="dxa"/>
          <w:right w:w="70" w:type="dxa"/>
        </w:tblCellMar>
        <w:tblLook w:val="04A0" w:firstRow="1" w:lastRow="0" w:firstColumn="1" w:lastColumn="0" w:noHBand="0" w:noVBand="1"/>
      </w:tblPr>
      <w:tblGrid>
        <w:gridCol w:w="3049"/>
        <w:gridCol w:w="1971"/>
        <w:gridCol w:w="1784"/>
      </w:tblGrid>
      <w:tr w:rsidR="006220A2" w:rsidRPr="00374A03" w14:paraId="5CB9F068" w14:textId="77777777" w:rsidTr="004161BD">
        <w:trPr>
          <w:trHeight w:val="170"/>
          <w:jc w:val="center"/>
        </w:trPr>
        <w:tc>
          <w:tcPr>
            <w:tcW w:w="3049" w:type="dxa"/>
            <w:tcBorders>
              <w:top w:val="single" w:sz="4" w:space="0" w:color="auto"/>
              <w:left w:val="nil"/>
              <w:bottom w:val="nil"/>
              <w:right w:val="nil"/>
            </w:tcBorders>
            <w:shd w:val="clear" w:color="auto" w:fill="auto"/>
            <w:vAlign w:val="bottom"/>
            <w:hideMark/>
          </w:tcPr>
          <w:p w14:paraId="3A8AEF34" w14:textId="77777777" w:rsidR="006220A2" w:rsidRPr="00374A03" w:rsidRDefault="006220A2" w:rsidP="00852114">
            <w:pPr>
              <w:jc w:val="center"/>
              <w:rPr>
                <w:rFonts w:eastAsia="Times New Roman" w:cs="Times"/>
                <w:sz w:val="20"/>
              </w:rPr>
            </w:pPr>
          </w:p>
        </w:tc>
        <w:tc>
          <w:tcPr>
            <w:tcW w:w="3755" w:type="dxa"/>
            <w:gridSpan w:val="2"/>
            <w:tcBorders>
              <w:top w:val="single" w:sz="4" w:space="0" w:color="auto"/>
              <w:left w:val="nil"/>
              <w:bottom w:val="single" w:sz="4" w:space="0" w:color="auto"/>
              <w:right w:val="nil"/>
            </w:tcBorders>
            <w:shd w:val="clear" w:color="auto" w:fill="auto"/>
            <w:vAlign w:val="bottom"/>
            <w:hideMark/>
          </w:tcPr>
          <w:p w14:paraId="7F077900" w14:textId="77777777" w:rsidR="006220A2" w:rsidRPr="00374A03" w:rsidRDefault="006220A2" w:rsidP="00852114">
            <w:pPr>
              <w:jc w:val="center"/>
              <w:rPr>
                <w:rFonts w:eastAsia="Times New Roman"/>
                <w:b/>
                <w:bCs/>
                <w:sz w:val="18"/>
                <w:szCs w:val="18"/>
              </w:rPr>
            </w:pPr>
            <w:r w:rsidRPr="00374A03">
              <w:rPr>
                <w:rFonts w:eastAsia="Times New Roman"/>
                <w:b/>
                <w:bCs/>
                <w:sz w:val="18"/>
                <w:szCs w:val="18"/>
              </w:rPr>
              <w:t>Euros</w:t>
            </w:r>
          </w:p>
        </w:tc>
      </w:tr>
      <w:tr w:rsidR="006220A2" w:rsidRPr="00374A03" w14:paraId="2163E2BD" w14:textId="77777777" w:rsidTr="004161BD">
        <w:trPr>
          <w:trHeight w:val="170"/>
          <w:jc w:val="center"/>
        </w:trPr>
        <w:tc>
          <w:tcPr>
            <w:tcW w:w="3049" w:type="dxa"/>
            <w:tcBorders>
              <w:top w:val="nil"/>
              <w:left w:val="nil"/>
              <w:bottom w:val="single" w:sz="4" w:space="0" w:color="auto"/>
              <w:right w:val="nil"/>
            </w:tcBorders>
            <w:shd w:val="clear" w:color="auto" w:fill="auto"/>
            <w:vAlign w:val="bottom"/>
            <w:hideMark/>
          </w:tcPr>
          <w:p w14:paraId="6448A5EA" w14:textId="77777777" w:rsidR="006220A2" w:rsidRPr="00374A03" w:rsidRDefault="006220A2" w:rsidP="00852114">
            <w:pPr>
              <w:jc w:val="center"/>
              <w:rPr>
                <w:rFonts w:eastAsia="Times New Roman" w:cs="Times"/>
                <w:sz w:val="20"/>
              </w:rPr>
            </w:pPr>
          </w:p>
        </w:tc>
        <w:tc>
          <w:tcPr>
            <w:tcW w:w="1971" w:type="dxa"/>
            <w:tcBorders>
              <w:top w:val="nil"/>
              <w:left w:val="nil"/>
              <w:bottom w:val="single" w:sz="4" w:space="0" w:color="auto"/>
              <w:right w:val="nil"/>
            </w:tcBorders>
            <w:shd w:val="clear" w:color="auto" w:fill="auto"/>
            <w:vAlign w:val="bottom"/>
            <w:hideMark/>
          </w:tcPr>
          <w:p w14:paraId="5211DD92" w14:textId="77777777" w:rsidR="006220A2" w:rsidRPr="00374A03" w:rsidRDefault="00CF69E6" w:rsidP="00852114">
            <w:pPr>
              <w:jc w:val="center"/>
              <w:rPr>
                <w:rFonts w:eastAsia="Times New Roman"/>
                <w:b/>
                <w:bCs/>
                <w:sz w:val="18"/>
                <w:szCs w:val="18"/>
              </w:rPr>
            </w:pPr>
            <w:r>
              <w:rPr>
                <w:rFonts w:eastAsia="Times New Roman"/>
                <w:b/>
                <w:bCs/>
                <w:sz w:val="18"/>
                <w:szCs w:val="18"/>
              </w:rPr>
              <w:t>2018</w:t>
            </w:r>
          </w:p>
        </w:tc>
        <w:tc>
          <w:tcPr>
            <w:tcW w:w="1784" w:type="dxa"/>
            <w:tcBorders>
              <w:top w:val="nil"/>
              <w:left w:val="nil"/>
              <w:bottom w:val="single" w:sz="4" w:space="0" w:color="auto"/>
              <w:right w:val="nil"/>
            </w:tcBorders>
            <w:shd w:val="clear" w:color="auto" w:fill="auto"/>
            <w:vAlign w:val="bottom"/>
            <w:hideMark/>
          </w:tcPr>
          <w:p w14:paraId="126E0288" w14:textId="77777777" w:rsidR="006220A2" w:rsidRPr="00374A03" w:rsidRDefault="00CF69E6" w:rsidP="00852114">
            <w:pPr>
              <w:jc w:val="center"/>
              <w:rPr>
                <w:rFonts w:eastAsia="Times New Roman"/>
                <w:b/>
                <w:bCs/>
                <w:sz w:val="18"/>
                <w:szCs w:val="18"/>
              </w:rPr>
            </w:pPr>
            <w:r>
              <w:rPr>
                <w:rFonts w:eastAsia="Times New Roman"/>
                <w:b/>
                <w:bCs/>
                <w:sz w:val="18"/>
                <w:szCs w:val="18"/>
              </w:rPr>
              <w:t>2017</w:t>
            </w:r>
          </w:p>
        </w:tc>
      </w:tr>
      <w:tr w:rsidR="006220A2" w:rsidRPr="00374A03" w14:paraId="64CC13FD" w14:textId="77777777" w:rsidTr="00693BB6">
        <w:trPr>
          <w:trHeight w:val="238"/>
          <w:jc w:val="center"/>
        </w:trPr>
        <w:tc>
          <w:tcPr>
            <w:tcW w:w="3049" w:type="dxa"/>
            <w:tcBorders>
              <w:top w:val="nil"/>
              <w:left w:val="nil"/>
              <w:bottom w:val="nil"/>
              <w:right w:val="nil"/>
            </w:tcBorders>
            <w:shd w:val="clear" w:color="auto" w:fill="auto"/>
            <w:vAlign w:val="center"/>
            <w:hideMark/>
          </w:tcPr>
          <w:p w14:paraId="0FFE4381" w14:textId="77777777" w:rsidR="006220A2" w:rsidRPr="00374A03" w:rsidRDefault="006220A2" w:rsidP="00852114">
            <w:pPr>
              <w:rPr>
                <w:rFonts w:eastAsia="Times New Roman"/>
                <w:b/>
                <w:bCs/>
                <w:sz w:val="18"/>
                <w:szCs w:val="18"/>
              </w:rPr>
            </w:pPr>
            <w:r w:rsidRPr="00374A03">
              <w:rPr>
                <w:rFonts w:eastAsia="Times New Roman"/>
                <w:b/>
                <w:bCs/>
                <w:sz w:val="18"/>
                <w:szCs w:val="18"/>
              </w:rPr>
              <w:t>Gastos de personal</w:t>
            </w:r>
          </w:p>
        </w:tc>
        <w:tc>
          <w:tcPr>
            <w:tcW w:w="1971" w:type="dxa"/>
            <w:tcBorders>
              <w:top w:val="nil"/>
              <w:left w:val="nil"/>
              <w:bottom w:val="nil"/>
              <w:right w:val="nil"/>
            </w:tcBorders>
            <w:shd w:val="clear" w:color="auto" w:fill="auto"/>
            <w:vAlign w:val="center"/>
            <w:hideMark/>
          </w:tcPr>
          <w:p w14:paraId="28707359" w14:textId="77777777" w:rsidR="006220A2" w:rsidRPr="00374A03" w:rsidRDefault="006220A2" w:rsidP="00852114">
            <w:pPr>
              <w:rPr>
                <w:rFonts w:eastAsia="Times New Roman"/>
                <w:b/>
                <w:bCs/>
                <w:sz w:val="18"/>
                <w:szCs w:val="18"/>
              </w:rPr>
            </w:pPr>
          </w:p>
        </w:tc>
        <w:tc>
          <w:tcPr>
            <w:tcW w:w="1784" w:type="dxa"/>
            <w:tcBorders>
              <w:top w:val="nil"/>
              <w:left w:val="nil"/>
              <w:bottom w:val="nil"/>
              <w:right w:val="nil"/>
            </w:tcBorders>
            <w:shd w:val="clear" w:color="auto" w:fill="auto"/>
            <w:vAlign w:val="center"/>
            <w:hideMark/>
          </w:tcPr>
          <w:p w14:paraId="7D05DBBE" w14:textId="77777777" w:rsidR="006220A2" w:rsidRPr="00374A03" w:rsidRDefault="006220A2" w:rsidP="00852114">
            <w:pPr>
              <w:rPr>
                <w:rFonts w:eastAsia="Times New Roman"/>
                <w:b/>
                <w:bCs/>
                <w:sz w:val="18"/>
                <w:szCs w:val="18"/>
              </w:rPr>
            </w:pPr>
          </w:p>
        </w:tc>
      </w:tr>
      <w:tr w:rsidR="00CF69E6" w:rsidRPr="00374A03" w14:paraId="271A70FC" w14:textId="77777777" w:rsidTr="00693BB6">
        <w:trPr>
          <w:trHeight w:val="238"/>
          <w:jc w:val="center"/>
        </w:trPr>
        <w:tc>
          <w:tcPr>
            <w:tcW w:w="3049" w:type="dxa"/>
            <w:tcBorders>
              <w:top w:val="nil"/>
              <w:left w:val="nil"/>
              <w:bottom w:val="nil"/>
              <w:right w:val="nil"/>
            </w:tcBorders>
            <w:shd w:val="clear" w:color="auto" w:fill="auto"/>
            <w:vAlign w:val="center"/>
            <w:hideMark/>
          </w:tcPr>
          <w:p w14:paraId="0427B671" w14:textId="77777777" w:rsidR="00CF69E6" w:rsidRPr="00374A03" w:rsidRDefault="00CF69E6" w:rsidP="00CF69E6">
            <w:pPr>
              <w:rPr>
                <w:rFonts w:eastAsia="Times New Roman"/>
                <w:sz w:val="18"/>
                <w:szCs w:val="18"/>
              </w:rPr>
            </w:pPr>
            <w:r w:rsidRPr="00374A03">
              <w:rPr>
                <w:rFonts w:eastAsia="Times New Roman"/>
                <w:sz w:val="18"/>
                <w:szCs w:val="18"/>
              </w:rPr>
              <w:t>Sueldos y salarios</w:t>
            </w:r>
          </w:p>
        </w:tc>
        <w:tc>
          <w:tcPr>
            <w:tcW w:w="1971" w:type="dxa"/>
            <w:tcBorders>
              <w:top w:val="nil"/>
              <w:left w:val="nil"/>
              <w:bottom w:val="nil"/>
              <w:right w:val="nil"/>
            </w:tcBorders>
            <w:shd w:val="clear" w:color="auto" w:fill="auto"/>
            <w:vAlign w:val="center"/>
          </w:tcPr>
          <w:p w14:paraId="028EC540" w14:textId="77777777" w:rsidR="00CF69E6" w:rsidRDefault="00CF69E6" w:rsidP="00CF69E6">
            <w:pPr>
              <w:jc w:val="right"/>
              <w:rPr>
                <w:sz w:val="18"/>
                <w:szCs w:val="18"/>
              </w:rPr>
            </w:pPr>
            <w:r>
              <w:rPr>
                <w:sz w:val="18"/>
                <w:szCs w:val="18"/>
              </w:rPr>
              <w:t>1.472.569,97</w:t>
            </w:r>
          </w:p>
        </w:tc>
        <w:tc>
          <w:tcPr>
            <w:tcW w:w="1784" w:type="dxa"/>
            <w:tcBorders>
              <w:top w:val="nil"/>
              <w:left w:val="nil"/>
              <w:bottom w:val="nil"/>
              <w:right w:val="nil"/>
            </w:tcBorders>
            <w:shd w:val="clear" w:color="auto" w:fill="auto"/>
            <w:vAlign w:val="center"/>
          </w:tcPr>
          <w:p w14:paraId="3A31E491" w14:textId="77777777" w:rsidR="00CF69E6" w:rsidRDefault="00CF69E6" w:rsidP="00CF69E6">
            <w:pPr>
              <w:jc w:val="right"/>
              <w:rPr>
                <w:sz w:val="18"/>
                <w:szCs w:val="18"/>
              </w:rPr>
            </w:pPr>
            <w:r>
              <w:rPr>
                <w:sz w:val="18"/>
                <w:szCs w:val="18"/>
              </w:rPr>
              <w:t>1.438.419,60</w:t>
            </w:r>
          </w:p>
        </w:tc>
      </w:tr>
      <w:tr w:rsidR="00CF69E6" w:rsidRPr="00374A03" w14:paraId="40F3FD69" w14:textId="77777777" w:rsidTr="00693BB6">
        <w:trPr>
          <w:trHeight w:val="238"/>
          <w:jc w:val="center"/>
        </w:trPr>
        <w:tc>
          <w:tcPr>
            <w:tcW w:w="3049" w:type="dxa"/>
            <w:tcBorders>
              <w:top w:val="nil"/>
              <w:left w:val="nil"/>
              <w:bottom w:val="nil"/>
              <w:right w:val="nil"/>
            </w:tcBorders>
            <w:shd w:val="clear" w:color="auto" w:fill="auto"/>
            <w:vAlign w:val="center"/>
          </w:tcPr>
          <w:p w14:paraId="3C6D4A04" w14:textId="77777777" w:rsidR="00CF69E6" w:rsidRDefault="00CF69E6" w:rsidP="00CF69E6">
            <w:pPr>
              <w:rPr>
                <w:rFonts w:eastAsia="Times New Roman"/>
                <w:sz w:val="18"/>
                <w:szCs w:val="18"/>
              </w:rPr>
            </w:pPr>
            <w:r>
              <w:rPr>
                <w:rFonts w:eastAsia="Times New Roman"/>
                <w:sz w:val="18"/>
                <w:szCs w:val="18"/>
              </w:rPr>
              <w:t>Indemnizaciones</w:t>
            </w:r>
          </w:p>
        </w:tc>
        <w:tc>
          <w:tcPr>
            <w:tcW w:w="1971" w:type="dxa"/>
            <w:tcBorders>
              <w:top w:val="nil"/>
              <w:left w:val="nil"/>
              <w:bottom w:val="nil"/>
              <w:right w:val="nil"/>
            </w:tcBorders>
            <w:shd w:val="clear" w:color="auto" w:fill="auto"/>
            <w:vAlign w:val="center"/>
          </w:tcPr>
          <w:p w14:paraId="47BD4675" w14:textId="77777777" w:rsidR="00CF69E6" w:rsidRDefault="00CF69E6" w:rsidP="00CF69E6">
            <w:pPr>
              <w:jc w:val="right"/>
              <w:rPr>
                <w:sz w:val="18"/>
                <w:szCs w:val="18"/>
              </w:rPr>
            </w:pPr>
            <w:r>
              <w:rPr>
                <w:sz w:val="18"/>
                <w:szCs w:val="18"/>
              </w:rPr>
              <w:t>-</w:t>
            </w:r>
          </w:p>
        </w:tc>
        <w:tc>
          <w:tcPr>
            <w:tcW w:w="1784" w:type="dxa"/>
            <w:tcBorders>
              <w:top w:val="nil"/>
              <w:left w:val="nil"/>
              <w:bottom w:val="nil"/>
              <w:right w:val="nil"/>
            </w:tcBorders>
            <w:shd w:val="clear" w:color="auto" w:fill="auto"/>
            <w:vAlign w:val="center"/>
          </w:tcPr>
          <w:p w14:paraId="4344C986" w14:textId="77777777" w:rsidR="00CF69E6" w:rsidRDefault="00CF69E6" w:rsidP="00CF69E6">
            <w:pPr>
              <w:jc w:val="right"/>
              <w:rPr>
                <w:sz w:val="18"/>
                <w:szCs w:val="18"/>
              </w:rPr>
            </w:pPr>
            <w:r>
              <w:rPr>
                <w:sz w:val="18"/>
                <w:szCs w:val="18"/>
              </w:rPr>
              <w:t>1.298,43</w:t>
            </w:r>
          </w:p>
        </w:tc>
      </w:tr>
      <w:tr w:rsidR="00CF69E6" w:rsidRPr="00374A03" w14:paraId="648A8DDB" w14:textId="77777777" w:rsidTr="00693BB6">
        <w:trPr>
          <w:trHeight w:val="238"/>
          <w:jc w:val="center"/>
        </w:trPr>
        <w:tc>
          <w:tcPr>
            <w:tcW w:w="3049" w:type="dxa"/>
            <w:tcBorders>
              <w:top w:val="nil"/>
              <w:left w:val="nil"/>
              <w:bottom w:val="nil"/>
              <w:right w:val="nil"/>
            </w:tcBorders>
            <w:shd w:val="clear" w:color="auto" w:fill="auto"/>
            <w:vAlign w:val="center"/>
            <w:hideMark/>
          </w:tcPr>
          <w:p w14:paraId="6B4D75EA" w14:textId="77777777" w:rsidR="00CF69E6" w:rsidRPr="00374A03" w:rsidRDefault="00CF69E6" w:rsidP="00CF69E6">
            <w:pPr>
              <w:rPr>
                <w:rFonts w:eastAsia="Times New Roman"/>
                <w:sz w:val="18"/>
                <w:szCs w:val="18"/>
              </w:rPr>
            </w:pPr>
            <w:r>
              <w:rPr>
                <w:rFonts w:eastAsia="Times New Roman"/>
                <w:sz w:val="18"/>
                <w:szCs w:val="18"/>
              </w:rPr>
              <w:t>Cargas Sociales</w:t>
            </w:r>
            <w:r w:rsidRPr="00374A03">
              <w:rPr>
                <w:rFonts w:eastAsia="Times New Roman"/>
                <w:sz w:val="18"/>
                <w:szCs w:val="18"/>
              </w:rPr>
              <w:t xml:space="preserve"> </w:t>
            </w:r>
          </w:p>
        </w:tc>
        <w:tc>
          <w:tcPr>
            <w:tcW w:w="1971" w:type="dxa"/>
            <w:tcBorders>
              <w:top w:val="nil"/>
              <w:left w:val="nil"/>
              <w:bottom w:val="nil"/>
              <w:right w:val="nil"/>
            </w:tcBorders>
            <w:shd w:val="clear" w:color="auto" w:fill="auto"/>
            <w:vAlign w:val="center"/>
          </w:tcPr>
          <w:p w14:paraId="15B18ADF" w14:textId="77777777" w:rsidR="00CF69E6" w:rsidRDefault="00CF69E6" w:rsidP="00CF69E6">
            <w:pPr>
              <w:jc w:val="right"/>
              <w:rPr>
                <w:sz w:val="18"/>
                <w:szCs w:val="18"/>
              </w:rPr>
            </w:pPr>
            <w:r>
              <w:rPr>
                <w:sz w:val="18"/>
                <w:szCs w:val="18"/>
              </w:rPr>
              <w:t>402.551,08</w:t>
            </w:r>
          </w:p>
        </w:tc>
        <w:tc>
          <w:tcPr>
            <w:tcW w:w="1784" w:type="dxa"/>
            <w:tcBorders>
              <w:top w:val="nil"/>
              <w:left w:val="nil"/>
              <w:bottom w:val="nil"/>
              <w:right w:val="nil"/>
            </w:tcBorders>
            <w:shd w:val="clear" w:color="auto" w:fill="auto"/>
            <w:vAlign w:val="center"/>
          </w:tcPr>
          <w:p w14:paraId="57294009" w14:textId="77777777" w:rsidR="00CF69E6" w:rsidRDefault="00CF69E6" w:rsidP="00CF69E6">
            <w:pPr>
              <w:jc w:val="right"/>
              <w:rPr>
                <w:sz w:val="18"/>
                <w:szCs w:val="18"/>
              </w:rPr>
            </w:pPr>
            <w:r>
              <w:rPr>
                <w:sz w:val="18"/>
                <w:szCs w:val="18"/>
              </w:rPr>
              <w:t>390.979,49</w:t>
            </w:r>
          </w:p>
        </w:tc>
      </w:tr>
      <w:tr w:rsidR="00CF69E6" w:rsidRPr="00374A03" w14:paraId="3978E34A" w14:textId="77777777" w:rsidTr="00693BB6">
        <w:trPr>
          <w:trHeight w:val="238"/>
          <w:jc w:val="center"/>
        </w:trPr>
        <w:tc>
          <w:tcPr>
            <w:tcW w:w="3049" w:type="dxa"/>
            <w:tcBorders>
              <w:top w:val="nil"/>
              <w:left w:val="nil"/>
              <w:bottom w:val="nil"/>
              <w:right w:val="nil"/>
            </w:tcBorders>
            <w:shd w:val="clear" w:color="auto" w:fill="auto"/>
            <w:vAlign w:val="center"/>
          </w:tcPr>
          <w:p w14:paraId="3270FCAD" w14:textId="77777777" w:rsidR="00CF69E6" w:rsidRDefault="00CF69E6" w:rsidP="00CF69E6">
            <w:pPr>
              <w:rPr>
                <w:rFonts w:eastAsia="Times New Roman"/>
                <w:sz w:val="18"/>
                <w:szCs w:val="18"/>
              </w:rPr>
            </w:pPr>
            <w:r>
              <w:rPr>
                <w:rFonts w:eastAsia="Times New Roman"/>
                <w:sz w:val="18"/>
                <w:szCs w:val="18"/>
              </w:rPr>
              <w:t>Otros Gastos Sociales</w:t>
            </w:r>
          </w:p>
        </w:tc>
        <w:tc>
          <w:tcPr>
            <w:tcW w:w="1971" w:type="dxa"/>
            <w:tcBorders>
              <w:top w:val="nil"/>
              <w:left w:val="nil"/>
              <w:bottom w:val="nil"/>
              <w:right w:val="nil"/>
            </w:tcBorders>
            <w:shd w:val="clear" w:color="auto" w:fill="auto"/>
            <w:vAlign w:val="center"/>
          </w:tcPr>
          <w:p w14:paraId="339A44D3" w14:textId="77777777" w:rsidR="00CF69E6" w:rsidRDefault="00CF69E6" w:rsidP="00CF69E6">
            <w:pPr>
              <w:jc w:val="right"/>
              <w:rPr>
                <w:sz w:val="18"/>
                <w:szCs w:val="18"/>
              </w:rPr>
            </w:pPr>
            <w:r>
              <w:rPr>
                <w:sz w:val="18"/>
                <w:szCs w:val="18"/>
              </w:rPr>
              <w:t>7.643,76</w:t>
            </w:r>
          </w:p>
        </w:tc>
        <w:tc>
          <w:tcPr>
            <w:tcW w:w="1784" w:type="dxa"/>
            <w:tcBorders>
              <w:top w:val="nil"/>
              <w:left w:val="nil"/>
              <w:bottom w:val="nil"/>
              <w:right w:val="nil"/>
            </w:tcBorders>
            <w:shd w:val="clear" w:color="auto" w:fill="auto"/>
            <w:vAlign w:val="center"/>
          </w:tcPr>
          <w:p w14:paraId="404F3389" w14:textId="77777777" w:rsidR="00CF69E6" w:rsidRDefault="00CF69E6" w:rsidP="00CF69E6">
            <w:pPr>
              <w:jc w:val="right"/>
              <w:rPr>
                <w:sz w:val="18"/>
                <w:szCs w:val="18"/>
              </w:rPr>
            </w:pPr>
            <w:r>
              <w:rPr>
                <w:sz w:val="18"/>
                <w:szCs w:val="18"/>
              </w:rPr>
              <w:t>8.599,07</w:t>
            </w:r>
          </w:p>
        </w:tc>
      </w:tr>
      <w:tr w:rsidR="00CF69E6" w:rsidRPr="00374A03" w14:paraId="5C8AFE99" w14:textId="77777777" w:rsidTr="00693BB6">
        <w:trPr>
          <w:trHeight w:val="238"/>
          <w:jc w:val="center"/>
        </w:trPr>
        <w:tc>
          <w:tcPr>
            <w:tcW w:w="3049" w:type="dxa"/>
            <w:tcBorders>
              <w:top w:val="single" w:sz="4" w:space="0" w:color="auto"/>
              <w:left w:val="nil"/>
              <w:bottom w:val="single" w:sz="4" w:space="0" w:color="auto"/>
              <w:right w:val="nil"/>
            </w:tcBorders>
            <w:shd w:val="clear" w:color="auto" w:fill="auto"/>
            <w:vAlign w:val="center"/>
            <w:hideMark/>
          </w:tcPr>
          <w:p w14:paraId="6DB46386" w14:textId="77777777" w:rsidR="00CF69E6" w:rsidRPr="00374A03" w:rsidRDefault="00CF69E6" w:rsidP="00CF69E6">
            <w:pPr>
              <w:rPr>
                <w:rFonts w:eastAsia="Times New Roman"/>
                <w:b/>
                <w:bCs/>
                <w:sz w:val="18"/>
                <w:szCs w:val="18"/>
              </w:rPr>
            </w:pPr>
            <w:r w:rsidRPr="00374A03">
              <w:rPr>
                <w:rFonts w:eastAsia="Times New Roman"/>
                <w:b/>
                <w:bCs/>
                <w:sz w:val="18"/>
                <w:szCs w:val="18"/>
              </w:rPr>
              <w:t>Total</w:t>
            </w:r>
          </w:p>
        </w:tc>
        <w:tc>
          <w:tcPr>
            <w:tcW w:w="1971" w:type="dxa"/>
            <w:tcBorders>
              <w:top w:val="single" w:sz="4" w:space="0" w:color="auto"/>
              <w:left w:val="nil"/>
              <w:bottom w:val="single" w:sz="4" w:space="0" w:color="auto"/>
              <w:right w:val="nil"/>
            </w:tcBorders>
            <w:shd w:val="clear" w:color="auto" w:fill="auto"/>
            <w:vAlign w:val="center"/>
          </w:tcPr>
          <w:p w14:paraId="3C5AFD1F" w14:textId="77777777" w:rsidR="00CF69E6" w:rsidRDefault="00CF69E6" w:rsidP="00CF69E6">
            <w:pPr>
              <w:jc w:val="right"/>
              <w:rPr>
                <w:b/>
                <w:bCs/>
                <w:sz w:val="18"/>
                <w:szCs w:val="18"/>
              </w:rPr>
            </w:pPr>
            <w:r>
              <w:rPr>
                <w:b/>
                <w:bCs/>
                <w:sz w:val="18"/>
                <w:szCs w:val="18"/>
              </w:rPr>
              <w:t>1.882.764,81</w:t>
            </w:r>
          </w:p>
        </w:tc>
        <w:tc>
          <w:tcPr>
            <w:tcW w:w="1784" w:type="dxa"/>
            <w:tcBorders>
              <w:top w:val="single" w:sz="4" w:space="0" w:color="auto"/>
              <w:left w:val="nil"/>
              <w:bottom w:val="single" w:sz="4" w:space="0" w:color="auto"/>
              <w:right w:val="nil"/>
            </w:tcBorders>
            <w:shd w:val="clear" w:color="auto" w:fill="auto"/>
            <w:vAlign w:val="center"/>
          </w:tcPr>
          <w:p w14:paraId="09AD6867" w14:textId="77777777" w:rsidR="00CF69E6" w:rsidRDefault="00CF69E6" w:rsidP="00CF69E6">
            <w:pPr>
              <w:jc w:val="right"/>
              <w:rPr>
                <w:b/>
                <w:bCs/>
                <w:sz w:val="18"/>
                <w:szCs w:val="18"/>
              </w:rPr>
            </w:pPr>
            <w:r>
              <w:rPr>
                <w:b/>
                <w:bCs/>
                <w:sz w:val="18"/>
                <w:szCs w:val="18"/>
              </w:rPr>
              <w:t>1.839.296,59</w:t>
            </w:r>
          </w:p>
        </w:tc>
      </w:tr>
    </w:tbl>
    <w:p w14:paraId="5B5622D9" w14:textId="77777777" w:rsidR="006220A2" w:rsidRPr="000734A2" w:rsidRDefault="006220A2" w:rsidP="006220A2">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84"/>
        </w:tabs>
        <w:spacing w:before="200"/>
        <w:ind w:left="0" w:firstLine="0"/>
        <w:outlineLvl w:val="9"/>
        <w:rPr>
          <w:sz w:val="20"/>
          <w:szCs w:val="22"/>
          <w:u w:val="single"/>
        </w:rPr>
      </w:pPr>
      <w:r w:rsidRPr="000734A2">
        <w:rPr>
          <w:sz w:val="20"/>
          <w:szCs w:val="22"/>
          <w:u w:val="single"/>
        </w:rPr>
        <w:t>Otros gastos de explotación</w:t>
      </w:r>
    </w:p>
    <w:p w14:paraId="1283D4EC" w14:textId="77777777" w:rsidR="006220A2" w:rsidRDefault="006220A2" w:rsidP="006220A2">
      <w:pPr>
        <w:widowControl w:val="0"/>
        <w:tabs>
          <w:tab w:val="left" w:pos="1134"/>
          <w:tab w:val="left" w:pos="1587"/>
        </w:tabs>
        <w:spacing w:before="120" w:after="120"/>
        <w:jc w:val="both"/>
        <w:rPr>
          <w:sz w:val="20"/>
          <w:szCs w:val="22"/>
        </w:rPr>
      </w:pPr>
      <w:r w:rsidRPr="000734A2">
        <w:rPr>
          <w:sz w:val="20"/>
          <w:szCs w:val="22"/>
        </w:rPr>
        <w:t xml:space="preserve">El detalle de “Otros gastos de explotación” </w:t>
      </w:r>
      <w:r>
        <w:rPr>
          <w:sz w:val="20"/>
          <w:szCs w:val="22"/>
        </w:rPr>
        <w:t>d</w:t>
      </w:r>
      <w:r w:rsidRPr="000734A2">
        <w:rPr>
          <w:sz w:val="20"/>
          <w:szCs w:val="22"/>
        </w:rPr>
        <w:t>el ejercicio 201</w:t>
      </w:r>
      <w:r w:rsidR="00973506">
        <w:rPr>
          <w:sz w:val="20"/>
          <w:szCs w:val="22"/>
        </w:rPr>
        <w:t>8 y 2017</w:t>
      </w:r>
      <w:r w:rsidRPr="000734A2">
        <w:rPr>
          <w:sz w:val="20"/>
          <w:szCs w:val="22"/>
        </w:rPr>
        <w:t>, es el siguiente:</w:t>
      </w:r>
    </w:p>
    <w:tbl>
      <w:tblPr>
        <w:tblW w:w="6804" w:type="dxa"/>
        <w:jc w:val="center"/>
        <w:shd w:val="clear" w:color="auto" w:fill="E7E6E6"/>
        <w:tblCellMar>
          <w:left w:w="70" w:type="dxa"/>
          <w:right w:w="70" w:type="dxa"/>
        </w:tblCellMar>
        <w:tblLook w:val="04A0" w:firstRow="1" w:lastRow="0" w:firstColumn="1" w:lastColumn="0" w:noHBand="0" w:noVBand="1"/>
      </w:tblPr>
      <w:tblGrid>
        <w:gridCol w:w="3526"/>
        <w:gridCol w:w="1581"/>
        <w:gridCol w:w="1697"/>
      </w:tblGrid>
      <w:tr w:rsidR="006220A2" w:rsidRPr="00E2705E" w14:paraId="3C2C5367" w14:textId="77777777" w:rsidTr="004161BD">
        <w:trPr>
          <w:trHeight w:val="170"/>
          <w:jc w:val="center"/>
        </w:trPr>
        <w:tc>
          <w:tcPr>
            <w:tcW w:w="3526" w:type="dxa"/>
            <w:tcBorders>
              <w:top w:val="single" w:sz="4" w:space="0" w:color="auto"/>
              <w:left w:val="nil"/>
              <w:bottom w:val="nil"/>
              <w:right w:val="nil"/>
            </w:tcBorders>
            <w:shd w:val="clear" w:color="auto" w:fill="auto"/>
            <w:vAlign w:val="bottom"/>
            <w:hideMark/>
          </w:tcPr>
          <w:p w14:paraId="668C1F66" w14:textId="77777777" w:rsidR="006220A2" w:rsidRPr="00E2705E" w:rsidRDefault="006220A2" w:rsidP="00852114">
            <w:pPr>
              <w:jc w:val="center"/>
              <w:rPr>
                <w:rFonts w:eastAsia="Times New Roman" w:cs="Times"/>
                <w:sz w:val="20"/>
              </w:rPr>
            </w:pPr>
          </w:p>
        </w:tc>
        <w:tc>
          <w:tcPr>
            <w:tcW w:w="3278" w:type="dxa"/>
            <w:gridSpan w:val="2"/>
            <w:tcBorders>
              <w:top w:val="single" w:sz="4" w:space="0" w:color="auto"/>
              <w:left w:val="nil"/>
              <w:bottom w:val="single" w:sz="4" w:space="0" w:color="auto"/>
              <w:right w:val="nil"/>
            </w:tcBorders>
            <w:shd w:val="clear" w:color="auto" w:fill="auto"/>
            <w:vAlign w:val="bottom"/>
            <w:hideMark/>
          </w:tcPr>
          <w:p w14:paraId="289D78B4" w14:textId="77777777" w:rsidR="006220A2" w:rsidRPr="00E2705E" w:rsidRDefault="006220A2" w:rsidP="00852114">
            <w:pPr>
              <w:jc w:val="center"/>
              <w:rPr>
                <w:rFonts w:eastAsia="Times New Roman"/>
                <w:b/>
                <w:bCs/>
                <w:sz w:val="18"/>
                <w:szCs w:val="18"/>
              </w:rPr>
            </w:pPr>
            <w:r w:rsidRPr="00E2705E">
              <w:rPr>
                <w:rFonts w:eastAsia="Times New Roman"/>
                <w:b/>
                <w:bCs/>
                <w:sz w:val="18"/>
                <w:szCs w:val="18"/>
              </w:rPr>
              <w:t>Euros</w:t>
            </w:r>
          </w:p>
        </w:tc>
      </w:tr>
      <w:tr w:rsidR="006220A2" w:rsidRPr="00E2705E" w14:paraId="70D10F86" w14:textId="77777777" w:rsidTr="004161BD">
        <w:trPr>
          <w:trHeight w:val="170"/>
          <w:jc w:val="center"/>
        </w:trPr>
        <w:tc>
          <w:tcPr>
            <w:tcW w:w="3526" w:type="dxa"/>
            <w:tcBorders>
              <w:top w:val="nil"/>
              <w:left w:val="nil"/>
              <w:bottom w:val="single" w:sz="4" w:space="0" w:color="auto"/>
              <w:right w:val="nil"/>
            </w:tcBorders>
            <w:shd w:val="clear" w:color="auto" w:fill="auto"/>
            <w:vAlign w:val="bottom"/>
            <w:hideMark/>
          </w:tcPr>
          <w:p w14:paraId="0B88713C" w14:textId="77777777" w:rsidR="006220A2" w:rsidRPr="00E2705E" w:rsidRDefault="006220A2" w:rsidP="00852114">
            <w:pPr>
              <w:jc w:val="center"/>
              <w:rPr>
                <w:rFonts w:eastAsia="Times New Roman" w:cs="Times"/>
                <w:sz w:val="20"/>
              </w:rPr>
            </w:pPr>
          </w:p>
        </w:tc>
        <w:tc>
          <w:tcPr>
            <w:tcW w:w="1581" w:type="dxa"/>
            <w:tcBorders>
              <w:top w:val="nil"/>
              <w:left w:val="nil"/>
              <w:bottom w:val="single" w:sz="4" w:space="0" w:color="auto"/>
              <w:right w:val="nil"/>
            </w:tcBorders>
            <w:shd w:val="clear" w:color="auto" w:fill="auto"/>
            <w:vAlign w:val="bottom"/>
            <w:hideMark/>
          </w:tcPr>
          <w:p w14:paraId="0C6CC3F8" w14:textId="77777777" w:rsidR="006220A2" w:rsidRPr="00E2705E" w:rsidRDefault="00973506" w:rsidP="00852114">
            <w:pPr>
              <w:jc w:val="center"/>
              <w:rPr>
                <w:rFonts w:eastAsia="Times New Roman"/>
                <w:b/>
                <w:bCs/>
                <w:sz w:val="18"/>
                <w:szCs w:val="18"/>
              </w:rPr>
            </w:pPr>
            <w:r>
              <w:rPr>
                <w:rFonts w:eastAsia="Times New Roman"/>
                <w:b/>
                <w:bCs/>
                <w:sz w:val="18"/>
                <w:szCs w:val="18"/>
              </w:rPr>
              <w:t>2018</w:t>
            </w:r>
          </w:p>
        </w:tc>
        <w:tc>
          <w:tcPr>
            <w:tcW w:w="1697" w:type="dxa"/>
            <w:tcBorders>
              <w:top w:val="nil"/>
              <w:left w:val="nil"/>
              <w:bottom w:val="single" w:sz="4" w:space="0" w:color="auto"/>
              <w:right w:val="nil"/>
            </w:tcBorders>
            <w:shd w:val="clear" w:color="auto" w:fill="auto"/>
            <w:vAlign w:val="bottom"/>
            <w:hideMark/>
          </w:tcPr>
          <w:p w14:paraId="43A6CB46" w14:textId="77777777" w:rsidR="006220A2" w:rsidRPr="00E2705E" w:rsidRDefault="00973506" w:rsidP="00852114">
            <w:pPr>
              <w:jc w:val="center"/>
              <w:rPr>
                <w:rFonts w:eastAsia="Times New Roman"/>
                <w:b/>
                <w:bCs/>
                <w:sz w:val="18"/>
                <w:szCs w:val="18"/>
              </w:rPr>
            </w:pPr>
            <w:r>
              <w:rPr>
                <w:rFonts w:eastAsia="Times New Roman"/>
                <w:b/>
                <w:bCs/>
                <w:sz w:val="18"/>
                <w:szCs w:val="18"/>
              </w:rPr>
              <w:t>2017</w:t>
            </w:r>
          </w:p>
        </w:tc>
      </w:tr>
      <w:tr w:rsidR="006220A2" w:rsidRPr="00E2705E" w14:paraId="699188F8" w14:textId="77777777" w:rsidTr="00693BB6">
        <w:trPr>
          <w:trHeight w:val="238"/>
          <w:jc w:val="center"/>
        </w:trPr>
        <w:tc>
          <w:tcPr>
            <w:tcW w:w="3526" w:type="dxa"/>
            <w:tcBorders>
              <w:top w:val="nil"/>
              <w:left w:val="nil"/>
              <w:bottom w:val="nil"/>
              <w:right w:val="nil"/>
            </w:tcBorders>
            <w:shd w:val="clear" w:color="auto" w:fill="auto"/>
            <w:vAlign w:val="center"/>
            <w:hideMark/>
          </w:tcPr>
          <w:p w14:paraId="1F4D7261" w14:textId="77777777" w:rsidR="006220A2" w:rsidRPr="00E2705E" w:rsidRDefault="006220A2" w:rsidP="00852114">
            <w:pPr>
              <w:rPr>
                <w:rFonts w:eastAsia="Times New Roman"/>
                <w:b/>
                <w:bCs/>
                <w:sz w:val="18"/>
                <w:szCs w:val="18"/>
              </w:rPr>
            </w:pPr>
            <w:r w:rsidRPr="00E2705E">
              <w:rPr>
                <w:rFonts w:eastAsia="Times New Roman"/>
                <w:b/>
                <w:bCs/>
                <w:sz w:val="18"/>
                <w:szCs w:val="18"/>
              </w:rPr>
              <w:t>Otros gastos de explotación</w:t>
            </w:r>
          </w:p>
        </w:tc>
        <w:tc>
          <w:tcPr>
            <w:tcW w:w="1581" w:type="dxa"/>
            <w:tcBorders>
              <w:top w:val="nil"/>
              <w:left w:val="nil"/>
              <w:bottom w:val="nil"/>
              <w:right w:val="nil"/>
            </w:tcBorders>
            <w:shd w:val="clear" w:color="auto" w:fill="auto"/>
            <w:hideMark/>
          </w:tcPr>
          <w:p w14:paraId="7929BFE3" w14:textId="77777777" w:rsidR="006220A2" w:rsidRPr="00E2705E" w:rsidRDefault="006220A2" w:rsidP="00852114">
            <w:pPr>
              <w:rPr>
                <w:rFonts w:eastAsia="Times New Roman"/>
                <w:b/>
                <w:bCs/>
                <w:sz w:val="18"/>
                <w:szCs w:val="18"/>
              </w:rPr>
            </w:pPr>
          </w:p>
        </w:tc>
        <w:tc>
          <w:tcPr>
            <w:tcW w:w="1697" w:type="dxa"/>
            <w:tcBorders>
              <w:top w:val="nil"/>
              <w:left w:val="nil"/>
              <w:bottom w:val="nil"/>
              <w:right w:val="nil"/>
            </w:tcBorders>
            <w:shd w:val="clear" w:color="auto" w:fill="auto"/>
            <w:hideMark/>
          </w:tcPr>
          <w:p w14:paraId="51B360B3" w14:textId="77777777" w:rsidR="006220A2" w:rsidRPr="00E2705E" w:rsidRDefault="006220A2" w:rsidP="00852114">
            <w:pPr>
              <w:rPr>
                <w:rFonts w:eastAsia="Times New Roman"/>
                <w:b/>
                <w:bCs/>
                <w:sz w:val="18"/>
                <w:szCs w:val="18"/>
              </w:rPr>
            </w:pPr>
          </w:p>
        </w:tc>
      </w:tr>
      <w:tr w:rsidR="00973506" w:rsidRPr="00E2705E" w14:paraId="61E9E2C0" w14:textId="77777777" w:rsidTr="00693BB6">
        <w:trPr>
          <w:trHeight w:val="238"/>
          <w:jc w:val="center"/>
        </w:trPr>
        <w:tc>
          <w:tcPr>
            <w:tcW w:w="3526" w:type="dxa"/>
            <w:tcBorders>
              <w:top w:val="nil"/>
              <w:left w:val="nil"/>
              <w:bottom w:val="nil"/>
              <w:right w:val="nil"/>
            </w:tcBorders>
            <w:shd w:val="clear" w:color="auto" w:fill="auto"/>
            <w:vAlign w:val="center"/>
            <w:hideMark/>
          </w:tcPr>
          <w:p w14:paraId="0F40790C" w14:textId="77777777" w:rsidR="00973506" w:rsidRPr="00E2705E" w:rsidRDefault="00973506" w:rsidP="00973506">
            <w:pPr>
              <w:rPr>
                <w:rFonts w:eastAsia="Times New Roman"/>
                <w:sz w:val="18"/>
                <w:szCs w:val="18"/>
              </w:rPr>
            </w:pPr>
            <w:r w:rsidRPr="00E2705E">
              <w:rPr>
                <w:rFonts w:eastAsia="Times New Roman"/>
                <w:sz w:val="18"/>
                <w:szCs w:val="18"/>
              </w:rPr>
              <w:t>Arrendamientos y cánones</w:t>
            </w:r>
          </w:p>
        </w:tc>
        <w:tc>
          <w:tcPr>
            <w:tcW w:w="1581" w:type="dxa"/>
            <w:tcBorders>
              <w:top w:val="nil"/>
              <w:left w:val="nil"/>
              <w:bottom w:val="nil"/>
              <w:right w:val="nil"/>
            </w:tcBorders>
            <w:shd w:val="clear" w:color="auto" w:fill="auto"/>
            <w:vAlign w:val="center"/>
          </w:tcPr>
          <w:p w14:paraId="37708ADD" w14:textId="77777777" w:rsidR="00973506" w:rsidRDefault="007022BA" w:rsidP="00973506">
            <w:pPr>
              <w:jc w:val="right"/>
              <w:rPr>
                <w:sz w:val="18"/>
                <w:szCs w:val="18"/>
              </w:rPr>
            </w:pPr>
            <w:r>
              <w:rPr>
                <w:sz w:val="18"/>
                <w:szCs w:val="18"/>
              </w:rPr>
              <w:t>33.532,21</w:t>
            </w:r>
          </w:p>
        </w:tc>
        <w:tc>
          <w:tcPr>
            <w:tcW w:w="1697" w:type="dxa"/>
            <w:tcBorders>
              <w:top w:val="nil"/>
              <w:left w:val="nil"/>
              <w:bottom w:val="nil"/>
              <w:right w:val="nil"/>
            </w:tcBorders>
            <w:shd w:val="clear" w:color="auto" w:fill="auto"/>
            <w:vAlign w:val="center"/>
          </w:tcPr>
          <w:p w14:paraId="738C2164" w14:textId="77777777" w:rsidR="00973506" w:rsidRDefault="00973506" w:rsidP="00973506">
            <w:pPr>
              <w:jc w:val="right"/>
              <w:rPr>
                <w:sz w:val="18"/>
                <w:szCs w:val="18"/>
              </w:rPr>
            </w:pPr>
            <w:r>
              <w:rPr>
                <w:sz w:val="18"/>
                <w:szCs w:val="18"/>
              </w:rPr>
              <w:t>33.015,11</w:t>
            </w:r>
          </w:p>
        </w:tc>
      </w:tr>
      <w:tr w:rsidR="00973506" w:rsidRPr="00E2705E" w14:paraId="0D0B4EC3" w14:textId="77777777" w:rsidTr="00693BB6">
        <w:trPr>
          <w:trHeight w:val="238"/>
          <w:jc w:val="center"/>
        </w:trPr>
        <w:tc>
          <w:tcPr>
            <w:tcW w:w="3526" w:type="dxa"/>
            <w:tcBorders>
              <w:top w:val="nil"/>
              <w:left w:val="nil"/>
              <w:bottom w:val="nil"/>
              <w:right w:val="nil"/>
            </w:tcBorders>
            <w:shd w:val="clear" w:color="auto" w:fill="auto"/>
            <w:vAlign w:val="center"/>
            <w:hideMark/>
          </w:tcPr>
          <w:p w14:paraId="64ACCF77" w14:textId="77777777" w:rsidR="00973506" w:rsidRPr="00E2705E" w:rsidRDefault="00973506" w:rsidP="00973506">
            <w:pPr>
              <w:rPr>
                <w:rFonts w:eastAsia="Times New Roman"/>
                <w:sz w:val="18"/>
                <w:szCs w:val="18"/>
              </w:rPr>
            </w:pPr>
            <w:r w:rsidRPr="00E2705E">
              <w:rPr>
                <w:rFonts w:eastAsia="Times New Roman"/>
                <w:sz w:val="18"/>
                <w:szCs w:val="18"/>
              </w:rPr>
              <w:t>Reparaciones y conservación</w:t>
            </w:r>
          </w:p>
        </w:tc>
        <w:tc>
          <w:tcPr>
            <w:tcW w:w="1581" w:type="dxa"/>
            <w:tcBorders>
              <w:top w:val="nil"/>
              <w:left w:val="nil"/>
              <w:bottom w:val="nil"/>
              <w:right w:val="nil"/>
            </w:tcBorders>
            <w:shd w:val="clear" w:color="auto" w:fill="auto"/>
            <w:vAlign w:val="center"/>
          </w:tcPr>
          <w:p w14:paraId="54A001C3" w14:textId="77777777" w:rsidR="00973506" w:rsidRDefault="007022BA" w:rsidP="00973506">
            <w:pPr>
              <w:jc w:val="right"/>
              <w:rPr>
                <w:sz w:val="18"/>
                <w:szCs w:val="18"/>
              </w:rPr>
            </w:pPr>
            <w:r>
              <w:rPr>
                <w:sz w:val="18"/>
                <w:szCs w:val="18"/>
              </w:rPr>
              <w:t>53.674,29</w:t>
            </w:r>
          </w:p>
        </w:tc>
        <w:tc>
          <w:tcPr>
            <w:tcW w:w="1697" w:type="dxa"/>
            <w:tcBorders>
              <w:top w:val="nil"/>
              <w:left w:val="nil"/>
              <w:bottom w:val="nil"/>
              <w:right w:val="nil"/>
            </w:tcBorders>
            <w:shd w:val="clear" w:color="auto" w:fill="auto"/>
            <w:vAlign w:val="center"/>
          </w:tcPr>
          <w:p w14:paraId="19708782" w14:textId="77777777" w:rsidR="00973506" w:rsidRDefault="00973506" w:rsidP="00973506">
            <w:pPr>
              <w:jc w:val="right"/>
              <w:rPr>
                <w:sz w:val="18"/>
                <w:szCs w:val="18"/>
              </w:rPr>
            </w:pPr>
            <w:r>
              <w:rPr>
                <w:sz w:val="18"/>
                <w:szCs w:val="18"/>
              </w:rPr>
              <w:t>68.189,35</w:t>
            </w:r>
          </w:p>
        </w:tc>
      </w:tr>
      <w:tr w:rsidR="00973506" w:rsidRPr="00E2705E" w14:paraId="01C23D6B" w14:textId="77777777" w:rsidTr="00693BB6">
        <w:trPr>
          <w:trHeight w:val="238"/>
          <w:jc w:val="center"/>
        </w:trPr>
        <w:tc>
          <w:tcPr>
            <w:tcW w:w="3526" w:type="dxa"/>
            <w:tcBorders>
              <w:top w:val="nil"/>
              <w:left w:val="nil"/>
              <w:bottom w:val="nil"/>
              <w:right w:val="nil"/>
            </w:tcBorders>
            <w:shd w:val="clear" w:color="auto" w:fill="auto"/>
            <w:vAlign w:val="center"/>
            <w:hideMark/>
          </w:tcPr>
          <w:p w14:paraId="05D93BBA" w14:textId="77777777" w:rsidR="00973506" w:rsidRPr="00E2705E" w:rsidRDefault="00973506" w:rsidP="00973506">
            <w:pPr>
              <w:rPr>
                <w:rFonts w:eastAsia="Times New Roman"/>
                <w:sz w:val="18"/>
                <w:szCs w:val="18"/>
              </w:rPr>
            </w:pPr>
            <w:r w:rsidRPr="00E2705E">
              <w:rPr>
                <w:rFonts w:eastAsia="Times New Roman"/>
                <w:sz w:val="18"/>
                <w:szCs w:val="18"/>
              </w:rPr>
              <w:t>Servicios de prof</w:t>
            </w:r>
            <w:r>
              <w:rPr>
                <w:rFonts w:eastAsia="Times New Roman"/>
                <w:sz w:val="18"/>
                <w:szCs w:val="18"/>
              </w:rPr>
              <w:t>.</w:t>
            </w:r>
            <w:r w:rsidRPr="00E2705E">
              <w:rPr>
                <w:rFonts w:eastAsia="Times New Roman"/>
                <w:sz w:val="18"/>
                <w:szCs w:val="18"/>
              </w:rPr>
              <w:t xml:space="preserve"> independientes</w:t>
            </w:r>
          </w:p>
        </w:tc>
        <w:tc>
          <w:tcPr>
            <w:tcW w:w="1581" w:type="dxa"/>
            <w:tcBorders>
              <w:top w:val="nil"/>
              <w:left w:val="nil"/>
              <w:bottom w:val="nil"/>
              <w:right w:val="nil"/>
            </w:tcBorders>
            <w:shd w:val="clear" w:color="auto" w:fill="auto"/>
            <w:vAlign w:val="center"/>
          </w:tcPr>
          <w:p w14:paraId="79D4FA7A" w14:textId="77777777" w:rsidR="00973506" w:rsidRDefault="007022BA" w:rsidP="00973506">
            <w:pPr>
              <w:jc w:val="right"/>
              <w:rPr>
                <w:sz w:val="18"/>
                <w:szCs w:val="18"/>
              </w:rPr>
            </w:pPr>
            <w:r>
              <w:rPr>
                <w:sz w:val="18"/>
                <w:szCs w:val="18"/>
              </w:rPr>
              <w:t>26.676,91</w:t>
            </w:r>
          </w:p>
        </w:tc>
        <w:tc>
          <w:tcPr>
            <w:tcW w:w="1697" w:type="dxa"/>
            <w:tcBorders>
              <w:top w:val="nil"/>
              <w:left w:val="nil"/>
              <w:bottom w:val="nil"/>
              <w:right w:val="nil"/>
            </w:tcBorders>
            <w:shd w:val="clear" w:color="auto" w:fill="auto"/>
            <w:vAlign w:val="center"/>
          </w:tcPr>
          <w:p w14:paraId="7A9A0517" w14:textId="77777777" w:rsidR="00973506" w:rsidRDefault="00973506" w:rsidP="00973506">
            <w:pPr>
              <w:jc w:val="right"/>
              <w:rPr>
                <w:sz w:val="18"/>
                <w:szCs w:val="18"/>
              </w:rPr>
            </w:pPr>
            <w:r>
              <w:rPr>
                <w:sz w:val="18"/>
                <w:szCs w:val="18"/>
              </w:rPr>
              <w:t>18.735,11</w:t>
            </w:r>
          </w:p>
        </w:tc>
      </w:tr>
      <w:tr w:rsidR="00973506" w:rsidRPr="00E2705E" w14:paraId="41B5CBB0" w14:textId="77777777" w:rsidTr="00693BB6">
        <w:trPr>
          <w:trHeight w:val="238"/>
          <w:jc w:val="center"/>
        </w:trPr>
        <w:tc>
          <w:tcPr>
            <w:tcW w:w="3526" w:type="dxa"/>
            <w:tcBorders>
              <w:top w:val="nil"/>
              <w:left w:val="nil"/>
              <w:bottom w:val="nil"/>
              <w:right w:val="nil"/>
            </w:tcBorders>
            <w:shd w:val="clear" w:color="auto" w:fill="auto"/>
            <w:vAlign w:val="center"/>
            <w:hideMark/>
          </w:tcPr>
          <w:p w14:paraId="13BAE14E" w14:textId="77777777" w:rsidR="00973506" w:rsidRPr="00E2705E" w:rsidRDefault="00973506" w:rsidP="00973506">
            <w:pPr>
              <w:rPr>
                <w:rFonts w:eastAsia="Times New Roman"/>
                <w:sz w:val="18"/>
                <w:szCs w:val="18"/>
              </w:rPr>
            </w:pPr>
            <w:r w:rsidRPr="00E2705E">
              <w:rPr>
                <w:rFonts w:eastAsia="Times New Roman"/>
                <w:sz w:val="18"/>
                <w:szCs w:val="18"/>
              </w:rPr>
              <w:t>Primas de seguros</w:t>
            </w:r>
          </w:p>
        </w:tc>
        <w:tc>
          <w:tcPr>
            <w:tcW w:w="1581" w:type="dxa"/>
            <w:tcBorders>
              <w:top w:val="nil"/>
              <w:left w:val="nil"/>
              <w:bottom w:val="nil"/>
              <w:right w:val="nil"/>
            </w:tcBorders>
            <w:shd w:val="clear" w:color="auto" w:fill="auto"/>
            <w:vAlign w:val="center"/>
          </w:tcPr>
          <w:p w14:paraId="03621FFE" w14:textId="77777777" w:rsidR="00973506" w:rsidRDefault="007022BA" w:rsidP="00973506">
            <w:pPr>
              <w:jc w:val="right"/>
              <w:rPr>
                <w:sz w:val="18"/>
                <w:szCs w:val="18"/>
              </w:rPr>
            </w:pPr>
            <w:r>
              <w:rPr>
                <w:sz w:val="18"/>
                <w:szCs w:val="18"/>
              </w:rPr>
              <w:t>17.745,85</w:t>
            </w:r>
          </w:p>
        </w:tc>
        <w:tc>
          <w:tcPr>
            <w:tcW w:w="1697" w:type="dxa"/>
            <w:tcBorders>
              <w:top w:val="nil"/>
              <w:left w:val="nil"/>
              <w:bottom w:val="nil"/>
              <w:right w:val="nil"/>
            </w:tcBorders>
            <w:shd w:val="clear" w:color="auto" w:fill="auto"/>
            <w:vAlign w:val="center"/>
          </w:tcPr>
          <w:p w14:paraId="667215A8" w14:textId="77777777" w:rsidR="00973506" w:rsidRDefault="00973506" w:rsidP="00973506">
            <w:pPr>
              <w:jc w:val="right"/>
              <w:rPr>
                <w:sz w:val="18"/>
                <w:szCs w:val="18"/>
              </w:rPr>
            </w:pPr>
            <w:r>
              <w:rPr>
                <w:sz w:val="18"/>
                <w:szCs w:val="18"/>
              </w:rPr>
              <w:t>17.992,48</w:t>
            </w:r>
          </w:p>
        </w:tc>
      </w:tr>
      <w:tr w:rsidR="00973506" w:rsidRPr="00E2705E" w14:paraId="0FE21703" w14:textId="77777777" w:rsidTr="00693BB6">
        <w:trPr>
          <w:trHeight w:val="238"/>
          <w:jc w:val="center"/>
        </w:trPr>
        <w:tc>
          <w:tcPr>
            <w:tcW w:w="3526" w:type="dxa"/>
            <w:tcBorders>
              <w:top w:val="nil"/>
              <w:left w:val="nil"/>
              <w:bottom w:val="nil"/>
              <w:right w:val="nil"/>
            </w:tcBorders>
            <w:shd w:val="clear" w:color="auto" w:fill="auto"/>
            <w:vAlign w:val="center"/>
            <w:hideMark/>
          </w:tcPr>
          <w:p w14:paraId="7653E9DD" w14:textId="77777777" w:rsidR="00973506" w:rsidRPr="00E2705E" w:rsidRDefault="00973506" w:rsidP="00973506">
            <w:pPr>
              <w:rPr>
                <w:rFonts w:eastAsia="Times New Roman"/>
                <w:sz w:val="18"/>
                <w:szCs w:val="18"/>
              </w:rPr>
            </w:pPr>
            <w:r w:rsidRPr="00E2705E">
              <w:rPr>
                <w:rFonts w:eastAsia="Times New Roman"/>
                <w:sz w:val="18"/>
                <w:szCs w:val="18"/>
              </w:rPr>
              <w:t>Servicios bancarios y similares</w:t>
            </w:r>
          </w:p>
        </w:tc>
        <w:tc>
          <w:tcPr>
            <w:tcW w:w="1581" w:type="dxa"/>
            <w:tcBorders>
              <w:top w:val="nil"/>
              <w:left w:val="nil"/>
              <w:bottom w:val="nil"/>
              <w:right w:val="nil"/>
            </w:tcBorders>
            <w:shd w:val="clear" w:color="auto" w:fill="auto"/>
            <w:vAlign w:val="center"/>
          </w:tcPr>
          <w:p w14:paraId="0C3FB5B4" w14:textId="77777777" w:rsidR="00973506" w:rsidRDefault="007022BA" w:rsidP="00973506">
            <w:pPr>
              <w:jc w:val="right"/>
              <w:rPr>
                <w:sz w:val="18"/>
                <w:szCs w:val="18"/>
              </w:rPr>
            </w:pPr>
            <w:r>
              <w:rPr>
                <w:sz w:val="18"/>
                <w:szCs w:val="18"/>
              </w:rPr>
              <w:t>46,14</w:t>
            </w:r>
          </w:p>
        </w:tc>
        <w:tc>
          <w:tcPr>
            <w:tcW w:w="1697" w:type="dxa"/>
            <w:tcBorders>
              <w:top w:val="nil"/>
              <w:left w:val="nil"/>
              <w:bottom w:val="nil"/>
              <w:right w:val="nil"/>
            </w:tcBorders>
            <w:shd w:val="clear" w:color="auto" w:fill="auto"/>
            <w:vAlign w:val="center"/>
          </w:tcPr>
          <w:p w14:paraId="032A7BF5" w14:textId="77777777" w:rsidR="00973506" w:rsidRDefault="00973506" w:rsidP="00973506">
            <w:pPr>
              <w:jc w:val="right"/>
              <w:rPr>
                <w:sz w:val="18"/>
                <w:szCs w:val="18"/>
              </w:rPr>
            </w:pPr>
            <w:r>
              <w:rPr>
                <w:sz w:val="18"/>
                <w:szCs w:val="18"/>
              </w:rPr>
              <w:t>207,48</w:t>
            </w:r>
          </w:p>
        </w:tc>
      </w:tr>
      <w:tr w:rsidR="00973506" w:rsidRPr="00E2705E" w14:paraId="68C3B251" w14:textId="77777777" w:rsidTr="00693BB6">
        <w:trPr>
          <w:trHeight w:val="238"/>
          <w:jc w:val="center"/>
        </w:trPr>
        <w:tc>
          <w:tcPr>
            <w:tcW w:w="3526" w:type="dxa"/>
            <w:tcBorders>
              <w:top w:val="nil"/>
              <w:left w:val="nil"/>
              <w:bottom w:val="nil"/>
              <w:right w:val="nil"/>
            </w:tcBorders>
            <w:shd w:val="clear" w:color="auto" w:fill="auto"/>
            <w:vAlign w:val="center"/>
            <w:hideMark/>
          </w:tcPr>
          <w:p w14:paraId="6F99799F" w14:textId="77777777" w:rsidR="00973506" w:rsidRPr="00E2705E" w:rsidRDefault="00973506" w:rsidP="00973506">
            <w:pPr>
              <w:rPr>
                <w:rFonts w:eastAsia="Times New Roman"/>
                <w:sz w:val="18"/>
                <w:szCs w:val="18"/>
              </w:rPr>
            </w:pPr>
            <w:r w:rsidRPr="00E2705E">
              <w:rPr>
                <w:rFonts w:eastAsia="Times New Roman"/>
                <w:sz w:val="18"/>
                <w:szCs w:val="18"/>
              </w:rPr>
              <w:t>Publicidad, prop</w:t>
            </w:r>
            <w:r>
              <w:rPr>
                <w:rFonts w:eastAsia="Times New Roman"/>
                <w:sz w:val="18"/>
                <w:szCs w:val="18"/>
              </w:rPr>
              <w:t>.</w:t>
            </w:r>
            <w:r w:rsidRPr="00E2705E">
              <w:rPr>
                <w:rFonts w:eastAsia="Times New Roman"/>
                <w:sz w:val="18"/>
                <w:szCs w:val="18"/>
              </w:rPr>
              <w:t xml:space="preserve"> y relaciones públicas</w:t>
            </w:r>
          </w:p>
        </w:tc>
        <w:tc>
          <w:tcPr>
            <w:tcW w:w="1581" w:type="dxa"/>
            <w:tcBorders>
              <w:top w:val="nil"/>
              <w:left w:val="nil"/>
              <w:bottom w:val="nil"/>
              <w:right w:val="nil"/>
            </w:tcBorders>
            <w:shd w:val="clear" w:color="auto" w:fill="auto"/>
            <w:vAlign w:val="center"/>
          </w:tcPr>
          <w:p w14:paraId="6DDBCE0F" w14:textId="77777777" w:rsidR="00973506" w:rsidRDefault="007022BA" w:rsidP="00973506">
            <w:pPr>
              <w:jc w:val="right"/>
              <w:rPr>
                <w:sz w:val="18"/>
                <w:szCs w:val="18"/>
              </w:rPr>
            </w:pPr>
            <w:r>
              <w:rPr>
                <w:sz w:val="18"/>
                <w:szCs w:val="18"/>
              </w:rPr>
              <w:t>1.873,14</w:t>
            </w:r>
          </w:p>
        </w:tc>
        <w:tc>
          <w:tcPr>
            <w:tcW w:w="1697" w:type="dxa"/>
            <w:tcBorders>
              <w:top w:val="nil"/>
              <w:left w:val="nil"/>
              <w:bottom w:val="nil"/>
              <w:right w:val="nil"/>
            </w:tcBorders>
            <w:shd w:val="clear" w:color="auto" w:fill="auto"/>
            <w:vAlign w:val="center"/>
          </w:tcPr>
          <w:p w14:paraId="247CF4AF" w14:textId="77777777" w:rsidR="00973506" w:rsidRDefault="00973506" w:rsidP="00973506">
            <w:pPr>
              <w:jc w:val="right"/>
              <w:rPr>
                <w:sz w:val="18"/>
                <w:szCs w:val="18"/>
              </w:rPr>
            </w:pPr>
            <w:r>
              <w:rPr>
                <w:sz w:val="18"/>
                <w:szCs w:val="18"/>
              </w:rPr>
              <w:t>946,74</w:t>
            </w:r>
          </w:p>
        </w:tc>
      </w:tr>
      <w:tr w:rsidR="00973506" w:rsidRPr="00E2705E" w14:paraId="366F7D25" w14:textId="77777777" w:rsidTr="00693BB6">
        <w:trPr>
          <w:trHeight w:val="238"/>
          <w:jc w:val="center"/>
        </w:trPr>
        <w:tc>
          <w:tcPr>
            <w:tcW w:w="3526" w:type="dxa"/>
            <w:tcBorders>
              <w:top w:val="nil"/>
              <w:left w:val="nil"/>
              <w:bottom w:val="nil"/>
              <w:right w:val="nil"/>
            </w:tcBorders>
            <w:shd w:val="clear" w:color="auto" w:fill="auto"/>
            <w:vAlign w:val="center"/>
            <w:hideMark/>
          </w:tcPr>
          <w:p w14:paraId="369CB7FA" w14:textId="77777777" w:rsidR="00973506" w:rsidRPr="00E2705E" w:rsidRDefault="00973506" w:rsidP="00973506">
            <w:pPr>
              <w:rPr>
                <w:rFonts w:eastAsia="Times New Roman"/>
                <w:sz w:val="18"/>
                <w:szCs w:val="18"/>
              </w:rPr>
            </w:pPr>
            <w:r w:rsidRPr="00E2705E">
              <w:rPr>
                <w:rFonts w:eastAsia="Times New Roman"/>
                <w:sz w:val="18"/>
                <w:szCs w:val="18"/>
              </w:rPr>
              <w:t>Suministros</w:t>
            </w:r>
          </w:p>
        </w:tc>
        <w:tc>
          <w:tcPr>
            <w:tcW w:w="1581" w:type="dxa"/>
            <w:tcBorders>
              <w:top w:val="nil"/>
              <w:left w:val="nil"/>
              <w:bottom w:val="nil"/>
              <w:right w:val="nil"/>
            </w:tcBorders>
            <w:shd w:val="clear" w:color="auto" w:fill="auto"/>
            <w:vAlign w:val="center"/>
          </w:tcPr>
          <w:p w14:paraId="354AB089" w14:textId="77777777" w:rsidR="00973506" w:rsidRDefault="007022BA" w:rsidP="00973506">
            <w:pPr>
              <w:jc w:val="right"/>
              <w:rPr>
                <w:sz w:val="18"/>
                <w:szCs w:val="18"/>
              </w:rPr>
            </w:pPr>
            <w:r>
              <w:rPr>
                <w:sz w:val="18"/>
                <w:szCs w:val="18"/>
              </w:rPr>
              <w:t>10.746,02</w:t>
            </w:r>
          </w:p>
        </w:tc>
        <w:tc>
          <w:tcPr>
            <w:tcW w:w="1697" w:type="dxa"/>
            <w:tcBorders>
              <w:top w:val="nil"/>
              <w:left w:val="nil"/>
              <w:bottom w:val="nil"/>
              <w:right w:val="nil"/>
            </w:tcBorders>
            <w:shd w:val="clear" w:color="auto" w:fill="auto"/>
            <w:vAlign w:val="center"/>
          </w:tcPr>
          <w:p w14:paraId="0D6352E3" w14:textId="77777777" w:rsidR="00973506" w:rsidRDefault="00973506" w:rsidP="00973506">
            <w:pPr>
              <w:jc w:val="right"/>
              <w:rPr>
                <w:sz w:val="18"/>
                <w:szCs w:val="18"/>
              </w:rPr>
            </w:pPr>
            <w:r>
              <w:rPr>
                <w:sz w:val="18"/>
                <w:szCs w:val="18"/>
              </w:rPr>
              <w:t>10.833,75</w:t>
            </w:r>
          </w:p>
        </w:tc>
      </w:tr>
      <w:tr w:rsidR="00973506" w:rsidRPr="00E2705E" w14:paraId="151263C9" w14:textId="77777777" w:rsidTr="00693BB6">
        <w:trPr>
          <w:trHeight w:val="238"/>
          <w:jc w:val="center"/>
        </w:trPr>
        <w:tc>
          <w:tcPr>
            <w:tcW w:w="3526" w:type="dxa"/>
            <w:tcBorders>
              <w:top w:val="nil"/>
              <w:left w:val="nil"/>
              <w:bottom w:val="nil"/>
              <w:right w:val="nil"/>
            </w:tcBorders>
            <w:shd w:val="clear" w:color="auto" w:fill="auto"/>
            <w:vAlign w:val="center"/>
            <w:hideMark/>
          </w:tcPr>
          <w:p w14:paraId="6E20D47F" w14:textId="77777777" w:rsidR="00973506" w:rsidRPr="00E2705E" w:rsidRDefault="00973506" w:rsidP="00973506">
            <w:pPr>
              <w:rPr>
                <w:rFonts w:eastAsia="Times New Roman"/>
                <w:sz w:val="18"/>
                <w:szCs w:val="18"/>
              </w:rPr>
            </w:pPr>
            <w:r w:rsidRPr="00E2705E">
              <w:rPr>
                <w:rFonts w:eastAsia="Times New Roman"/>
                <w:sz w:val="18"/>
                <w:szCs w:val="18"/>
              </w:rPr>
              <w:t>Otros servicios</w:t>
            </w:r>
          </w:p>
        </w:tc>
        <w:tc>
          <w:tcPr>
            <w:tcW w:w="1581" w:type="dxa"/>
            <w:tcBorders>
              <w:top w:val="nil"/>
              <w:left w:val="nil"/>
              <w:bottom w:val="nil"/>
              <w:right w:val="nil"/>
            </w:tcBorders>
            <w:shd w:val="clear" w:color="auto" w:fill="auto"/>
            <w:vAlign w:val="center"/>
          </w:tcPr>
          <w:p w14:paraId="7C850717" w14:textId="77777777" w:rsidR="00973506" w:rsidRDefault="007022BA" w:rsidP="00973506">
            <w:pPr>
              <w:jc w:val="right"/>
              <w:rPr>
                <w:sz w:val="18"/>
                <w:szCs w:val="18"/>
              </w:rPr>
            </w:pPr>
            <w:r>
              <w:rPr>
                <w:sz w:val="18"/>
                <w:szCs w:val="18"/>
              </w:rPr>
              <w:t>157.237,16</w:t>
            </w:r>
          </w:p>
        </w:tc>
        <w:tc>
          <w:tcPr>
            <w:tcW w:w="1697" w:type="dxa"/>
            <w:tcBorders>
              <w:top w:val="nil"/>
              <w:left w:val="nil"/>
              <w:bottom w:val="nil"/>
              <w:right w:val="nil"/>
            </w:tcBorders>
            <w:shd w:val="clear" w:color="auto" w:fill="auto"/>
            <w:vAlign w:val="center"/>
          </w:tcPr>
          <w:p w14:paraId="166E0068" w14:textId="77777777" w:rsidR="00973506" w:rsidRDefault="00973506" w:rsidP="00973506">
            <w:pPr>
              <w:jc w:val="right"/>
              <w:rPr>
                <w:sz w:val="18"/>
                <w:szCs w:val="18"/>
              </w:rPr>
            </w:pPr>
            <w:r>
              <w:rPr>
                <w:sz w:val="18"/>
                <w:szCs w:val="18"/>
              </w:rPr>
              <w:t>177.666,40</w:t>
            </w:r>
          </w:p>
        </w:tc>
      </w:tr>
      <w:tr w:rsidR="00973506" w:rsidRPr="00E2705E" w14:paraId="53685C13" w14:textId="77777777" w:rsidTr="00693BB6">
        <w:trPr>
          <w:trHeight w:val="238"/>
          <w:jc w:val="center"/>
        </w:trPr>
        <w:tc>
          <w:tcPr>
            <w:tcW w:w="3526" w:type="dxa"/>
            <w:tcBorders>
              <w:top w:val="nil"/>
              <w:left w:val="nil"/>
              <w:bottom w:val="nil"/>
              <w:right w:val="nil"/>
            </w:tcBorders>
            <w:shd w:val="clear" w:color="auto" w:fill="auto"/>
            <w:vAlign w:val="center"/>
            <w:hideMark/>
          </w:tcPr>
          <w:p w14:paraId="7D8ACCDD" w14:textId="77777777" w:rsidR="00973506" w:rsidRPr="00E2705E" w:rsidRDefault="00973506" w:rsidP="00973506">
            <w:pPr>
              <w:rPr>
                <w:rFonts w:eastAsia="Times New Roman"/>
                <w:sz w:val="18"/>
                <w:szCs w:val="18"/>
              </w:rPr>
            </w:pPr>
            <w:r w:rsidRPr="00E2705E">
              <w:rPr>
                <w:rFonts w:eastAsia="Times New Roman"/>
                <w:sz w:val="18"/>
                <w:szCs w:val="18"/>
              </w:rPr>
              <w:t>Otros tributos</w:t>
            </w:r>
          </w:p>
        </w:tc>
        <w:tc>
          <w:tcPr>
            <w:tcW w:w="1581" w:type="dxa"/>
            <w:tcBorders>
              <w:top w:val="nil"/>
              <w:left w:val="nil"/>
              <w:bottom w:val="nil"/>
              <w:right w:val="nil"/>
            </w:tcBorders>
            <w:shd w:val="clear" w:color="auto" w:fill="auto"/>
            <w:vAlign w:val="center"/>
          </w:tcPr>
          <w:p w14:paraId="50E238FD" w14:textId="77777777" w:rsidR="00973506" w:rsidRDefault="007022BA" w:rsidP="00973506">
            <w:pPr>
              <w:jc w:val="right"/>
              <w:rPr>
                <w:sz w:val="18"/>
                <w:szCs w:val="18"/>
              </w:rPr>
            </w:pPr>
            <w:r>
              <w:rPr>
                <w:sz w:val="18"/>
                <w:szCs w:val="18"/>
              </w:rPr>
              <w:t>8.477,23</w:t>
            </w:r>
          </w:p>
        </w:tc>
        <w:tc>
          <w:tcPr>
            <w:tcW w:w="1697" w:type="dxa"/>
            <w:tcBorders>
              <w:top w:val="nil"/>
              <w:left w:val="nil"/>
              <w:bottom w:val="nil"/>
              <w:right w:val="nil"/>
            </w:tcBorders>
            <w:shd w:val="clear" w:color="auto" w:fill="auto"/>
            <w:vAlign w:val="center"/>
            <w:hideMark/>
          </w:tcPr>
          <w:p w14:paraId="11B121BF" w14:textId="77777777" w:rsidR="00973506" w:rsidRDefault="00973506" w:rsidP="00973506">
            <w:pPr>
              <w:jc w:val="right"/>
              <w:rPr>
                <w:sz w:val="18"/>
                <w:szCs w:val="18"/>
              </w:rPr>
            </w:pPr>
            <w:r>
              <w:rPr>
                <w:sz w:val="18"/>
                <w:szCs w:val="18"/>
              </w:rPr>
              <w:t>8.950,18</w:t>
            </w:r>
          </w:p>
        </w:tc>
      </w:tr>
      <w:tr w:rsidR="00973506" w:rsidRPr="00E2705E" w14:paraId="0B288E59" w14:textId="77777777" w:rsidTr="00693BB6">
        <w:trPr>
          <w:trHeight w:val="238"/>
          <w:jc w:val="center"/>
        </w:trPr>
        <w:tc>
          <w:tcPr>
            <w:tcW w:w="3526" w:type="dxa"/>
            <w:tcBorders>
              <w:top w:val="single" w:sz="4" w:space="0" w:color="auto"/>
              <w:left w:val="nil"/>
              <w:bottom w:val="single" w:sz="4" w:space="0" w:color="auto"/>
              <w:right w:val="nil"/>
            </w:tcBorders>
            <w:shd w:val="clear" w:color="auto" w:fill="auto"/>
            <w:vAlign w:val="center"/>
            <w:hideMark/>
          </w:tcPr>
          <w:p w14:paraId="65A12DE0" w14:textId="77777777" w:rsidR="00973506" w:rsidRPr="00E2705E" w:rsidRDefault="00973506" w:rsidP="00973506">
            <w:pPr>
              <w:rPr>
                <w:rFonts w:eastAsia="Times New Roman"/>
                <w:b/>
                <w:bCs/>
                <w:sz w:val="18"/>
                <w:szCs w:val="18"/>
              </w:rPr>
            </w:pPr>
            <w:r w:rsidRPr="00E2705E">
              <w:rPr>
                <w:rFonts w:eastAsia="Times New Roman"/>
                <w:b/>
                <w:bCs/>
                <w:sz w:val="18"/>
                <w:szCs w:val="18"/>
              </w:rPr>
              <w:t>Total</w:t>
            </w:r>
          </w:p>
        </w:tc>
        <w:tc>
          <w:tcPr>
            <w:tcW w:w="1581" w:type="dxa"/>
            <w:tcBorders>
              <w:top w:val="single" w:sz="4" w:space="0" w:color="auto"/>
              <w:left w:val="nil"/>
              <w:bottom w:val="single" w:sz="4" w:space="0" w:color="auto"/>
              <w:right w:val="nil"/>
            </w:tcBorders>
            <w:shd w:val="clear" w:color="auto" w:fill="auto"/>
            <w:vAlign w:val="center"/>
          </w:tcPr>
          <w:p w14:paraId="7369D692" w14:textId="77777777" w:rsidR="00973506" w:rsidRDefault="007022BA" w:rsidP="00973506">
            <w:pPr>
              <w:jc w:val="right"/>
              <w:rPr>
                <w:b/>
                <w:bCs/>
                <w:sz w:val="18"/>
                <w:szCs w:val="18"/>
              </w:rPr>
            </w:pPr>
            <w:r>
              <w:rPr>
                <w:b/>
                <w:bCs/>
                <w:sz w:val="18"/>
                <w:szCs w:val="18"/>
              </w:rPr>
              <w:t>310.008,95</w:t>
            </w:r>
          </w:p>
        </w:tc>
        <w:tc>
          <w:tcPr>
            <w:tcW w:w="1697" w:type="dxa"/>
            <w:tcBorders>
              <w:top w:val="single" w:sz="4" w:space="0" w:color="auto"/>
              <w:left w:val="nil"/>
              <w:bottom w:val="single" w:sz="4" w:space="0" w:color="auto"/>
              <w:right w:val="nil"/>
            </w:tcBorders>
            <w:shd w:val="clear" w:color="auto" w:fill="auto"/>
            <w:vAlign w:val="center"/>
            <w:hideMark/>
          </w:tcPr>
          <w:p w14:paraId="3E5983F8" w14:textId="77777777" w:rsidR="00973506" w:rsidRDefault="00973506" w:rsidP="00973506">
            <w:pPr>
              <w:jc w:val="right"/>
              <w:rPr>
                <w:b/>
                <w:bCs/>
                <w:sz w:val="18"/>
                <w:szCs w:val="18"/>
              </w:rPr>
            </w:pPr>
            <w:r>
              <w:rPr>
                <w:b/>
                <w:bCs/>
                <w:sz w:val="18"/>
                <w:szCs w:val="18"/>
              </w:rPr>
              <w:t>336.536,60</w:t>
            </w:r>
          </w:p>
        </w:tc>
      </w:tr>
    </w:tbl>
    <w:p w14:paraId="2DE9AA39" w14:textId="77777777" w:rsidR="006220A2" w:rsidRPr="001E0DA0" w:rsidRDefault="006220A2" w:rsidP="00693BB6">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pacing w:before="200"/>
        <w:ind w:left="0" w:firstLine="0"/>
        <w:outlineLvl w:val="9"/>
        <w:rPr>
          <w:sz w:val="20"/>
          <w:szCs w:val="22"/>
          <w:u w:val="single"/>
        </w:rPr>
      </w:pPr>
      <w:r w:rsidRPr="001E0DA0">
        <w:rPr>
          <w:sz w:val="20"/>
          <w:szCs w:val="22"/>
          <w:u w:val="single"/>
        </w:rPr>
        <w:t>Resultado financiero</w:t>
      </w:r>
    </w:p>
    <w:p w14:paraId="783427E4" w14:textId="77777777" w:rsidR="006220A2" w:rsidRDefault="0097484D" w:rsidP="00693BB6">
      <w:pPr>
        <w:widowControl w:val="0"/>
        <w:spacing w:before="120" w:after="120"/>
        <w:jc w:val="both"/>
        <w:rPr>
          <w:sz w:val="20"/>
          <w:szCs w:val="22"/>
        </w:rPr>
      </w:pPr>
      <w:r>
        <w:rPr>
          <w:sz w:val="20"/>
          <w:szCs w:val="22"/>
        </w:rPr>
        <w:t xml:space="preserve">En el ejercicio 2018 </w:t>
      </w:r>
      <w:r w:rsidR="006220A2" w:rsidRPr="0097484D">
        <w:rPr>
          <w:sz w:val="20"/>
          <w:szCs w:val="22"/>
        </w:rPr>
        <w:t xml:space="preserve">las cuentas corrientes contratadas por la Sociedad </w:t>
      </w:r>
      <w:r w:rsidRPr="0097484D">
        <w:rPr>
          <w:sz w:val="20"/>
          <w:szCs w:val="22"/>
        </w:rPr>
        <w:t xml:space="preserve">no han </w:t>
      </w:r>
      <w:r w:rsidR="006220A2" w:rsidRPr="0097484D">
        <w:rPr>
          <w:sz w:val="20"/>
          <w:szCs w:val="22"/>
        </w:rPr>
        <w:t>genera</w:t>
      </w:r>
      <w:r w:rsidRPr="0097484D">
        <w:rPr>
          <w:sz w:val="20"/>
          <w:szCs w:val="22"/>
        </w:rPr>
        <w:t>do</w:t>
      </w:r>
      <w:r w:rsidR="006220A2" w:rsidRPr="0097484D">
        <w:rPr>
          <w:sz w:val="20"/>
          <w:szCs w:val="22"/>
        </w:rPr>
        <w:t xml:space="preserve"> </w:t>
      </w:r>
      <w:r w:rsidR="004161BD">
        <w:rPr>
          <w:sz w:val="20"/>
          <w:szCs w:val="22"/>
        </w:rPr>
        <w:t xml:space="preserve">ingresos por </w:t>
      </w:r>
      <w:r w:rsidRPr="0097484D">
        <w:rPr>
          <w:sz w:val="20"/>
          <w:szCs w:val="22"/>
        </w:rPr>
        <w:t>intereses (</w:t>
      </w:r>
      <w:r w:rsidR="006220A2" w:rsidRPr="0097484D">
        <w:rPr>
          <w:sz w:val="20"/>
          <w:szCs w:val="22"/>
        </w:rPr>
        <w:t xml:space="preserve">tipo de interés medio del 0,05% en </w:t>
      </w:r>
      <w:r w:rsidR="00FD445C" w:rsidRPr="0097484D">
        <w:rPr>
          <w:sz w:val="20"/>
          <w:szCs w:val="22"/>
        </w:rPr>
        <w:t>2017</w:t>
      </w:r>
      <w:r w:rsidR="006220A2" w:rsidRPr="0097484D">
        <w:rPr>
          <w:sz w:val="20"/>
          <w:szCs w:val="22"/>
        </w:rPr>
        <w:t>).</w:t>
      </w:r>
    </w:p>
    <w:tbl>
      <w:tblPr>
        <w:tblW w:w="6804" w:type="dxa"/>
        <w:jc w:val="center"/>
        <w:tblCellMar>
          <w:left w:w="70" w:type="dxa"/>
          <w:right w:w="70" w:type="dxa"/>
        </w:tblCellMar>
        <w:tblLook w:val="04A0" w:firstRow="1" w:lastRow="0" w:firstColumn="1" w:lastColumn="0" w:noHBand="0" w:noVBand="1"/>
      </w:tblPr>
      <w:tblGrid>
        <w:gridCol w:w="4264"/>
        <w:gridCol w:w="1163"/>
        <w:gridCol w:w="1377"/>
      </w:tblGrid>
      <w:tr w:rsidR="006220A2" w:rsidRPr="00E226DF" w14:paraId="7E10FFFB" w14:textId="77777777" w:rsidTr="00852114">
        <w:trPr>
          <w:trHeight w:val="113"/>
          <w:jc w:val="center"/>
        </w:trPr>
        <w:tc>
          <w:tcPr>
            <w:tcW w:w="4264" w:type="dxa"/>
            <w:tcBorders>
              <w:top w:val="single" w:sz="4" w:space="0" w:color="auto"/>
              <w:left w:val="nil"/>
              <w:bottom w:val="nil"/>
              <w:right w:val="nil"/>
            </w:tcBorders>
            <w:shd w:val="clear" w:color="auto" w:fill="auto"/>
            <w:vAlign w:val="center"/>
            <w:hideMark/>
          </w:tcPr>
          <w:p w14:paraId="03EB5835" w14:textId="77777777" w:rsidR="006220A2" w:rsidRPr="00E226DF" w:rsidRDefault="006220A2" w:rsidP="00693BB6">
            <w:pPr>
              <w:widowControl w:val="0"/>
              <w:rPr>
                <w:rFonts w:eastAsia="Times New Roman"/>
                <w:sz w:val="18"/>
                <w:szCs w:val="18"/>
              </w:rPr>
            </w:pPr>
            <w:r w:rsidRPr="00E226DF">
              <w:rPr>
                <w:rFonts w:eastAsia="Times New Roman"/>
                <w:sz w:val="18"/>
                <w:szCs w:val="18"/>
              </w:rPr>
              <w:t> </w:t>
            </w:r>
          </w:p>
        </w:tc>
        <w:tc>
          <w:tcPr>
            <w:tcW w:w="2540" w:type="dxa"/>
            <w:gridSpan w:val="2"/>
            <w:tcBorders>
              <w:top w:val="single" w:sz="4" w:space="0" w:color="auto"/>
              <w:left w:val="nil"/>
              <w:bottom w:val="single" w:sz="4" w:space="0" w:color="auto"/>
              <w:right w:val="nil"/>
            </w:tcBorders>
            <w:shd w:val="clear" w:color="auto" w:fill="auto"/>
            <w:vAlign w:val="bottom"/>
            <w:hideMark/>
          </w:tcPr>
          <w:p w14:paraId="76A39ED3" w14:textId="77777777" w:rsidR="006220A2" w:rsidRPr="00E226DF" w:rsidRDefault="006220A2" w:rsidP="00693BB6">
            <w:pPr>
              <w:widowControl w:val="0"/>
              <w:jc w:val="center"/>
              <w:rPr>
                <w:rFonts w:eastAsia="Times New Roman"/>
                <w:b/>
                <w:bCs/>
                <w:sz w:val="18"/>
                <w:szCs w:val="18"/>
              </w:rPr>
            </w:pPr>
            <w:r w:rsidRPr="00E226DF">
              <w:rPr>
                <w:rFonts w:eastAsia="Times New Roman"/>
                <w:b/>
                <w:bCs/>
                <w:sz w:val="18"/>
                <w:szCs w:val="18"/>
              </w:rPr>
              <w:t>Euros</w:t>
            </w:r>
          </w:p>
        </w:tc>
      </w:tr>
      <w:tr w:rsidR="006220A2" w:rsidRPr="00E226DF" w14:paraId="3C189DAC" w14:textId="77777777" w:rsidTr="00852114">
        <w:trPr>
          <w:trHeight w:val="240"/>
          <w:jc w:val="center"/>
        </w:trPr>
        <w:tc>
          <w:tcPr>
            <w:tcW w:w="4264" w:type="dxa"/>
            <w:tcBorders>
              <w:top w:val="nil"/>
              <w:left w:val="nil"/>
              <w:bottom w:val="single" w:sz="4" w:space="0" w:color="auto"/>
              <w:right w:val="nil"/>
            </w:tcBorders>
            <w:shd w:val="clear" w:color="auto" w:fill="auto"/>
            <w:vAlign w:val="center"/>
            <w:hideMark/>
          </w:tcPr>
          <w:p w14:paraId="6D393FC9" w14:textId="77777777" w:rsidR="006220A2" w:rsidRPr="00E226DF" w:rsidRDefault="006220A2" w:rsidP="00693BB6">
            <w:pPr>
              <w:widowControl w:val="0"/>
              <w:rPr>
                <w:rFonts w:eastAsia="Times New Roman"/>
                <w:sz w:val="18"/>
                <w:szCs w:val="18"/>
              </w:rPr>
            </w:pPr>
            <w:r w:rsidRPr="00E226DF">
              <w:rPr>
                <w:rFonts w:eastAsia="Times New Roman"/>
                <w:sz w:val="18"/>
                <w:szCs w:val="18"/>
              </w:rPr>
              <w:t> </w:t>
            </w:r>
          </w:p>
        </w:tc>
        <w:tc>
          <w:tcPr>
            <w:tcW w:w="1163" w:type="dxa"/>
            <w:tcBorders>
              <w:top w:val="nil"/>
              <w:left w:val="nil"/>
              <w:bottom w:val="single" w:sz="4" w:space="0" w:color="auto"/>
              <w:right w:val="nil"/>
            </w:tcBorders>
            <w:shd w:val="clear" w:color="auto" w:fill="auto"/>
            <w:vAlign w:val="bottom"/>
            <w:hideMark/>
          </w:tcPr>
          <w:p w14:paraId="4850E8BF" w14:textId="77777777" w:rsidR="006220A2" w:rsidRPr="00E226DF" w:rsidRDefault="003D034B" w:rsidP="00693BB6">
            <w:pPr>
              <w:widowControl w:val="0"/>
              <w:jc w:val="center"/>
              <w:rPr>
                <w:rFonts w:eastAsia="Times New Roman"/>
                <w:b/>
                <w:bCs/>
                <w:sz w:val="18"/>
                <w:szCs w:val="18"/>
              </w:rPr>
            </w:pPr>
            <w:r>
              <w:rPr>
                <w:rFonts w:eastAsia="Times New Roman"/>
                <w:b/>
                <w:bCs/>
                <w:sz w:val="18"/>
                <w:szCs w:val="18"/>
              </w:rPr>
              <w:t>2018</w:t>
            </w:r>
          </w:p>
        </w:tc>
        <w:tc>
          <w:tcPr>
            <w:tcW w:w="1377" w:type="dxa"/>
            <w:tcBorders>
              <w:top w:val="nil"/>
              <w:left w:val="nil"/>
              <w:bottom w:val="single" w:sz="4" w:space="0" w:color="auto"/>
              <w:right w:val="nil"/>
            </w:tcBorders>
            <w:shd w:val="clear" w:color="auto" w:fill="auto"/>
            <w:vAlign w:val="bottom"/>
            <w:hideMark/>
          </w:tcPr>
          <w:p w14:paraId="62FDC26C" w14:textId="77777777" w:rsidR="006220A2" w:rsidRPr="00E226DF" w:rsidRDefault="003D034B" w:rsidP="00693BB6">
            <w:pPr>
              <w:widowControl w:val="0"/>
              <w:jc w:val="center"/>
              <w:rPr>
                <w:rFonts w:eastAsia="Times New Roman"/>
                <w:b/>
                <w:bCs/>
                <w:sz w:val="18"/>
                <w:szCs w:val="18"/>
              </w:rPr>
            </w:pPr>
            <w:r>
              <w:rPr>
                <w:rFonts w:eastAsia="Times New Roman"/>
                <w:b/>
                <w:bCs/>
                <w:sz w:val="18"/>
                <w:szCs w:val="18"/>
              </w:rPr>
              <w:t>2017</w:t>
            </w:r>
          </w:p>
        </w:tc>
      </w:tr>
      <w:tr w:rsidR="006220A2" w:rsidRPr="00E226DF" w14:paraId="71FE9E33" w14:textId="77777777" w:rsidTr="004161BD">
        <w:trPr>
          <w:trHeight w:val="232"/>
          <w:jc w:val="center"/>
        </w:trPr>
        <w:tc>
          <w:tcPr>
            <w:tcW w:w="4264" w:type="dxa"/>
            <w:tcBorders>
              <w:top w:val="nil"/>
              <w:left w:val="nil"/>
              <w:bottom w:val="nil"/>
              <w:right w:val="nil"/>
            </w:tcBorders>
            <w:shd w:val="clear" w:color="auto" w:fill="auto"/>
            <w:vAlign w:val="center"/>
            <w:hideMark/>
          </w:tcPr>
          <w:p w14:paraId="1765B3AB" w14:textId="77777777" w:rsidR="006220A2" w:rsidRPr="00E226DF" w:rsidRDefault="006220A2" w:rsidP="00693BB6">
            <w:pPr>
              <w:widowControl w:val="0"/>
              <w:rPr>
                <w:rFonts w:eastAsia="Times New Roman"/>
                <w:b/>
                <w:bCs/>
                <w:sz w:val="18"/>
                <w:szCs w:val="18"/>
              </w:rPr>
            </w:pPr>
            <w:r w:rsidRPr="00E226DF">
              <w:rPr>
                <w:rFonts w:eastAsia="Times New Roman"/>
                <w:b/>
                <w:bCs/>
                <w:sz w:val="18"/>
                <w:szCs w:val="18"/>
              </w:rPr>
              <w:t>Ingresos financieros:</w:t>
            </w:r>
          </w:p>
        </w:tc>
        <w:tc>
          <w:tcPr>
            <w:tcW w:w="1163" w:type="dxa"/>
            <w:tcBorders>
              <w:top w:val="nil"/>
              <w:left w:val="nil"/>
              <w:bottom w:val="nil"/>
              <w:right w:val="nil"/>
            </w:tcBorders>
            <w:shd w:val="clear" w:color="auto" w:fill="auto"/>
            <w:vAlign w:val="center"/>
            <w:hideMark/>
          </w:tcPr>
          <w:p w14:paraId="33AA54FA" w14:textId="77777777" w:rsidR="006220A2" w:rsidRPr="00E226DF" w:rsidRDefault="006220A2" w:rsidP="00693BB6">
            <w:pPr>
              <w:widowControl w:val="0"/>
              <w:rPr>
                <w:rFonts w:eastAsia="Times New Roman"/>
                <w:b/>
                <w:bCs/>
                <w:sz w:val="18"/>
                <w:szCs w:val="18"/>
              </w:rPr>
            </w:pPr>
          </w:p>
        </w:tc>
        <w:tc>
          <w:tcPr>
            <w:tcW w:w="1377" w:type="dxa"/>
            <w:tcBorders>
              <w:top w:val="nil"/>
              <w:left w:val="nil"/>
              <w:bottom w:val="nil"/>
              <w:right w:val="nil"/>
            </w:tcBorders>
            <w:shd w:val="clear" w:color="auto" w:fill="auto"/>
            <w:vAlign w:val="center"/>
            <w:hideMark/>
          </w:tcPr>
          <w:p w14:paraId="288ADAF4" w14:textId="77777777" w:rsidR="006220A2" w:rsidRPr="00E226DF" w:rsidRDefault="006220A2" w:rsidP="00693BB6">
            <w:pPr>
              <w:widowControl w:val="0"/>
              <w:jc w:val="center"/>
              <w:rPr>
                <w:rFonts w:ascii="Times New Roman" w:eastAsia="Times New Roman" w:hAnsi="Times New Roman"/>
                <w:sz w:val="20"/>
              </w:rPr>
            </w:pPr>
          </w:p>
        </w:tc>
      </w:tr>
      <w:tr w:rsidR="003D034B" w:rsidRPr="00E226DF" w14:paraId="7DC14F7D" w14:textId="77777777" w:rsidTr="004161BD">
        <w:trPr>
          <w:trHeight w:val="232"/>
          <w:jc w:val="center"/>
        </w:trPr>
        <w:tc>
          <w:tcPr>
            <w:tcW w:w="4264" w:type="dxa"/>
            <w:tcBorders>
              <w:top w:val="nil"/>
              <w:left w:val="nil"/>
              <w:bottom w:val="nil"/>
              <w:right w:val="nil"/>
            </w:tcBorders>
            <w:shd w:val="clear" w:color="auto" w:fill="auto"/>
            <w:vAlign w:val="center"/>
            <w:hideMark/>
          </w:tcPr>
          <w:p w14:paraId="50080961" w14:textId="77777777" w:rsidR="003D034B" w:rsidRPr="00E226DF" w:rsidRDefault="003D034B" w:rsidP="00693BB6">
            <w:pPr>
              <w:widowControl w:val="0"/>
              <w:rPr>
                <w:rFonts w:eastAsia="Times New Roman"/>
                <w:sz w:val="18"/>
                <w:szCs w:val="18"/>
              </w:rPr>
            </w:pPr>
            <w:r w:rsidRPr="00E226DF">
              <w:rPr>
                <w:rFonts w:eastAsia="Times New Roman"/>
                <w:sz w:val="18"/>
                <w:szCs w:val="18"/>
              </w:rPr>
              <w:t>De valores negociables y otros instrumentos financieros</w:t>
            </w:r>
          </w:p>
        </w:tc>
        <w:tc>
          <w:tcPr>
            <w:tcW w:w="1163" w:type="dxa"/>
            <w:tcBorders>
              <w:top w:val="nil"/>
              <w:left w:val="nil"/>
              <w:bottom w:val="nil"/>
              <w:right w:val="nil"/>
            </w:tcBorders>
            <w:shd w:val="clear" w:color="auto" w:fill="auto"/>
            <w:vAlign w:val="center"/>
            <w:hideMark/>
          </w:tcPr>
          <w:p w14:paraId="5F5CBC02" w14:textId="77777777" w:rsidR="003D034B" w:rsidRPr="00E226DF" w:rsidRDefault="003D034B" w:rsidP="00693BB6">
            <w:pPr>
              <w:widowControl w:val="0"/>
              <w:jc w:val="right"/>
              <w:rPr>
                <w:rFonts w:eastAsia="Times New Roman"/>
                <w:sz w:val="18"/>
                <w:szCs w:val="18"/>
              </w:rPr>
            </w:pPr>
          </w:p>
        </w:tc>
        <w:tc>
          <w:tcPr>
            <w:tcW w:w="1377" w:type="dxa"/>
            <w:tcBorders>
              <w:top w:val="nil"/>
              <w:left w:val="nil"/>
              <w:bottom w:val="nil"/>
              <w:right w:val="nil"/>
            </w:tcBorders>
            <w:shd w:val="clear" w:color="auto" w:fill="auto"/>
            <w:vAlign w:val="center"/>
          </w:tcPr>
          <w:p w14:paraId="03A5768A" w14:textId="77777777" w:rsidR="003D034B" w:rsidRPr="00E226DF" w:rsidRDefault="003D034B" w:rsidP="00693BB6">
            <w:pPr>
              <w:widowControl w:val="0"/>
              <w:jc w:val="right"/>
              <w:rPr>
                <w:rFonts w:eastAsia="Times New Roman"/>
                <w:sz w:val="18"/>
                <w:szCs w:val="18"/>
              </w:rPr>
            </w:pPr>
          </w:p>
        </w:tc>
      </w:tr>
      <w:tr w:rsidR="003D034B" w:rsidRPr="00E226DF" w14:paraId="46F30EF0" w14:textId="77777777" w:rsidTr="004161BD">
        <w:trPr>
          <w:trHeight w:val="232"/>
          <w:jc w:val="center"/>
        </w:trPr>
        <w:tc>
          <w:tcPr>
            <w:tcW w:w="4264" w:type="dxa"/>
            <w:tcBorders>
              <w:top w:val="nil"/>
              <w:left w:val="nil"/>
              <w:bottom w:val="nil"/>
              <w:right w:val="nil"/>
            </w:tcBorders>
            <w:shd w:val="clear" w:color="auto" w:fill="auto"/>
            <w:vAlign w:val="center"/>
            <w:hideMark/>
          </w:tcPr>
          <w:p w14:paraId="7C1379EC" w14:textId="77777777" w:rsidR="003D034B" w:rsidRPr="00E226DF" w:rsidRDefault="003D034B" w:rsidP="00693BB6">
            <w:pPr>
              <w:widowControl w:val="0"/>
              <w:rPr>
                <w:rFonts w:eastAsia="Times New Roman"/>
                <w:sz w:val="18"/>
                <w:szCs w:val="18"/>
              </w:rPr>
            </w:pPr>
            <w:r w:rsidRPr="00E226DF">
              <w:rPr>
                <w:rFonts w:eastAsia="Times New Roman"/>
                <w:sz w:val="18"/>
                <w:szCs w:val="18"/>
              </w:rPr>
              <w:t>- De terceros</w:t>
            </w:r>
          </w:p>
        </w:tc>
        <w:tc>
          <w:tcPr>
            <w:tcW w:w="1163" w:type="dxa"/>
            <w:tcBorders>
              <w:top w:val="nil"/>
              <w:left w:val="nil"/>
              <w:bottom w:val="nil"/>
              <w:right w:val="nil"/>
            </w:tcBorders>
            <w:shd w:val="clear" w:color="auto" w:fill="auto"/>
            <w:vAlign w:val="center"/>
          </w:tcPr>
          <w:p w14:paraId="12395B55" w14:textId="77777777" w:rsidR="003D034B" w:rsidRPr="00E226DF" w:rsidRDefault="003D034B" w:rsidP="00693BB6">
            <w:pPr>
              <w:widowControl w:val="0"/>
              <w:jc w:val="right"/>
              <w:rPr>
                <w:rFonts w:eastAsia="Times New Roman"/>
                <w:sz w:val="18"/>
                <w:szCs w:val="18"/>
              </w:rPr>
            </w:pPr>
            <w:r>
              <w:rPr>
                <w:rFonts w:eastAsia="Times New Roman"/>
                <w:sz w:val="18"/>
                <w:szCs w:val="18"/>
              </w:rPr>
              <w:t>151,66</w:t>
            </w:r>
          </w:p>
        </w:tc>
        <w:tc>
          <w:tcPr>
            <w:tcW w:w="1377" w:type="dxa"/>
            <w:tcBorders>
              <w:top w:val="nil"/>
              <w:left w:val="nil"/>
              <w:bottom w:val="nil"/>
              <w:right w:val="nil"/>
            </w:tcBorders>
            <w:shd w:val="clear" w:color="auto" w:fill="auto"/>
            <w:vAlign w:val="center"/>
          </w:tcPr>
          <w:p w14:paraId="3D718473" w14:textId="77777777" w:rsidR="003D034B" w:rsidRPr="00E226DF" w:rsidRDefault="003D034B" w:rsidP="00693BB6">
            <w:pPr>
              <w:widowControl w:val="0"/>
              <w:jc w:val="right"/>
              <w:rPr>
                <w:rFonts w:eastAsia="Times New Roman"/>
                <w:sz w:val="18"/>
                <w:szCs w:val="18"/>
              </w:rPr>
            </w:pPr>
            <w:r w:rsidRPr="00E226DF">
              <w:rPr>
                <w:rFonts w:eastAsia="Times New Roman"/>
                <w:sz w:val="18"/>
                <w:szCs w:val="18"/>
              </w:rPr>
              <w:t>478,77</w:t>
            </w:r>
          </w:p>
        </w:tc>
      </w:tr>
      <w:tr w:rsidR="003D034B" w:rsidRPr="00E226DF" w14:paraId="7EF975E3" w14:textId="77777777" w:rsidTr="004161BD">
        <w:trPr>
          <w:trHeight w:val="232"/>
          <w:jc w:val="center"/>
        </w:trPr>
        <w:tc>
          <w:tcPr>
            <w:tcW w:w="4264" w:type="dxa"/>
            <w:tcBorders>
              <w:top w:val="nil"/>
              <w:left w:val="nil"/>
              <w:bottom w:val="nil"/>
              <w:right w:val="nil"/>
            </w:tcBorders>
            <w:shd w:val="clear" w:color="auto" w:fill="auto"/>
            <w:vAlign w:val="center"/>
            <w:hideMark/>
          </w:tcPr>
          <w:p w14:paraId="7590DAE3" w14:textId="77777777" w:rsidR="003D034B" w:rsidRPr="00E226DF" w:rsidRDefault="003D034B" w:rsidP="00693BB6">
            <w:pPr>
              <w:widowControl w:val="0"/>
              <w:rPr>
                <w:rFonts w:eastAsia="Times New Roman"/>
                <w:b/>
                <w:bCs/>
                <w:sz w:val="18"/>
                <w:szCs w:val="18"/>
              </w:rPr>
            </w:pPr>
            <w:r w:rsidRPr="00E226DF">
              <w:rPr>
                <w:rFonts w:eastAsia="Times New Roman"/>
                <w:b/>
                <w:bCs/>
                <w:sz w:val="18"/>
                <w:szCs w:val="18"/>
              </w:rPr>
              <w:t>Gastos financieros:</w:t>
            </w:r>
          </w:p>
        </w:tc>
        <w:tc>
          <w:tcPr>
            <w:tcW w:w="1163" w:type="dxa"/>
            <w:tcBorders>
              <w:top w:val="nil"/>
              <w:left w:val="nil"/>
              <w:bottom w:val="nil"/>
              <w:right w:val="nil"/>
            </w:tcBorders>
            <w:shd w:val="clear" w:color="auto" w:fill="auto"/>
            <w:vAlign w:val="center"/>
          </w:tcPr>
          <w:p w14:paraId="512A1E2A" w14:textId="77777777" w:rsidR="003D034B" w:rsidRPr="00E226DF" w:rsidRDefault="003D034B" w:rsidP="00693BB6">
            <w:pPr>
              <w:widowControl w:val="0"/>
              <w:jc w:val="right"/>
              <w:rPr>
                <w:rFonts w:eastAsia="Times New Roman"/>
                <w:b/>
                <w:bCs/>
                <w:sz w:val="18"/>
                <w:szCs w:val="18"/>
              </w:rPr>
            </w:pPr>
          </w:p>
        </w:tc>
        <w:tc>
          <w:tcPr>
            <w:tcW w:w="1377" w:type="dxa"/>
            <w:tcBorders>
              <w:top w:val="nil"/>
              <w:left w:val="nil"/>
              <w:bottom w:val="nil"/>
              <w:right w:val="nil"/>
            </w:tcBorders>
            <w:shd w:val="clear" w:color="auto" w:fill="auto"/>
            <w:vAlign w:val="center"/>
          </w:tcPr>
          <w:p w14:paraId="57D41A15" w14:textId="77777777" w:rsidR="003D034B" w:rsidRPr="00E226DF" w:rsidRDefault="003D034B" w:rsidP="00693BB6">
            <w:pPr>
              <w:widowControl w:val="0"/>
              <w:jc w:val="right"/>
              <w:rPr>
                <w:rFonts w:eastAsia="Times New Roman"/>
                <w:b/>
                <w:bCs/>
                <w:sz w:val="18"/>
                <w:szCs w:val="18"/>
              </w:rPr>
            </w:pPr>
          </w:p>
        </w:tc>
      </w:tr>
      <w:tr w:rsidR="003D034B" w:rsidRPr="00E226DF" w14:paraId="46F94654" w14:textId="77777777" w:rsidTr="004161BD">
        <w:trPr>
          <w:trHeight w:val="232"/>
          <w:jc w:val="center"/>
        </w:trPr>
        <w:tc>
          <w:tcPr>
            <w:tcW w:w="4264" w:type="dxa"/>
            <w:tcBorders>
              <w:top w:val="nil"/>
              <w:left w:val="nil"/>
              <w:bottom w:val="nil"/>
              <w:right w:val="nil"/>
            </w:tcBorders>
            <w:shd w:val="clear" w:color="auto" w:fill="auto"/>
            <w:vAlign w:val="center"/>
            <w:hideMark/>
          </w:tcPr>
          <w:p w14:paraId="432C72A3" w14:textId="77777777" w:rsidR="003D034B" w:rsidRPr="00E226DF" w:rsidRDefault="003D034B" w:rsidP="00693BB6">
            <w:pPr>
              <w:widowControl w:val="0"/>
              <w:rPr>
                <w:rFonts w:eastAsia="Times New Roman"/>
                <w:sz w:val="18"/>
                <w:szCs w:val="18"/>
              </w:rPr>
            </w:pPr>
            <w:r w:rsidRPr="00E226DF">
              <w:rPr>
                <w:rFonts w:eastAsia="Times New Roman"/>
                <w:sz w:val="18"/>
                <w:szCs w:val="18"/>
              </w:rPr>
              <w:t>De valores negociables y otros instrumentos financieros</w:t>
            </w:r>
          </w:p>
        </w:tc>
        <w:tc>
          <w:tcPr>
            <w:tcW w:w="1163" w:type="dxa"/>
            <w:tcBorders>
              <w:top w:val="nil"/>
              <w:left w:val="nil"/>
              <w:bottom w:val="nil"/>
              <w:right w:val="nil"/>
            </w:tcBorders>
            <w:shd w:val="clear" w:color="auto" w:fill="auto"/>
            <w:vAlign w:val="center"/>
          </w:tcPr>
          <w:p w14:paraId="1B36A3B8" w14:textId="77777777" w:rsidR="003D034B" w:rsidRPr="00E226DF" w:rsidRDefault="003D034B" w:rsidP="00693BB6">
            <w:pPr>
              <w:widowControl w:val="0"/>
              <w:jc w:val="right"/>
              <w:rPr>
                <w:rFonts w:eastAsia="Times New Roman"/>
                <w:sz w:val="18"/>
                <w:szCs w:val="18"/>
              </w:rPr>
            </w:pPr>
          </w:p>
        </w:tc>
        <w:tc>
          <w:tcPr>
            <w:tcW w:w="1377" w:type="dxa"/>
            <w:tcBorders>
              <w:top w:val="nil"/>
              <w:left w:val="nil"/>
              <w:bottom w:val="nil"/>
              <w:right w:val="nil"/>
            </w:tcBorders>
            <w:shd w:val="clear" w:color="auto" w:fill="auto"/>
            <w:vAlign w:val="center"/>
          </w:tcPr>
          <w:p w14:paraId="1A338EC8" w14:textId="77777777" w:rsidR="003D034B" w:rsidRPr="00E226DF" w:rsidRDefault="003D034B" w:rsidP="00693BB6">
            <w:pPr>
              <w:widowControl w:val="0"/>
              <w:jc w:val="right"/>
              <w:rPr>
                <w:rFonts w:eastAsia="Times New Roman"/>
                <w:sz w:val="18"/>
                <w:szCs w:val="18"/>
              </w:rPr>
            </w:pPr>
          </w:p>
        </w:tc>
      </w:tr>
      <w:tr w:rsidR="003D034B" w:rsidRPr="00E226DF" w14:paraId="53DE171E" w14:textId="77777777" w:rsidTr="004161BD">
        <w:trPr>
          <w:trHeight w:val="232"/>
          <w:jc w:val="center"/>
        </w:trPr>
        <w:tc>
          <w:tcPr>
            <w:tcW w:w="4264" w:type="dxa"/>
            <w:tcBorders>
              <w:top w:val="nil"/>
              <w:left w:val="nil"/>
              <w:bottom w:val="nil"/>
              <w:right w:val="nil"/>
            </w:tcBorders>
            <w:shd w:val="clear" w:color="auto" w:fill="auto"/>
            <w:vAlign w:val="center"/>
            <w:hideMark/>
          </w:tcPr>
          <w:p w14:paraId="640BDCC7" w14:textId="77777777" w:rsidR="003D034B" w:rsidRPr="00E226DF" w:rsidRDefault="003D034B" w:rsidP="00693BB6">
            <w:pPr>
              <w:widowControl w:val="0"/>
              <w:rPr>
                <w:rFonts w:eastAsia="Times New Roman"/>
                <w:sz w:val="18"/>
                <w:szCs w:val="18"/>
              </w:rPr>
            </w:pPr>
            <w:r w:rsidRPr="00E226DF">
              <w:rPr>
                <w:rFonts w:eastAsia="Times New Roman"/>
                <w:sz w:val="18"/>
                <w:szCs w:val="18"/>
              </w:rPr>
              <w:t>- De terceros</w:t>
            </w:r>
          </w:p>
        </w:tc>
        <w:tc>
          <w:tcPr>
            <w:tcW w:w="1163" w:type="dxa"/>
            <w:tcBorders>
              <w:top w:val="nil"/>
              <w:left w:val="nil"/>
              <w:bottom w:val="nil"/>
              <w:right w:val="nil"/>
            </w:tcBorders>
            <w:shd w:val="clear" w:color="auto" w:fill="auto"/>
            <w:vAlign w:val="center"/>
          </w:tcPr>
          <w:p w14:paraId="3621BD72" w14:textId="77777777" w:rsidR="003D034B" w:rsidRPr="00E226DF" w:rsidRDefault="003D034B" w:rsidP="00693BB6">
            <w:pPr>
              <w:widowControl w:val="0"/>
              <w:jc w:val="right"/>
              <w:rPr>
                <w:rFonts w:eastAsia="Times New Roman"/>
                <w:sz w:val="18"/>
                <w:szCs w:val="18"/>
              </w:rPr>
            </w:pPr>
            <w:r>
              <w:rPr>
                <w:rFonts w:eastAsia="Times New Roman"/>
                <w:sz w:val="18"/>
                <w:szCs w:val="18"/>
              </w:rPr>
              <w:t>-</w:t>
            </w:r>
          </w:p>
        </w:tc>
        <w:tc>
          <w:tcPr>
            <w:tcW w:w="1377" w:type="dxa"/>
            <w:tcBorders>
              <w:top w:val="nil"/>
              <w:left w:val="nil"/>
              <w:bottom w:val="nil"/>
              <w:right w:val="nil"/>
            </w:tcBorders>
            <w:shd w:val="clear" w:color="auto" w:fill="auto"/>
            <w:vAlign w:val="center"/>
          </w:tcPr>
          <w:p w14:paraId="476DA19E" w14:textId="77777777" w:rsidR="003D034B" w:rsidRPr="00E226DF" w:rsidRDefault="003D034B" w:rsidP="00693BB6">
            <w:pPr>
              <w:widowControl w:val="0"/>
              <w:jc w:val="right"/>
              <w:rPr>
                <w:rFonts w:eastAsia="Times New Roman"/>
                <w:sz w:val="18"/>
                <w:szCs w:val="18"/>
              </w:rPr>
            </w:pPr>
            <w:r w:rsidRPr="00E226DF">
              <w:rPr>
                <w:rFonts w:eastAsia="Times New Roman"/>
                <w:sz w:val="18"/>
                <w:szCs w:val="18"/>
              </w:rPr>
              <w:t>(951,67)</w:t>
            </w:r>
          </w:p>
        </w:tc>
      </w:tr>
      <w:tr w:rsidR="003D034B" w:rsidRPr="00E226DF" w14:paraId="50BE507C" w14:textId="77777777" w:rsidTr="004161BD">
        <w:trPr>
          <w:trHeight w:val="232"/>
          <w:jc w:val="center"/>
        </w:trPr>
        <w:tc>
          <w:tcPr>
            <w:tcW w:w="4264" w:type="dxa"/>
            <w:tcBorders>
              <w:top w:val="nil"/>
              <w:left w:val="nil"/>
              <w:bottom w:val="nil"/>
              <w:right w:val="nil"/>
            </w:tcBorders>
            <w:shd w:val="clear" w:color="auto" w:fill="auto"/>
            <w:vAlign w:val="center"/>
            <w:hideMark/>
          </w:tcPr>
          <w:p w14:paraId="0A29C93F" w14:textId="77777777" w:rsidR="003D034B" w:rsidRPr="00E226DF" w:rsidRDefault="003D034B" w:rsidP="00693BB6">
            <w:pPr>
              <w:widowControl w:val="0"/>
              <w:rPr>
                <w:rFonts w:eastAsia="Times New Roman"/>
                <w:b/>
                <w:bCs/>
                <w:sz w:val="18"/>
                <w:szCs w:val="18"/>
              </w:rPr>
            </w:pPr>
            <w:r w:rsidRPr="00E226DF">
              <w:rPr>
                <w:rFonts w:eastAsia="Times New Roman"/>
                <w:b/>
                <w:bCs/>
                <w:sz w:val="18"/>
                <w:szCs w:val="18"/>
              </w:rPr>
              <w:t>Diferencias de cambio</w:t>
            </w:r>
          </w:p>
        </w:tc>
        <w:tc>
          <w:tcPr>
            <w:tcW w:w="1163" w:type="dxa"/>
            <w:tcBorders>
              <w:top w:val="nil"/>
              <w:left w:val="nil"/>
              <w:bottom w:val="nil"/>
              <w:right w:val="nil"/>
            </w:tcBorders>
            <w:shd w:val="clear" w:color="auto" w:fill="auto"/>
            <w:vAlign w:val="center"/>
          </w:tcPr>
          <w:p w14:paraId="001A2638" w14:textId="77777777" w:rsidR="003D034B" w:rsidRPr="00E226DF" w:rsidRDefault="003D034B" w:rsidP="00693BB6">
            <w:pPr>
              <w:widowControl w:val="0"/>
              <w:jc w:val="right"/>
              <w:rPr>
                <w:rFonts w:eastAsia="Times New Roman"/>
                <w:sz w:val="18"/>
                <w:szCs w:val="18"/>
              </w:rPr>
            </w:pPr>
            <w:r>
              <w:rPr>
                <w:rFonts w:eastAsia="Times New Roman"/>
                <w:sz w:val="18"/>
                <w:szCs w:val="18"/>
              </w:rPr>
              <w:t>(171,87)</w:t>
            </w:r>
          </w:p>
        </w:tc>
        <w:tc>
          <w:tcPr>
            <w:tcW w:w="1377" w:type="dxa"/>
            <w:tcBorders>
              <w:top w:val="nil"/>
              <w:left w:val="nil"/>
              <w:bottom w:val="nil"/>
              <w:right w:val="nil"/>
            </w:tcBorders>
            <w:shd w:val="clear" w:color="auto" w:fill="auto"/>
            <w:vAlign w:val="center"/>
          </w:tcPr>
          <w:p w14:paraId="0638EBE4" w14:textId="77777777" w:rsidR="003D034B" w:rsidRPr="00E226DF" w:rsidRDefault="003D034B" w:rsidP="00693BB6">
            <w:pPr>
              <w:widowControl w:val="0"/>
              <w:jc w:val="right"/>
              <w:rPr>
                <w:rFonts w:eastAsia="Times New Roman"/>
                <w:sz w:val="18"/>
                <w:szCs w:val="18"/>
              </w:rPr>
            </w:pPr>
            <w:r w:rsidRPr="00E226DF">
              <w:rPr>
                <w:rFonts w:eastAsia="Times New Roman"/>
                <w:sz w:val="18"/>
                <w:szCs w:val="18"/>
              </w:rPr>
              <w:t>(2.044,65)</w:t>
            </w:r>
          </w:p>
        </w:tc>
      </w:tr>
      <w:tr w:rsidR="003D034B" w:rsidRPr="00E226DF" w14:paraId="48C2C20F" w14:textId="77777777" w:rsidTr="004161BD">
        <w:trPr>
          <w:trHeight w:val="232"/>
          <w:jc w:val="center"/>
        </w:trPr>
        <w:tc>
          <w:tcPr>
            <w:tcW w:w="4264" w:type="dxa"/>
            <w:tcBorders>
              <w:top w:val="single" w:sz="4" w:space="0" w:color="auto"/>
              <w:left w:val="nil"/>
              <w:bottom w:val="single" w:sz="4" w:space="0" w:color="auto"/>
              <w:right w:val="nil"/>
            </w:tcBorders>
            <w:shd w:val="clear" w:color="auto" w:fill="auto"/>
            <w:vAlign w:val="center"/>
            <w:hideMark/>
          </w:tcPr>
          <w:p w14:paraId="30229846" w14:textId="77777777" w:rsidR="003D034B" w:rsidRPr="00E226DF" w:rsidRDefault="003D034B" w:rsidP="00693BB6">
            <w:pPr>
              <w:widowControl w:val="0"/>
              <w:rPr>
                <w:rFonts w:eastAsia="Times New Roman"/>
                <w:b/>
                <w:bCs/>
                <w:sz w:val="18"/>
                <w:szCs w:val="18"/>
              </w:rPr>
            </w:pPr>
            <w:r w:rsidRPr="00E226DF">
              <w:rPr>
                <w:rFonts w:eastAsia="Times New Roman"/>
                <w:b/>
                <w:bCs/>
                <w:sz w:val="18"/>
                <w:szCs w:val="18"/>
              </w:rPr>
              <w:t>Resultado financiero</w:t>
            </w:r>
          </w:p>
        </w:tc>
        <w:tc>
          <w:tcPr>
            <w:tcW w:w="1163" w:type="dxa"/>
            <w:tcBorders>
              <w:top w:val="single" w:sz="4" w:space="0" w:color="auto"/>
              <w:left w:val="nil"/>
              <w:bottom w:val="single" w:sz="4" w:space="0" w:color="auto"/>
              <w:right w:val="nil"/>
            </w:tcBorders>
            <w:shd w:val="clear" w:color="auto" w:fill="auto"/>
            <w:vAlign w:val="center"/>
          </w:tcPr>
          <w:p w14:paraId="3A38865A" w14:textId="77777777" w:rsidR="003D034B" w:rsidRPr="00E226DF" w:rsidRDefault="003D034B" w:rsidP="00693BB6">
            <w:pPr>
              <w:widowControl w:val="0"/>
              <w:jc w:val="right"/>
              <w:rPr>
                <w:rFonts w:eastAsia="Times New Roman"/>
                <w:b/>
                <w:bCs/>
                <w:sz w:val="18"/>
                <w:szCs w:val="18"/>
              </w:rPr>
            </w:pPr>
            <w:r>
              <w:rPr>
                <w:rFonts w:eastAsia="Times New Roman"/>
                <w:b/>
                <w:bCs/>
                <w:sz w:val="18"/>
                <w:szCs w:val="18"/>
              </w:rPr>
              <w:t>(20,21)</w:t>
            </w:r>
          </w:p>
        </w:tc>
        <w:tc>
          <w:tcPr>
            <w:tcW w:w="1377" w:type="dxa"/>
            <w:tcBorders>
              <w:top w:val="single" w:sz="4" w:space="0" w:color="auto"/>
              <w:left w:val="nil"/>
              <w:bottom w:val="single" w:sz="4" w:space="0" w:color="auto"/>
              <w:right w:val="nil"/>
            </w:tcBorders>
            <w:shd w:val="clear" w:color="auto" w:fill="auto"/>
            <w:vAlign w:val="center"/>
            <w:hideMark/>
          </w:tcPr>
          <w:p w14:paraId="25870B21" w14:textId="77777777" w:rsidR="003D034B" w:rsidRPr="00E226DF" w:rsidRDefault="003D034B" w:rsidP="00693BB6">
            <w:pPr>
              <w:widowControl w:val="0"/>
              <w:jc w:val="right"/>
              <w:rPr>
                <w:rFonts w:eastAsia="Times New Roman"/>
                <w:b/>
                <w:bCs/>
                <w:sz w:val="18"/>
                <w:szCs w:val="18"/>
              </w:rPr>
            </w:pPr>
            <w:r w:rsidRPr="00E226DF">
              <w:rPr>
                <w:rFonts w:eastAsia="Times New Roman"/>
                <w:b/>
                <w:bCs/>
                <w:sz w:val="18"/>
                <w:szCs w:val="18"/>
              </w:rPr>
              <w:t>(2.517,55)</w:t>
            </w:r>
          </w:p>
        </w:tc>
      </w:tr>
    </w:tbl>
    <w:p w14:paraId="729BA7D1" w14:textId="77777777" w:rsidR="006220A2" w:rsidRPr="00070E05" w:rsidRDefault="006220A2" w:rsidP="006220A2">
      <w:pPr>
        <w:keepNext/>
        <w:keepLines/>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lear" w:pos="644"/>
        </w:tabs>
        <w:ind w:left="284" w:hanging="284"/>
        <w:outlineLvl w:val="9"/>
        <w:rPr>
          <w:b/>
          <w:snapToGrid w:val="0"/>
          <w:sz w:val="22"/>
          <w:szCs w:val="22"/>
        </w:rPr>
      </w:pPr>
      <w:r>
        <w:rPr>
          <w:b/>
          <w:snapToGrid w:val="0"/>
          <w:sz w:val="22"/>
          <w:szCs w:val="22"/>
        </w:rPr>
        <w:t xml:space="preserve"> </w:t>
      </w:r>
      <w:r w:rsidRPr="00070E05">
        <w:rPr>
          <w:b/>
          <w:snapToGrid w:val="0"/>
          <w:sz w:val="22"/>
          <w:szCs w:val="22"/>
        </w:rPr>
        <w:t>Provisiones y contingencias</w:t>
      </w:r>
    </w:p>
    <w:p w14:paraId="5881EC1E" w14:textId="77777777" w:rsidR="006220A2" w:rsidRPr="009B29F0" w:rsidRDefault="006E3FEF" w:rsidP="006220A2">
      <w:pPr>
        <w:keepNext/>
        <w:keepLines/>
        <w:widowControl w:val="0"/>
        <w:spacing w:before="120"/>
        <w:jc w:val="both"/>
        <w:rPr>
          <w:sz w:val="20"/>
          <w:szCs w:val="22"/>
        </w:rPr>
      </w:pPr>
      <w:r>
        <w:rPr>
          <w:sz w:val="20"/>
          <w:szCs w:val="22"/>
        </w:rPr>
        <w:t>En el ejercicio 2018 y 2017</w:t>
      </w:r>
      <w:r w:rsidR="006220A2" w:rsidRPr="00D0541A">
        <w:rPr>
          <w:sz w:val="20"/>
          <w:szCs w:val="22"/>
        </w:rPr>
        <w:t xml:space="preserve"> la Sociedad no ha registrado provisiones ni </w:t>
      </w:r>
      <w:r w:rsidR="004161BD" w:rsidRPr="00D0541A">
        <w:rPr>
          <w:sz w:val="20"/>
          <w:szCs w:val="22"/>
        </w:rPr>
        <w:t>contingencias</w:t>
      </w:r>
      <w:r w:rsidR="006220A2" w:rsidRPr="00D0541A">
        <w:rPr>
          <w:sz w:val="20"/>
          <w:szCs w:val="22"/>
        </w:rPr>
        <w:t xml:space="preserve"> al no existir </w:t>
      </w:r>
      <w:r w:rsidR="004161BD" w:rsidRPr="00D0541A">
        <w:rPr>
          <w:sz w:val="20"/>
          <w:szCs w:val="22"/>
        </w:rPr>
        <w:t>circunstancias</w:t>
      </w:r>
      <w:r w:rsidR="006220A2" w:rsidRPr="00D0541A">
        <w:rPr>
          <w:sz w:val="20"/>
          <w:szCs w:val="22"/>
        </w:rPr>
        <w:t xml:space="preserve"> que motiven su </w:t>
      </w:r>
      <w:r w:rsidR="006220A2">
        <w:rPr>
          <w:sz w:val="20"/>
          <w:szCs w:val="22"/>
        </w:rPr>
        <w:t>dotación.</w:t>
      </w:r>
    </w:p>
    <w:p w14:paraId="0B4C2A05" w14:textId="77777777" w:rsidR="006220A2" w:rsidRPr="009B29F0" w:rsidRDefault="006220A2" w:rsidP="006220A2">
      <w:pPr>
        <w:widowControl w:val="0"/>
        <w:jc w:val="both"/>
        <w:rPr>
          <w:sz w:val="20"/>
          <w:szCs w:val="22"/>
        </w:rPr>
      </w:pPr>
    </w:p>
    <w:p w14:paraId="03F4C39C" w14:textId="77777777" w:rsidR="006220A2" w:rsidRPr="009B29F0" w:rsidRDefault="006220A2" w:rsidP="006220A2">
      <w:pPr>
        <w:widowControl w:val="0"/>
        <w:jc w:val="both"/>
        <w:rPr>
          <w:sz w:val="20"/>
          <w:szCs w:val="22"/>
        </w:rPr>
      </w:pPr>
    </w:p>
    <w:p w14:paraId="6000D737" w14:textId="77777777" w:rsidR="006220A2" w:rsidRPr="00070E05" w:rsidRDefault="006220A2" w:rsidP="006220A2">
      <w:pPr>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lear" w:pos="644"/>
        </w:tabs>
        <w:ind w:left="284" w:hanging="284"/>
        <w:outlineLvl w:val="9"/>
        <w:rPr>
          <w:b/>
          <w:snapToGrid w:val="0"/>
          <w:sz w:val="22"/>
          <w:szCs w:val="22"/>
        </w:rPr>
      </w:pPr>
      <w:r>
        <w:rPr>
          <w:b/>
          <w:snapToGrid w:val="0"/>
          <w:sz w:val="22"/>
          <w:szCs w:val="22"/>
        </w:rPr>
        <w:t xml:space="preserve"> </w:t>
      </w:r>
      <w:r w:rsidRPr="00070E05">
        <w:rPr>
          <w:b/>
          <w:snapToGrid w:val="0"/>
          <w:sz w:val="22"/>
          <w:szCs w:val="22"/>
        </w:rPr>
        <w:t>Información sobre medio ambiente</w:t>
      </w:r>
    </w:p>
    <w:p w14:paraId="1B4D44E1" w14:textId="77777777" w:rsidR="006220A2" w:rsidRPr="009B29F0" w:rsidRDefault="006220A2" w:rsidP="006220A2">
      <w:pPr>
        <w:widowControl w:val="0"/>
        <w:tabs>
          <w:tab w:val="left" w:pos="567"/>
          <w:tab w:val="left" w:pos="1134"/>
          <w:tab w:val="left" w:pos="1587"/>
        </w:tabs>
        <w:spacing w:before="120"/>
        <w:jc w:val="both"/>
        <w:rPr>
          <w:sz w:val="20"/>
          <w:szCs w:val="22"/>
        </w:rPr>
      </w:pPr>
      <w:r w:rsidRPr="009B29F0">
        <w:rPr>
          <w:sz w:val="20"/>
          <w:szCs w:val="22"/>
        </w:rPr>
        <w:t>La Sociedad mantiene sus instalaciones constantemente en un estado que permite cumplir con todas las normas referentes al Medio Ambiente. No ha sido necesario incurrir en gastos particulares y tampoco fue necesaria la dotación de provisiones.</w:t>
      </w:r>
    </w:p>
    <w:p w14:paraId="7E5834CA" w14:textId="77777777" w:rsidR="006220A2" w:rsidRPr="009B29F0" w:rsidRDefault="006220A2" w:rsidP="006220A2">
      <w:pPr>
        <w:rPr>
          <w:sz w:val="20"/>
          <w:szCs w:val="22"/>
        </w:rPr>
      </w:pPr>
    </w:p>
    <w:p w14:paraId="18EE2D69" w14:textId="77777777" w:rsidR="006220A2" w:rsidRPr="009B29F0" w:rsidRDefault="006220A2" w:rsidP="006220A2">
      <w:pPr>
        <w:rPr>
          <w:sz w:val="20"/>
        </w:rPr>
      </w:pPr>
    </w:p>
    <w:p w14:paraId="0450CAB9" w14:textId="77777777" w:rsidR="006220A2" w:rsidRPr="00070E05" w:rsidRDefault="006220A2" w:rsidP="006220A2">
      <w:pPr>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lear" w:pos="644"/>
        </w:tabs>
        <w:ind w:left="284" w:hanging="284"/>
        <w:outlineLvl w:val="9"/>
        <w:rPr>
          <w:b/>
          <w:snapToGrid w:val="0"/>
          <w:sz w:val="22"/>
          <w:szCs w:val="22"/>
        </w:rPr>
      </w:pPr>
      <w:r>
        <w:rPr>
          <w:b/>
          <w:snapToGrid w:val="0"/>
          <w:sz w:val="22"/>
          <w:szCs w:val="22"/>
        </w:rPr>
        <w:t xml:space="preserve"> </w:t>
      </w:r>
      <w:r w:rsidRPr="00070E05">
        <w:rPr>
          <w:b/>
          <w:snapToGrid w:val="0"/>
          <w:sz w:val="22"/>
          <w:szCs w:val="22"/>
        </w:rPr>
        <w:t>Subvenciones</w:t>
      </w:r>
    </w:p>
    <w:p w14:paraId="2A7DC9D0" w14:textId="77777777" w:rsidR="006220A2" w:rsidRPr="00F0611A" w:rsidRDefault="006220A2" w:rsidP="006220A2">
      <w:pPr>
        <w:widowControl w:val="0"/>
        <w:spacing w:before="200"/>
        <w:rPr>
          <w:b/>
          <w:sz w:val="20"/>
          <w:szCs w:val="22"/>
        </w:rPr>
      </w:pPr>
      <w:r>
        <w:rPr>
          <w:b/>
          <w:sz w:val="20"/>
          <w:szCs w:val="22"/>
        </w:rPr>
        <w:t>15</w:t>
      </w:r>
      <w:r w:rsidRPr="009B29F0">
        <w:rPr>
          <w:b/>
          <w:sz w:val="20"/>
          <w:szCs w:val="22"/>
        </w:rPr>
        <w:t xml:space="preserve">.1 </w:t>
      </w:r>
      <w:r w:rsidRPr="00F0611A">
        <w:rPr>
          <w:b/>
          <w:sz w:val="20"/>
          <w:szCs w:val="22"/>
        </w:rPr>
        <w:t>Subvenciones de Capital</w:t>
      </w:r>
    </w:p>
    <w:p w14:paraId="36B409A7" w14:textId="77777777" w:rsidR="006220A2" w:rsidRPr="00F0611A" w:rsidRDefault="006220A2" w:rsidP="006220A2">
      <w:pPr>
        <w:widowControl w:val="0"/>
        <w:spacing w:before="120" w:after="120"/>
        <w:jc w:val="both"/>
        <w:rPr>
          <w:snapToGrid w:val="0"/>
          <w:sz w:val="20"/>
          <w:szCs w:val="22"/>
        </w:rPr>
      </w:pPr>
      <w:r w:rsidRPr="00F0611A">
        <w:rPr>
          <w:snapToGrid w:val="0"/>
          <w:sz w:val="20"/>
          <w:szCs w:val="22"/>
        </w:rPr>
        <w:t>El detalle de las subvenciones de capital no reintegrables que aparecen en el balance bajo el epígrafe “Subvenciones, donaciones y legados recibidos” es el siguiente:</w:t>
      </w:r>
    </w:p>
    <w:tbl>
      <w:tblPr>
        <w:tblW w:w="5000" w:type="pct"/>
        <w:jc w:val="center"/>
        <w:tblCellMar>
          <w:left w:w="70" w:type="dxa"/>
          <w:right w:w="70" w:type="dxa"/>
        </w:tblCellMar>
        <w:tblLook w:val="04A0" w:firstRow="1" w:lastRow="0" w:firstColumn="1" w:lastColumn="0" w:noHBand="0" w:noVBand="1"/>
      </w:tblPr>
      <w:tblGrid>
        <w:gridCol w:w="1313"/>
        <w:gridCol w:w="1144"/>
        <w:gridCol w:w="1260"/>
        <w:gridCol w:w="1131"/>
        <w:gridCol w:w="2931"/>
        <w:gridCol w:w="1142"/>
      </w:tblGrid>
      <w:tr w:rsidR="006220A2" w:rsidRPr="00F0611A" w14:paraId="29CE0FA0" w14:textId="77777777" w:rsidTr="00852114">
        <w:trPr>
          <w:trHeight w:val="567"/>
          <w:jc w:val="center"/>
        </w:trPr>
        <w:tc>
          <w:tcPr>
            <w:tcW w:w="736" w:type="pct"/>
            <w:tcBorders>
              <w:top w:val="single" w:sz="4" w:space="0" w:color="auto"/>
              <w:left w:val="nil"/>
              <w:bottom w:val="single" w:sz="4" w:space="0" w:color="auto"/>
              <w:right w:val="nil"/>
            </w:tcBorders>
            <w:shd w:val="clear" w:color="auto" w:fill="auto"/>
            <w:vAlign w:val="bottom"/>
            <w:hideMark/>
          </w:tcPr>
          <w:p w14:paraId="33E32462" w14:textId="77777777" w:rsidR="006220A2" w:rsidRPr="00F0611A" w:rsidRDefault="006220A2" w:rsidP="00852114">
            <w:pPr>
              <w:jc w:val="center"/>
              <w:rPr>
                <w:rFonts w:eastAsia="Times New Roman"/>
                <w:b/>
                <w:bCs/>
                <w:sz w:val="16"/>
                <w:szCs w:val="16"/>
              </w:rPr>
            </w:pPr>
            <w:r w:rsidRPr="00F0611A">
              <w:rPr>
                <w:rFonts w:eastAsia="Times New Roman"/>
                <w:b/>
                <w:bCs/>
                <w:sz w:val="16"/>
                <w:szCs w:val="16"/>
              </w:rPr>
              <w:t>Entidad concesionaria</w:t>
            </w:r>
          </w:p>
        </w:tc>
        <w:tc>
          <w:tcPr>
            <w:tcW w:w="641" w:type="pct"/>
            <w:tcBorders>
              <w:top w:val="single" w:sz="4" w:space="0" w:color="auto"/>
              <w:left w:val="nil"/>
              <w:bottom w:val="single" w:sz="4" w:space="0" w:color="auto"/>
              <w:right w:val="nil"/>
            </w:tcBorders>
            <w:shd w:val="clear" w:color="auto" w:fill="auto"/>
            <w:vAlign w:val="bottom"/>
            <w:hideMark/>
          </w:tcPr>
          <w:p w14:paraId="2BF79FD7" w14:textId="77777777" w:rsidR="006220A2" w:rsidRPr="00F0611A" w:rsidRDefault="006220A2" w:rsidP="00852114">
            <w:pPr>
              <w:jc w:val="center"/>
              <w:rPr>
                <w:rFonts w:eastAsia="Times New Roman"/>
                <w:b/>
                <w:bCs/>
                <w:sz w:val="16"/>
                <w:szCs w:val="16"/>
              </w:rPr>
            </w:pPr>
            <w:r w:rsidRPr="00F0611A">
              <w:rPr>
                <w:rFonts w:eastAsia="Times New Roman"/>
                <w:b/>
                <w:bCs/>
                <w:sz w:val="16"/>
                <w:szCs w:val="16"/>
              </w:rPr>
              <w:t>Importe concedido</w:t>
            </w:r>
          </w:p>
        </w:tc>
        <w:tc>
          <w:tcPr>
            <w:tcW w:w="706" w:type="pct"/>
            <w:tcBorders>
              <w:top w:val="single" w:sz="4" w:space="0" w:color="auto"/>
              <w:left w:val="nil"/>
              <w:bottom w:val="single" w:sz="4" w:space="0" w:color="auto"/>
              <w:right w:val="nil"/>
            </w:tcBorders>
            <w:shd w:val="clear" w:color="auto" w:fill="auto"/>
            <w:vAlign w:val="bottom"/>
            <w:hideMark/>
          </w:tcPr>
          <w:p w14:paraId="55BBC595" w14:textId="77777777" w:rsidR="006220A2" w:rsidRPr="00F0611A" w:rsidRDefault="006220A2" w:rsidP="00852114">
            <w:pPr>
              <w:jc w:val="center"/>
              <w:rPr>
                <w:rFonts w:eastAsia="Times New Roman"/>
                <w:b/>
                <w:bCs/>
                <w:sz w:val="16"/>
                <w:szCs w:val="16"/>
              </w:rPr>
            </w:pPr>
            <w:r w:rsidRPr="00F0611A">
              <w:rPr>
                <w:rFonts w:eastAsia="Times New Roman"/>
                <w:b/>
                <w:bCs/>
                <w:sz w:val="16"/>
                <w:szCs w:val="16"/>
              </w:rPr>
              <w:t>Importe pendiente de traspasar a resultado</w:t>
            </w:r>
          </w:p>
        </w:tc>
        <w:tc>
          <w:tcPr>
            <w:tcW w:w="634" w:type="pct"/>
            <w:tcBorders>
              <w:top w:val="single" w:sz="4" w:space="0" w:color="auto"/>
              <w:left w:val="nil"/>
              <w:bottom w:val="single" w:sz="4" w:space="0" w:color="auto"/>
              <w:right w:val="nil"/>
            </w:tcBorders>
            <w:shd w:val="clear" w:color="auto" w:fill="auto"/>
            <w:vAlign w:val="bottom"/>
            <w:hideMark/>
          </w:tcPr>
          <w:p w14:paraId="1F97D41A" w14:textId="77777777" w:rsidR="006220A2" w:rsidRPr="00F0611A" w:rsidRDefault="006220A2" w:rsidP="00852114">
            <w:pPr>
              <w:jc w:val="center"/>
              <w:rPr>
                <w:rFonts w:eastAsia="Times New Roman"/>
                <w:b/>
                <w:bCs/>
                <w:sz w:val="16"/>
                <w:szCs w:val="16"/>
              </w:rPr>
            </w:pPr>
            <w:r w:rsidRPr="00F0611A">
              <w:rPr>
                <w:rFonts w:eastAsia="Times New Roman"/>
                <w:b/>
                <w:bCs/>
                <w:sz w:val="16"/>
                <w:szCs w:val="16"/>
              </w:rPr>
              <w:t>Pasivo por impuesto diferido</w:t>
            </w:r>
          </w:p>
        </w:tc>
        <w:tc>
          <w:tcPr>
            <w:tcW w:w="1643" w:type="pct"/>
            <w:tcBorders>
              <w:top w:val="single" w:sz="4" w:space="0" w:color="auto"/>
              <w:left w:val="nil"/>
              <w:bottom w:val="single" w:sz="4" w:space="0" w:color="auto"/>
              <w:right w:val="nil"/>
            </w:tcBorders>
            <w:shd w:val="clear" w:color="auto" w:fill="auto"/>
            <w:vAlign w:val="bottom"/>
            <w:hideMark/>
          </w:tcPr>
          <w:p w14:paraId="1EB09D4C" w14:textId="77777777" w:rsidR="006220A2" w:rsidRPr="00F0611A" w:rsidRDefault="006220A2" w:rsidP="00852114">
            <w:pPr>
              <w:jc w:val="center"/>
              <w:rPr>
                <w:rFonts w:eastAsia="Times New Roman"/>
                <w:b/>
                <w:bCs/>
                <w:sz w:val="16"/>
                <w:szCs w:val="16"/>
              </w:rPr>
            </w:pPr>
            <w:r w:rsidRPr="00F0611A">
              <w:rPr>
                <w:rFonts w:eastAsia="Times New Roman"/>
                <w:b/>
                <w:bCs/>
                <w:sz w:val="16"/>
                <w:szCs w:val="16"/>
              </w:rPr>
              <w:t>Finalidad</w:t>
            </w:r>
          </w:p>
        </w:tc>
        <w:tc>
          <w:tcPr>
            <w:tcW w:w="640" w:type="pct"/>
            <w:tcBorders>
              <w:top w:val="single" w:sz="4" w:space="0" w:color="auto"/>
              <w:left w:val="nil"/>
              <w:bottom w:val="single" w:sz="4" w:space="0" w:color="auto"/>
              <w:right w:val="nil"/>
            </w:tcBorders>
            <w:shd w:val="clear" w:color="auto" w:fill="auto"/>
            <w:vAlign w:val="bottom"/>
            <w:hideMark/>
          </w:tcPr>
          <w:p w14:paraId="788F3AC2" w14:textId="77777777" w:rsidR="006220A2" w:rsidRPr="00F0611A" w:rsidRDefault="006220A2" w:rsidP="00852114">
            <w:pPr>
              <w:jc w:val="center"/>
              <w:rPr>
                <w:rFonts w:eastAsia="Times New Roman"/>
                <w:b/>
                <w:bCs/>
                <w:sz w:val="16"/>
                <w:szCs w:val="16"/>
              </w:rPr>
            </w:pPr>
            <w:r w:rsidRPr="00F0611A">
              <w:rPr>
                <w:rFonts w:eastAsia="Times New Roman"/>
                <w:b/>
                <w:bCs/>
                <w:sz w:val="16"/>
                <w:szCs w:val="16"/>
              </w:rPr>
              <w:t>Fecha de concesión</w:t>
            </w:r>
          </w:p>
        </w:tc>
      </w:tr>
      <w:tr w:rsidR="00F0611A" w:rsidRPr="00F0611A" w14:paraId="2C1F9299" w14:textId="77777777" w:rsidTr="00312C0B">
        <w:trPr>
          <w:trHeight w:val="794"/>
          <w:jc w:val="center"/>
        </w:trPr>
        <w:tc>
          <w:tcPr>
            <w:tcW w:w="736" w:type="pct"/>
            <w:tcBorders>
              <w:top w:val="nil"/>
              <w:left w:val="nil"/>
              <w:bottom w:val="single" w:sz="4" w:space="0" w:color="auto"/>
              <w:right w:val="nil"/>
            </w:tcBorders>
            <w:shd w:val="clear" w:color="auto" w:fill="auto"/>
            <w:vAlign w:val="center"/>
            <w:hideMark/>
          </w:tcPr>
          <w:p w14:paraId="613A3D5F" w14:textId="77777777" w:rsidR="00F0611A" w:rsidRPr="00A75530" w:rsidRDefault="00F0611A" w:rsidP="00F0611A">
            <w:pPr>
              <w:rPr>
                <w:rFonts w:eastAsia="Times New Roman"/>
                <w:sz w:val="16"/>
                <w:szCs w:val="16"/>
              </w:rPr>
            </w:pPr>
            <w:r w:rsidRPr="00A75530">
              <w:rPr>
                <w:rFonts w:eastAsia="Times New Roman"/>
                <w:sz w:val="16"/>
                <w:szCs w:val="16"/>
              </w:rPr>
              <w:t>Consejería de Turismo del Gobierno de Canarias</w:t>
            </w:r>
          </w:p>
        </w:tc>
        <w:tc>
          <w:tcPr>
            <w:tcW w:w="641" w:type="pct"/>
            <w:tcBorders>
              <w:top w:val="nil"/>
              <w:left w:val="nil"/>
              <w:bottom w:val="single" w:sz="4" w:space="0" w:color="auto"/>
              <w:right w:val="nil"/>
            </w:tcBorders>
            <w:shd w:val="clear" w:color="auto" w:fill="auto"/>
            <w:vAlign w:val="center"/>
            <w:hideMark/>
          </w:tcPr>
          <w:p w14:paraId="125153F6" w14:textId="77777777" w:rsidR="00F0611A" w:rsidRPr="00A75530" w:rsidRDefault="00F0611A" w:rsidP="00F0611A">
            <w:pPr>
              <w:jc w:val="right"/>
              <w:rPr>
                <w:rFonts w:eastAsia="Times New Roman"/>
                <w:sz w:val="16"/>
                <w:szCs w:val="16"/>
              </w:rPr>
            </w:pPr>
            <w:r w:rsidRPr="00A75530">
              <w:rPr>
                <w:rFonts w:eastAsia="Times New Roman"/>
                <w:sz w:val="16"/>
                <w:szCs w:val="16"/>
              </w:rPr>
              <w:t>253.000,00</w:t>
            </w:r>
          </w:p>
        </w:tc>
        <w:tc>
          <w:tcPr>
            <w:tcW w:w="706" w:type="pct"/>
            <w:tcBorders>
              <w:top w:val="nil"/>
              <w:left w:val="nil"/>
              <w:bottom w:val="single" w:sz="4" w:space="0" w:color="auto"/>
              <w:right w:val="nil"/>
            </w:tcBorders>
            <w:shd w:val="clear" w:color="auto" w:fill="auto"/>
            <w:vAlign w:val="center"/>
            <w:hideMark/>
          </w:tcPr>
          <w:p w14:paraId="550EADCD" w14:textId="77777777" w:rsidR="00F0611A" w:rsidRPr="00A75530" w:rsidRDefault="00312C0B" w:rsidP="00F0611A">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A75530">
              <w:rPr>
                <w:sz w:val="16"/>
                <w:szCs w:val="16"/>
              </w:rPr>
              <w:t>-</w:t>
            </w:r>
          </w:p>
        </w:tc>
        <w:tc>
          <w:tcPr>
            <w:tcW w:w="634" w:type="pct"/>
            <w:tcBorders>
              <w:top w:val="nil"/>
              <w:left w:val="nil"/>
              <w:bottom w:val="single" w:sz="4" w:space="0" w:color="auto"/>
              <w:right w:val="nil"/>
            </w:tcBorders>
            <w:shd w:val="clear" w:color="auto" w:fill="auto"/>
            <w:vAlign w:val="center"/>
            <w:hideMark/>
          </w:tcPr>
          <w:p w14:paraId="2F2E7C79" w14:textId="77777777" w:rsidR="00F0611A" w:rsidRPr="00A75530" w:rsidRDefault="00312C0B" w:rsidP="00F0611A">
            <w:pPr>
              <w:jc w:val="right"/>
              <w:rPr>
                <w:sz w:val="16"/>
                <w:szCs w:val="16"/>
              </w:rPr>
            </w:pPr>
            <w:r w:rsidRPr="00A75530">
              <w:rPr>
                <w:sz w:val="16"/>
                <w:szCs w:val="16"/>
              </w:rPr>
              <w:t>-</w:t>
            </w:r>
          </w:p>
        </w:tc>
        <w:tc>
          <w:tcPr>
            <w:tcW w:w="1643" w:type="pct"/>
            <w:tcBorders>
              <w:top w:val="nil"/>
              <w:left w:val="nil"/>
              <w:bottom w:val="single" w:sz="4" w:space="0" w:color="auto"/>
              <w:right w:val="nil"/>
            </w:tcBorders>
            <w:shd w:val="clear" w:color="auto" w:fill="auto"/>
            <w:vAlign w:val="center"/>
            <w:hideMark/>
          </w:tcPr>
          <w:p w14:paraId="2569F01F" w14:textId="77777777" w:rsidR="00F0611A" w:rsidRPr="00A75530" w:rsidRDefault="00F0611A" w:rsidP="00F0611A">
            <w:pPr>
              <w:rPr>
                <w:rFonts w:eastAsia="Times New Roman"/>
                <w:sz w:val="16"/>
                <w:szCs w:val="16"/>
              </w:rPr>
            </w:pPr>
            <w:r w:rsidRPr="00A75530">
              <w:rPr>
                <w:rFonts w:eastAsia="Times New Roman"/>
                <w:sz w:val="16"/>
                <w:szCs w:val="16"/>
              </w:rPr>
              <w:t>Subv. para la adquisición de inmovilizado</w:t>
            </w:r>
          </w:p>
        </w:tc>
        <w:tc>
          <w:tcPr>
            <w:tcW w:w="640" w:type="pct"/>
            <w:tcBorders>
              <w:top w:val="nil"/>
              <w:left w:val="nil"/>
              <w:bottom w:val="single" w:sz="4" w:space="0" w:color="auto"/>
              <w:right w:val="nil"/>
            </w:tcBorders>
            <w:shd w:val="clear" w:color="auto" w:fill="auto"/>
            <w:vAlign w:val="center"/>
            <w:hideMark/>
          </w:tcPr>
          <w:p w14:paraId="6C2D97A5" w14:textId="77777777" w:rsidR="00F0611A" w:rsidRPr="00A75530" w:rsidRDefault="00F0611A" w:rsidP="00F0611A">
            <w:pPr>
              <w:jc w:val="right"/>
              <w:rPr>
                <w:rFonts w:eastAsia="Times New Roman"/>
                <w:sz w:val="16"/>
                <w:szCs w:val="16"/>
              </w:rPr>
            </w:pPr>
            <w:r w:rsidRPr="00A75530">
              <w:rPr>
                <w:rFonts w:eastAsia="Times New Roman"/>
                <w:sz w:val="16"/>
                <w:szCs w:val="16"/>
              </w:rPr>
              <w:t>27/03/2007</w:t>
            </w:r>
          </w:p>
        </w:tc>
      </w:tr>
      <w:tr w:rsidR="00F0611A" w:rsidRPr="00F0611A" w14:paraId="3A0D9D36" w14:textId="77777777" w:rsidTr="00312C0B">
        <w:trPr>
          <w:trHeight w:val="1757"/>
          <w:jc w:val="center"/>
        </w:trPr>
        <w:tc>
          <w:tcPr>
            <w:tcW w:w="736" w:type="pct"/>
            <w:tcBorders>
              <w:top w:val="nil"/>
              <w:left w:val="nil"/>
              <w:bottom w:val="single" w:sz="4" w:space="0" w:color="auto"/>
              <w:right w:val="nil"/>
            </w:tcBorders>
            <w:shd w:val="clear" w:color="auto" w:fill="auto"/>
            <w:vAlign w:val="center"/>
            <w:hideMark/>
          </w:tcPr>
          <w:p w14:paraId="5247C296" w14:textId="77777777" w:rsidR="00F0611A" w:rsidRPr="00F0611A" w:rsidRDefault="00F0611A" w:rsidP="00F0611A">
            <w:pPr>
              <w:rPr>
                <w:rFonts w:eastAsia="Times New Roman"/>
                <w:sz w:val="16"/>
                <w:szCs w:val="16"/>
              </w:rPr>
            </w:pPr>
            <w:r w:rsidRPr="00F0611A">
              <w:rPr>
                <w:rFonts w:eastAsia="Times New Roman"/>
                <w:sz w:val="16"/>
                <w:szCs w:val="16"/>
              </w:rPr>
              <w:t>Consejería de Turismo del Gobierno de Canarias</w:t>
            </w:r>
          </w:p>
        </w:tc>
        <w:tc>
          <w:tcPr>
            <w:tcW w:w="641" w:type="pct"/>
            <w:tcBorders>
              <w:top w:val="nil"/>
              <w:left w:val="nil"/>
              <w:bottom w:val="single" w:sz="4" w:space="0" w:color="auto"/>
              <w:right w:val="nil"/>
            </w:tcBorders>
            <w:shd w:val="clear" w:color="auto" w:fill="auto"/>
            <w:vAlign w:val="center"/>
            <w:hideMark/>
          </w:tcPr>
          <w:p w14:paraId="2600C784" w14:textId="77777777" w:rsidR="00F0611A" w:rsidRPr="00F0611A" w:rsidRDefault="00F0611A" w:rsidP="00F0611A">
            <w:pPr>
              <w:jc w:val="right"/>
              <w:rPr>
                <w:rFonts w:eastAsia="Times New Roman"/>
                <w:sz w:val="16"/>
                <w:szCs w:val="16"/>
              </w:rPr>
            </w:pPr>
            <w:r w:rsidRPr="00F0611A">
              <w:rPr>
                <w:rFonts w:eastAsia="Times New Roman"/>
                <w:sz w:val="16"/>
                <w:szCs w:val="16"/>
              </w:rPr>
              <w:t>528.046,64</w:t>
            </w:r>
          </w:p>
        </w:tc>
        <w:tc>
          <w:tcPr>
            <w:tcW w:w="706" w:type="pct"/>
            <w:tcBorders>
              <w:top w:val="nil"/>
              <w:left w:val="nil"/>
              <w:bottom w:val="single" w:sz="4" w:space="0" w:color="auto"/>
              <w:right w:val="nil"/>
            </w:tcBorders>
            <w:shd w:val="clear" w:color="auto" w:fill="auto"/>
            <w:vAlign w:val="center"/>
            <w:hideMark/>
          </w:tcPr>
          <w:p w14:paraId="06F2D053" w14:textId="77777777" w:rsidR="00F0611A" w:rsidRPr="00F0611A" w:rsidRDefault="00F0611A" w:rsidP="00F0611A">
            <w:pPr>
              <w:jc w:val="right"/>
              <w:rPr>
                <w:sz w:val="16"/>
                <w:szCs w:val="16"/>
              </w:rPr>
            </w:pPr>
            <w:r w:rsidRPr="00F0611A">
              <w:rPr>
                <w:sz w:val="16"/>
                <w:szCs w:val="16"/>
              </w:rPr>
              <w:t>232.933,96</w:t>
            </w:r>
          </w:p>
        </w:tc>
        <w:tc>
          <w:tcPr>
            <w:tcW w:w="634" w:type="pct"/>
            <w:tcBorders>
              <w:top w:val="nil"/>
              <w:left w:val="nil"/>
              <w:bottom w:val="single" w:sz="4" w:space="0" w:color="auto"/>
              <w:right w:val="nil"/>
            </w:tcBorders>
            <w:shd w:val="clear" w:color="auto" w:fill="auto"/>
            <w:vAlign w:val="center"/>
            <w:hideMark/>
          </w:tcPr>
          <w:p w14:paraId="2C2EAA90" w14:textId="77777777" w:rsidR="00F0611A" w:rsidRPr="00F0611A" w:rsidRDefault="00F0611A" w:rsidP="00F0611A">
            <w:pPr>
              <w:jc w:val="right"/>
              <w:rPr>
                <w:sz w:val="16"/>
                <w:szCs w:val="16"/>
              </w:rPr>
            </w:pPr>
            <w:r w:rsidRPr="00F0611A">
              <w:rPr>
                <w:sz w:val="16"/>
                <w:szCs w:val="16"/>
              </w:rPr>
              <w:t>77.644,64</w:t>
            </w:r>
          </w:p>
        </w:tc>
        <w:tc>
          <w:tcPr>
            <w:tcW w:w="1643" w:type="pct"/>
            <w:tcBorders>
              <w:top w:val="nil"/>
              <w:left w:val="nil"/>
              <w:bottom w:val="single" w:sz="4" w:space="0" w:color="auto"/>
              <w:right w:val="nil"/>
            </w:tcBorders>
            <w:shd w:val="clear" w:color="auto" w:fill="auto"/>
            <w:vAlign w:val="center"/>
            <w:hideMark/>
          </w:tcPr>
          <w:p w14:paraId="155228D0" w14:textId="77777777" w:rsidR="00F0611A" w:rsidRPr="00F0611A" w:rsidRDefault="00F0611A" w:rsidP="00F0611A">
            <w:pPr>
              <w:jc w:val="both"/>
              <w:rPr>
                <w:rFonts w:eastAsia="Times New Roman"/>
                <w:sz w:val="16"/>
                <w:szCs w:val="16"/>
              </w:rPr>
            </w:pPr>
            <w:r w:rsidRPr="00F0611A">
              <w:rPr>
                <w:rFonts w:eastAsia="Times New Roman"/>
                <w:sz w:val="16"/>
                <w:szCs w:val="16"/>
              </w:rPr>
              <w:t xml:space="preserve">Dicho importe se corresponde con la contrapartida del Derecho de cesión de uso concedido a la sociedad en el ejercicio 2006 y comentado en la nota 6.a) de la memoria, que al igual que el inmovilizado afecto se aplica al resultado a razón de un 3% anual, importe que corresponde con la amortización de los locales cedidos. </w:t>
            </w:r>
          </w:p>
        </w:tc>
        <w:tc>
          <w:tcPr>
            <w:tcW w:w="640" w:type="pct"/>
            <w:tcBorders>
              <w:top w:val="nil"/>
              <w:left w:val="nil"/>
              <w:bottom w:val="single" w:sz="4" w:space="0" w:color="auto"/>
              <w:right w:val="nil"/>
            </w:tcBorders>
            <w:shd w:val="clear" w:color="auto" w:fill="auto"/>
            <w:vAlign w:val="center"/>
            <w:hideMark/>
          </w:tcPr>
          <w:p w14:paraId="0BF46684" w14:textId="77777777" w:rsidR="00F0611A" w:rsidRPr="00F0611A" w:rsidRDefault="00F0611A" w:rsidP="00F0611A">
            <w:pPr>
              <w:jc w:val="right"/>
              <w:rPr>
                <w:rFonts w:eastAsia="Times New Roman"/>
                <w:sz w:val="16"/>
                <w:szCs w:val="16"/>
              </w:rPr>
            </w:pPr>
            <w:r w:rsidRPr="00F0611A">
              <w:rPr>
                <w:rFonts w:eastAsia="Times New Roman"/>
                <w:sz w:val="16"/>
                <w:szCs w:val="16"/>
              </w:rPr>
              <w:t>04/08/2006</w:t>
            </w:r>
          </w:p>
        </w:tc>
      </w:tr>
      <w:tr w:rsidR="00F0611A" w:rsidRPr="00CB5A62" w14:paraId="079FD020" w14:textId="77777777" w:rsidTr="00852114">
        <w:trPr>
          <w:trHeight w:val="255"/>
          <w:jc w:val="center"/>
        </w:trPr>
        <w:tc>
          <w:tcPr>
            <w:tcW w:w="736" w:type="pct"/>
            <w:tcBorders>
              <w:top w:val="nil"/>
              <w:left w:val="nil"/>
              <w:bottom w:val="single" w:sz="4" w:space="0" w:color="auto"/>
              <w:right w:val="nil"/>
            </w:tcBorders>
            <w:shd w:val="clear" w:color="auto" w:fill="auto"/>
            <w:vAlign w:val="center"/>
            <w:hideMark/>
          </w:tcPr>
          <w:p w14:paraId="3754F07E" w14:textId="77777777" w:rsidR="00F0611A" w:rsidRPr="00F0611A" w:rsidRDefault="00F0611A" w:rsidP="00F0611A">
            <w:pPr>
              <w:rPr>
                <w:rFonts w:eastAsia="Times New Roman"/>
                <w:b/>
                <w:bCs/>
                <w:sz w:val="16"/>
                <w:szCs w:val="16"/>
              </w:rPr>
            </w:pPr>
            <w:r w:rsidRPr="00F0611A">
              <w:rPr>
                <w:rFonts w:eastAsia="Times New Roman"/>
                <w:b/>
                <w:bCs/>
                <w:sz w:val="16"/>
                <w:szCs w:val="16"/>
              </w:rPr>
              <w:t>Total</w:t>
            </w:r>
          </w:p>
        </w:tc>
        <w:tc>
          <w:tcPr>
            <w:tcW w:w="641" w:type="pct"/>
            <w:tcBorders>
              <w:top w:val="nil"/>
              <w:left w:val="nil"/>
              <w:bottom w:val="single" w:sz="4" w:space="0" w:color="auto"/>
              <w:right w:val="nil"/>
            </w:tcBorders>
            <w:shd w:val="clear" w:color="auto" w:fill="auto"/>
            <w:vAlign w:val="center"/>
            <w:hideMark/>
          </w:tcPr>
          <w:p w14:paraId="509ADD60" w14:textId="77777777" w:rsidR="00F0611A" w:rsidRPr="00F0611A" w:rsidRDefault="00F0611A" w:rsidP="00F0611A">
            <w:pPr>
              <w:jc w:val="right"/>
              <w:rPr>
                <w:rFonts w:eastAsia="Times New Roman"/>
                <w:b/>
                <w:bCs/>
                <w:sz w:val="16"/>
                <w:szCs w:val="16"/>
              </w:rPr>
            </w:pPr>
            <w:r w:rsidRPr="00F0611A">
              <w:rPr>
                <w:rFonts w:eastAsia="Times New Roman"/>
                <w:b/>
                <w:bCs/>
                <w:sz w:val="16"/>
                <w:szCs w:val="16"/>
              </w:rPr>
              <w:t>781.046,64</w:t>
            </w:r>
          </w:p>
        </w:tc>
        <w:tc>
          <w:tcPr>
            <w:tcW w:w="706" w:type="pct"/>
            <w:tcBorders>
              <w:top w:val="nil"/>
              <w:left w:val="nil"/>
              <w:bottom w:val="single" w:sz="4" w:space="0" w:color="auto"/>
              <w:right w:val="nil"/>
            </w:tcBorders>
            <w:shd w:val="clear" w:color="auto" w:fill="auto"/>
            <w:vAlign w:val="center"/>
            <w:hideMark/>
          </w:tcPr>
          <w:p w14:paraId="602B9047" w14:textId="77777777" w:rsidR="00F0611A" w:rsidRPr="00F0611A" w:rsidRDefault="00F0611A" w:rsidP="00F0611A">
            <w:pPr>
              <w:jc w:val="right"/>
              <w:rPr>
                <w:b/>
                <w:bCs/>
                <w:sz w:val="16"/>
                <w:szCs w:val="16"/>
              </w:rPr>
            </w:pPr>
            <w:r w:rsidRPr="00F0611A">
              <w:rPr>
                <w:b/>
                <w:bCs/>
                <w:sz w:val="16"/>
                <w:szCs w:val="16"/>
              </w:rPr>
              <w:t>232.933,96</w:t>
            </w:r>
          </w:p>
        </w:tc>
        <w:tc>
          <w:tcPr>
            <w:tcW w:w="634" w:type="pct"/>
            <w:tcBorders>
              <w:top w:val="nil"/>
              <w:left w:val="nil"/>
              <w:bottom w:val="single" w:sz="4" w:space="0" w:color="auto"/>
              <w:right w:val="nil"/>
            </w:tcBorders>
            <w:shd w:val="clear" w:color="auto" w:fill="auto"/>
            <w:vAlign w:val="center"/>
            <w:hideMark/>
          </w:tcPr>
          <w:p w14:paraId="024ADCEC" w14:textId="77777777" w:rsidR="00F0611A" w:rsidRDefault="00F0611A" w:rsidP="00F0611A">
            <w:pPr>
              <w:jc w:val="right"/>
              <w:rPr>
                <w:b/>
                <w:bCs/>
                <w:sz w:val="16"/>
                <w:szCs w:val="16"/>
              </w:rPr>
            </w:pPr>
            <w:r w:rsidRPr="00F0611A">
              <w:rPr>
                <w:b/>
                <w:bCs/>
                <w:sz w:val="16"/>
                <w:szCs w:val="16"/>
              </w:rPr>
              <w:t>77.644,64</w:t>
            </w:r>
          </w:p>
        </w:tc>
        <w:tc>
          <w:tcPr>
            <w:tcW w:w="1643" w:type="pct"/>
            <w:tcBorders>
              <w:top w:val="nil"/>
              <w:left w:val="nil"/>
              <w:bottom w:val="single" w:sz="4" w:space="0" w:color="auto"/>
              <w:right w:val="nil"/>
            </w:tcBorders>
            <w:shd w:val="clear" w:color="auto" w:fill="auto"/>
            <w:vAlign w:val="center"/>
            <w:hideMark/>
          </w:tcPr>
          <w:p w14:paraId="0D09F725" w14:textId="77777777" w:rsidR="00F0611A" w:rsidRPr="00876B54" w:rsidRDefault="00F0611A" w:rsidP="00F0611A">
            <w:pPr>
              <w:rPr>
                <w:rFonts w:eastAsia="Times New Roman" w:cs="Times"/>
                <w:sz w:val="16"/>
                <w:szCs w:val="16"/>
              </w:rPr>
            </w:pPr>
            <w:r w:rsidRPr="00876B54">
              <w:rPr>
                <w:rFonts w:eastAsia="Times New Roman" w:cs="Times"/>
                <w:sz w:val="16"/>
                <w:szCs w:val="16"/>
              </w:rPr>
              <w:t> </w:t>
            </w:r>
          </w:p>
        </w:tc>
        <w:tc>
          <w:tcPr>
            <w:tcW w:w="640" w:type="pct"/>
            <w:tcBorders>
              <w:top w:val="nil"/>
              <w:left w:val="nil"/>
              <w:bottom w:val="single" w:sz="4" w:space="0" w:color="auto"/>
              <w:right w:val="nil"/>
            </w:tcBorders>
            <w:shd w:val="clear" w:color="auto" w:fill="auto"/>
            <w:vAlign w:val="center"/>
            <w:hideMark/>
          </w:tcPr>
          <w:p w14:paraId="525AFCC4" w14:textId="77777777" w:rsidR="00F0611A" w:rsidRPr="00876B54" w:rsidRDefault="00F0611A" w:rsidP="00F0611A">
            <w:pPr>
              <w:rPr>
                <w:rFonts w:eastAsia="Times New Roman" w:cs="Times"/>
                <w:sz w:val="16"/>
                <w:szCs w:val="16"/>
              </w:rPr>
            </w:pPr>
            <w:r w:rsidRPr="00876B54">
              <w:rPr>
                <w:rFonts w:eastAsia="Times New Roman" w:cs="Times"/>
                <w:sz w:val="16"/>
                <w:szCs w:val="16"/>
              </w:rPr>
              <w:t> </w:t>
            </w:r>
          </w:p>
        </w:tc>
      </w:tr>
    </w:tbl>
    <w:p w14:paraId="19001985" w14:textId="77777777" w:rsidR="006220A2" w:rsidRDefault="006220A2" w:rsidP="006220A2">
      <w:pPr>
        <w:keepNext/>
        <w:keepLines/>
        <w:widowControl w:val="0"/>
        <w:spacing w:before="200" w:after="120"/>
        <w:jc w:val="both"/>
        <w:rPr>
          <w:snapToGrid w:val="0"/>
          <w:sz w:val="20"/>
          <w:szCs w:val="22"/>
        </w:rPr>
      </w:pPr>
      <w:r w:rsidRPr="00952392">
        <w:rPr>
          <w:snapToGrid w:val="0"/>
          <w:sz w:val="20"/>
          <w:szCs w:val="22"/>
        </w:rPr>
        <w:t>El movimiento de estas subvenciones ha sido el siguiente:</w:t>
      </w:r>
    </w:p>
    <w:tbl>
      <w:tblPr>
        <w:tblW w:w="6804" w:type="dxa"/>
        <w:jc w:val="center"/>
        <w:tblCellMar>
          <w:left w:w="70" w:type="dxa"/>
          <w:right w:w="70" w:type="dxa"/>
        </w:tblCellMar>
        <w:tblLook w:val="04A0" w:firstRow="1" w:lastRow="0" w:firstColumn="1" w:lastColumn="0" w:noHBand="0" w:noVBand="1"/>
      </w:tblPr>
      <w:tblGrid>
        <w:gridCol w:w="3934"/>
        <w:gridCol w:w="1399"/>
        <w:gridCol w:w="1471"/>
      </w:tblGrid>
      <w:tr w:rsidR="006220A2" w:rsidRPr="004959C1" w14:paraId="53D7634B" w14:textId="77777777" w:rsidTr="00852114">
        <w:trPr>
          <w:trHeight w:val="227"/>
          <w:jc w:val="center"/>
        </w:trPr>
        <w:tc>
          <w:tcPr>
            <w:tcW w:w="3934" w:type="dxa"/>
            <w:tcBorders>
              <w:top w:val="single" w:sz="4" w:space="0" w:color="auto"/>
              <w:left w:val="nil"/>
              <w:bottom w:val="nil"/>
              <w:right w:val="nil"/>
            </w:tcBorders>
            <w:shd w:val="clear" w:color="auto" w:fill="auto"/>
            <w:vAlign w:val="bottom"/>
            <w:hideMark/>
          </w:tcPr>
          <w:p w14:paraId="33DFB824" w14:textId="77777777" w:rsidR="006220A2" w:rsidRPr="004959C1" w:rsidRDefault="006220A2" w:rsidP="00852114">
            <w:pPr>
              <w:keepNext/>
              <w:keepLines/>
              <w:jc w:val="center"/>
              <w:rPr>
                <w:rFonts w:eastAsia="Times New Roman" w:cs="Times"/>
                <w:sz w:val="20"/>
              </w:rPr>
            </w:pPr>
          </w:p>
        </w:tc>
        <w:tc>
          <w:tcPr>
            <w:tcW w:w="2870" w:type="dxa"/>
            <w:gridSpan w:val="2"/>
            <w:tcBorders>
              <w:top w:val="single" w:sz="4" w:space="0" w:color="auto"/>
              <w:left w:val="nil"/>
              <w:bottom w:val="single" w:sz="4" w:space="0" w:color="auto"/>
              <w:right w:val="nil"/>
            </w:tcBorders>
            <w:shd w:val="clear" w:color="auto" w:fill="auto"/>
            <w:vAlign w:val="bottom"/>
            <w:hideMark/>
          </w:tcPr>
          <w:p w14:paraId="28A81918" w14:textId="77777777" w:rsidR="006220A2" w:rsidRPr="004959C1" w:rsidRDefault="006220A2" w:rsidP="00852114">
            <w:pPr>
              <w:keepNext/>
              <w:keepLines/>
              <w:jc w:val="center"/>
              <w:rPr>
                <w:rFonts w:eastAsia="Times New Roman"/>
                <w:b/>
                <w:bCs/>
                <w:sz w:val="18"/>
                <w:szCs w:val="18"/>
              </w:rPr>
            </w:pPr>
            <w:r w:rsidRPr="004959C1">
              <w:rPr>
                <w:rFonts w:eastAsia="Times New Roman"/>
                <w:b/>
                <w:bCs/>
                <w:sz w:val="18"/>
                <w:szCs w:val="18"/>
              </w:rPr>
              <w:t>Euros</w:t>
            </w:r>
          </w:p>
        </w:tc>
      </w:tr>
      <w:tr w:rsidR="00A75530" w:rsidRPr="004959C1" w14:paraId="641D54D9" w14:textId="77777777" w:rsidTr="00852114">
        <w:trPr>
          <w:trHeight w:val="227"/>
          <w:jc w:val="center"/>
        </w:trPr>
        <w:tc>
          <w:tcPr>
            <w:tcW w:w="3934" w:type="dxa"/>
            <w:tcBorders>
              <w:top w:val="nil"/>
              <w:left w:val="nil"/>
              <w:bottom w:val="single" w:sz="4" w:space="0" w:color="auto"/>
              <w:right w:val="nil"/>
            </w:tcBorders>
            <w:shd w:val="clear" w:color="auto" w:fill="auto"/>
            <w:vAlign w:val="bottom"/>
            <w:hideMark/>
          </w:tcPr>
          <w:p w14:paraId="09090938" w14:textId="77777777" w:rsidR="00A75530" w:rsidRPr="004959C1" w:rsidRDefault="00A75530" w:rsidP="00A75530">
            <w:pPr>
              <w:keepNext/>
              <w:keepLines/>
              <w:jc w:val="center"/>
              <w:rPr>
                <w:rFonts w:eastAsia="Times New Roman" w:cs="Times"/>
                <w:sz w:val="20"/>
              </w:rPr>
            </w:pPr>
          </w:p>
        </w:tc>
        <w:tc>
          <w:tcPr>
            <w:tcW w:w="1399" w:type="dxa"/>
            <w:tcBorders>
              <w:top w:val="nil"/>
              <w:left w:val="nil"/>
              <w:bottom w:val="single" w:sz="4" w:space="0" w:color="auto"/>
              <w:right w:val="nil"/>
            </w:tcBorders>
            <w:shd w:val="clear" w:color="auto" w:fill="auto"/>
            <w:vAlign w:val="bottom"/>
            <w:hideMark/>
          </w:tcPr>
          <w:p w14:paraId="3AB35C12" w14:textId="77777777" w:rsidR="00A75530" w:rsidRPr="00915C40" w:rsidRDefault="00A75530" w:rsidP="00A75530">
            <w:pPr>
              <w:keepNext/>
              <w:keepLines/>
              <w:jc w:val="center"/>
              <w:rPr>
                <w:rFonts w:eastAsia="Times New Roman"/>
                <w:b/>
                <w:bCs/>
                <w:sz w:val="18"/>
                <w:szCs w:val="18"/>
              </w:rPr>
            </w:pPr>
            <w:r>
              <w:rPr>
                <w:rFonts w:eastAsia="Times New Roman"/>
                <w:b/>
                <w:bCs/>
                <w:sz w:val="18"/>
                <w:szCs w:val="18"/>
              </w:rPr>
              <w:t>31/12/2018</w:t>
            </w:r>
          </w:p>
        </w:tc>
        <w:tc>
          <w:tcPr>
            <w:tcW w:w="1471" w:type="dxa"/>
            <w:tcBorders>
              <w:top w:val="nil"/>
              <w:left w:val="nil"/>
              <w:bottom w:val="single" w:sz="4" w:space="0" w:color="auto"/>
              <w:right w:val="nil"/>
            </w:tcBorders>
            <w:shd w:val="clear" w:color="auto" w:fill="auto"/>
            <w:vAlign w:val="bottom"/>
            <w:hideMark/>
          </w:tcPr>
          <w:p w14:paraId="0DDFF742" w14:textId="77777777" w:rsidR="00A75530" w:rsidRPr="00915C40" w:rsidRDefault="00A75530" w:rsidP="00A75530">
            <w:pPr>
              <w:keepNext/>
              <w:keepLines/>
              <w:jc w:val="center"/>
              <w:rPr>
                <w:rFonts w:eastAsia="Times New Roman"/>
                <w:b/>
                <w:bCs/>
                <w:sz w:val="18"/>
                <w:szCs w:val="18"/>
              </w:rPr>
            </w:pPr>
            <w:r>
              <w:rPr>
                <w:rFonts w:eastAsia="Times New Roman"/>
                <w:b/>
                <w:bCs/>
                <w:sz w:val="18"/>
                <w:szCs w:val="18"/>
              </w:rPr>
              <w:t>31/12/2017</w:t>
            </w:r>
          </w:p>
        </w:tc>
      </w:tr>
      <w:tr w:rsidR="004959C1" w:rsidRPr="004959C1" w14:paraId="650C3735" w14:textId="77777777" w:rsidTr="00852114">
        <w:trPr>
          <w:trHeight w:val="255"/>
          <w:jc w:val="center"/>
        </w:trPr>
        <w:tc>
          <w:tcPr>
            <w:tcW w:w="3934" w:type="dxa"/>
            <w:tcBorders>
              <w:top w:val="nil"/>
              <w:left w:val="nil"/>
              <w:bottom w:val="nil"/>
              <w:right w:val="nil"/>
            </w:tcBorders>
            <w:shd w:val="clear" w:color="auto" w:fill="auto"/>
            <w:vAlign w:val="center"/>
            <w:hideMark/>
          </w:tcPr>
          <w:p w14:paraId="544CF9AC" w14:textId="77777777" w:rsidR="004959C1" w:rsidRPr="004959C1" w:rsidRDefault="004959C1" w:rsidP="004959C1">
            <w:pPr>
              <w:keepNext/>
              <w:keepLines/>
              <w:rPr>
                <w:rFonts w:eastAsia="Times New Roman"/>
                <w:b/>
                <w:bCs/>
                <w:sz w:val="18"/>
                <w:szCs w:val="18"/>
              </w:rPr>
            </w:pPr>
            <w:r w:rsidRPr="004959C1">
              <w:rPr>
                <w:rFonts w:eastAsia="Times New Roman"/>
                <w:b/>
                <w:bCs/>
                <w:sz w:val="18"/>
                <w:szCs w:val="18"/>
              </w:rPr>
              <w:t>Saldo inicial</w:t>
            </w:r>
          </w:p>
        </w:tc>
        <w:tc>
          <w:tcPr>
            <w:tcW w:w="1399" w:type="dxa"/>
            <w:tcBorders>
              <w:top w:val="nil"/>
              <w:left w:val="nil"/>
              <w:bottom w:val="nil"/>
              <w:right w:val="nil"/>
            </w:tcBorders>
            <w:shd w:val="clear" w:color="auto" w:fill="auto"/>
            <w:vAlign w:val="center"/>
          </w:tcPr>
          <w:p w14:paraId="28132A74" w14:textId="77777777" w:rsidR="004959C1" w:rsidRPr="004959C1" w:rsidRDefault="004959C1" w:rsidP="004959C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4959C1">
              <w:rPr>
                <w:sz w:val="18"/>
                <w:szCs w:val="18"/>
              </w:rPr>
              <w:t>253.906,64</w:t>
            </w:r>
          </w:p>
        </w:tc>
        <w:tc>
          <w:tcPr>
            <w:tcW w:w="1471" w:type="dxa"/>
            <w:tcBorders>
              <w:top w:val="nil"/>
              <w:left w:val="nil"/>
              <w:bottom w:val="nil"/>
              <w:right w:val="nil"/>
            </w:tcBorders>
            <w:shd w:val="clear" w:color="auto" w:fill="auto"/>
            <w:vAlign w:val="center"/>
            <w:hideMark/>
          </w:tcPr>
          <w:p w14:paraId="02507E5C" w14:textId="77777777" w:rsidR="004959C1" w:rsidRPr="004959C1" w:rsidRDefault="004959C1" w:rsidP="004959C1">
            <w:pPr>
              <w:jc w:val="right"/>
              <w:rPr>
                <w:sz w:val="18"/>
                <w:szCs w:val="18"/>
              </w:rPr>
            </w:pPr>
            <w:r w:rsidRPr="004959C1">
              <w:rPr>
                <w:sz w:val="18"/>
                <w:szCs w:val="18"/>
              </w:rPr>
              <w:t>275.791,96</w:t>
            </w:r>
          </w:p>
        </w:tc>
      </w:tr>
      <w:tr w:rsidR="004959C1" w:rsidRPr="004959C1" w14:paraId="226F356B" w14:textId="77777777" w:rsidTr="00852114">
        <w:trPr>
          <w:trHeight w:val="255"/>
          <w:jc w:val="center"/>
        </w:trPr>
        <w:tc>
          <w:tcPr>
            <w:tcW w:w="3934" w:type="dxa"/>
            <w:tcBorders>
              <w:top w:val="nil"/>
              <w:left w:val="nil"/>
              <w:bottom w:val="nil"/>
              <w:right w:val="nil"/>
            </w:tcBorders>
            <w:shd w:val="clear" w:color="auto" w:fill="auto"/>
            <w:vAlign w:val="center"/>
            <w:hideMark/>
          </w:tcPr>
          <w:p w14:paraId="20AED768" w14:textId="77777777" w:rsidR="004959C1" w:rsidRPr="004959C1" w:rsidRDefault="004959C1" w:rsidP="004959C1">
            <w:pPr>
              <w:keepNext/>
              <w:keepLines/>
              <w:rPr>
                <w:rFonts w:eastAsia="Times New Roman"/>
                <w:sz w:val="18"/>
                <w:szCs w:val="18"/>
              </w:rPr>
            </w:pPr>
            <w:r w:rsidRPr="004959C1">
              <w:rPr>
                <w:rFonts w:eastAsia="Times New Roman"/>
                <w:sz w:val="18"/>
                <w:szCs w:val="18"/>
              </w:rPr>
              <w:t>Imputación al resultado</w:t>
            </w:r>
          </w:p>
        </w:tc>
        <w:tc>
          <w:tcPr>
            <w:tcW w:w="1399" w:type="dxa"/>
            <w:tcBorders>
              <w:top w:val="nil"/>
              <w:left w:val="nil"/>
              <w:bottom w:val="nil"/>
              <w:right w:val="nil"/>
            </w:tcBorders>
            <w:shd w:val="clear" w:color="auto" w:fill="auto"/>
            <w:vAlign w:val="center"/>
          </w:tcPr>
          <w:p w14:paraId="6E8A7184" w14:textId="77777777" w:rsidR="004959C1" w:rsidRPr="004959C1" w:rsidRDefault="004959C1" w:rsidP="004959C1">
            <w:pPr>
              <w:jc w:val="right"/>
              <w:rPr>
                <w:sz w:val="18"/>
                <w:szCs w:val="18"/>
              </w:rPr>
            </w:pPr>
            <w:r w:rsidRPr="004959C1">
              <w:rPr>
                <w:sz w:val="18"/>
                <w:szCs w:val="18"/>
              </w:rPr>
              <w:t>(27.963,58)</w:t>
            </w:r>
          </w:p>
        </w:tc>
        <w:tc>
          <w:tcPr>
            <w:tcW w:w="1471" w:type="dxa"/>
            <w:tcBorders>
              <w:top w:val="nil"/>
              <w:left w:val="nil"/>
              <w:bottom w:val="nil"/>
              <w:right w:val="nil"/>
            </w:tcBorders>
            <w:shd w:val="clear" w:color="auto" w:fill="auto"/>
            <w:vAlign w:val="center"/>
            <w:hideMark/>
          </w:tcPr>
          <w:p w14:paraId="5031D2C2" w14:textId="77777777" w:rsidR="004959C1" w:rsidRPr="004959C1" w:rsidRDefault="004959C1" w:rsidP="004959C1">
            <w:pPr>
              <w:jc w:val="right"/>
              <w:rPr>
                <w:sz w:val="18"/>
                <w:szCs w:val="18"/>
              </w:rPr>
            </w:pPr>
            <w:r w:rsidRPr="004959C1">
              <w:rPr>
                <w:sz w:val="18"/>
                <w:szCs w:val="18"/>
              </w:rPr>
              <w:t>(29.180,43)</w:t>
            </w:r>
          </w:p>
        </w:tc>
      </w:tr>
      <w:tr w:rsidR="004959C1" w:rsidRPr="004959C1" w14:paraId="37102566" w14:textId="77777777" w:rsidTr="00852114">
        <w:trPr>
          <w:trHeight w:val="255"/>
          <w:jc w:val="center"/>
        </w:trPr>
        <w:tc>
          <w:tcPr>
            <w:tcW w:w="3934" w:type="dxa"/>
            <w:tcBorders>
              <w:top w:val="nil"/>
              <w:left w:val="nil"/>
              <w:bottom w:val="single" w:sz="4" w:space="0" w:color="auto"/>
              <w:right w:val="nil"/>
            </w:tcBorders>
            <w:shd w:val="clear" w:color="auto" w:fill="auto"/>
            <w:vAlign w:val="center"/>
            <w:hideMark/>
          </w:tcPr>
          <w:p w14:paraId="1F6114A7" w14:textId="77777777" w:rsidR="004959C1" w:rsidRPr="004959C1" w:rsidRDefault="004959C1" w:rsidP="004959C1">
            <w:pPr>
              <w:rPr>
                <w:rFonts w:eastAsia="Times New Roman"/>
                <w:sz w:val="18"/>
                <w:szCs w:val="18"/>
              </w:rPr>
            </w:pPr>
            <w:r w:rsidRPr="004959C1">
              <w:rPr>
                <w:rFonts w:eastAsia="Times New Roman"/>
                <w:sz w:val="18"/>
                <w:szCs w:val="18"/>
              </w:rPr>
              <w:t>Traspaso por el efecto impositivo</w:t>
            </w:r>
          </w:p>
        </w:tc>
        <w:tc>
          <w:tcPr>
            <w:tcW w:w="1399" w:type="dxa"/>
            <w:tcBorders>
              <w:top w:val="nil"/>
              <w:left w:val="nil"/>
              <w:bottom w:val="single" w:sz="4" w:space="0" w:color="auto"/>
              <w:right w:val="nil"/>
            </w:tcBorders>
            <w:shd w:val="clear" w:color="auto" w:fill="auto"/>
            <w:vAlign w:val="center"/>
          </w:tcPr>
          <w:p w14:paraId="6A6208C8" w14:textId="77777777" w:rsidR="004959C1" w:rsidRPr="004959C1" w:rsidRDefault="004959C1" w:rsidP="004959C1">
            <w:pPr>
              <w:jc w:val="right"/>
              <w:rPr>
                <w:sz w:val="18"/>
                <w:szCs w:val="18"/>
              </w:rPr>
            </w:pPr>
            <w:r w:rsidRPr="004959C1">
              <w:rPr>
                <w:sz w:val="18"/>
                <w:szCs w:val="18"/>
              </w:rPr>
              <w:t>6.990,90</w:t>
            </w:r>
          </w:p>
        </w:tc>
        <w:tc>
          <w:tcPr>
            <w:tcW w:w="1471" w:type="dxa"/>
            <w:tcBorders>
              <w:top w:val="nil"/>
              <w:left w:val="nil"/>
              <w:bottom w:val="single" w:sz="4" w:space="0" w:color="auto"/>
              <w:right w:val="nil"/>
            </w:tcBorders>
            <w:shd w:val="clear" w:color="auto" w:fill="auto"/>
            <w:vAlign w:val="center"/>
            <w:hideMark/>
          </w:tcPr>
          <w:p w14:paraId="4DF7D0C0" w14:textId="77777777" w:rsidR="004959C1" w:rsidRPr="004959C1" w:rsidRDefault="004959C1" w:rsidP="004959C1">
            <w:pPr>
              <w:jc w:val="right"/>
              <w:rPr>
                <w:sz w:val="18"/>
                <w:szCs w:val="18"/>
              </w:rPr>
            </w:pPr>
            <w:r w:rsidRPr="004959C1">
              <w:rPr>
                <w:sz w:val="18"/>
                <w:szCs w:val="18"/>
              </w:rPr>
              <w:t>7.295,11</w:t>
            </w:r>
          </w:p>
        </w:tc>
      </w:tr>
      <w:tr w:rsidR="004959C1" w:rsidRPr="00CA49F4" w14:paraId="789E8B41" w14:textId="77777777" w:rsidTr="00852114">
        <w:trPr>
          <w:trHeight w:val="255"/>
          <w:jc w:val="center"/>
        </w:trPr>
        <w:tc>
          <w:tcPr>
            <w:tcW w:w="3934" w:type="dxa"/>
            <w:tcBorders>
              <w:top w:val="nil"/>
              <w:left w:val="nil"/>
              <w:bottom w:val="single" w:sz="4" w:space="0" w:color="auto"/>
              <w:right w:val="nil"/>
            </w:tcBorders>
            <w:shd w:val="clear" w:color="auto" w:fill="auto"/>
            <w:vAlign w:val="center"/>
            <w:hideMark/>
          </w:tcPr>
          <w:p w14:paraId="0177971F" w14:textId="77777777" w:rsidR="004959C1" w:rsidRPr="004959C1" w:rsidRDefault="004959C1" w:rsidP="004959C1">
            <w:pPr>
              <w:rPr>
                <w:rFonts w:eastAsia="Times New Roman"/>
                <w:b/>
                <w:bCs/>
                <w:sz w:val="18"/>
                <w:szCs w:val="18"/>
              </w:rPr>
            </w:pPr>
            <w:r w:rsidRPr="004959C1">
              <w:rPr>
                <w:rFonts w:eastAsia="Times New Roman"/>
                <w:b/>
                <w:bCs/>
                <w:sz w:val="18"/>
                <w:szCs w:val="18"/>
              </w:rPr>
              <w:t>Saldo final</w:t>
            </w:r>
          </w:p>
        </w:tc>
        <w:tc>
          <w:tcPr>
            <w:tcW w:w="1399" w:type="dxa"/>
            <w:tcBorders>
              <w:top w:val="nil"/>
              <w:left w:val="nil"/>
              <w:bottom w:val="single" w:sz="4" w:space="0" w:color="auto"/>
              <w:right w:val="nil"/>
            </w:tcBorders>
            <w:shd w:val="clear" w:color="auto" w:fill="auto"/>
            <w:vAlign w:val="center"/>
          </w:tcPr>
          <w:p w14:paraId="63ED244D" w14:textId="77777777" w:rsidR="004959C1" w:rsidRPr="004959C1" w:rsidRDefault="004959C1" w:rsidP="004959C1">
            <w:pPr>
              <w:jc w:val="right"/>
              <w:rPr>
                <w:b/>
                <w:bCs/>
                <w:sz w:val="18"/>
                <w:szCs w:val="18"/>
              </w:rPr>
            </w:pPr>
            <w:r w:rsidRPr="004959C1">
              <w:rPr>
                <w:b/>
                <w:bCs/>
                <w:sz w:val="18"/>
                <w:szCs w:val="18"/>
              </w:rPr>
              <w:t>232.933,96</w:t>
            </w:r>
          </w:p>
        </w:tc>
        <w:tc>
          <w:tcPr>
            <w:tcW w:w="1471" w:type="dxa"/>
            <w:tcBorders>
              <w:top w:val="nil"/>
              <w:left w:val="nil"/>
              <w:bottom w:val="single" w:sz="4" w:space="0" w:color="auto"/>
              <w:right w:val="nil"/>
            </w:tcBorders>
            <w:shd w:val="clear" w:color="auto" w:fill="auto"/>
            <w:vAlign w:val="center"/>
            <w:hideMark/>
          </w:tcPr>
          <w:p w14:paraId="1B9685FA" w14:textId="77777777" w:rsidR="004959C1" w:rsidRDefault="004959C1" w:rsidP="004959C1">
            <w:pPr>
              <w:jc w:val="right"/>
              <w:rPr>
                <w:b/>
                <w:bCs/>
                <w:sz w:val="18"/>
                <w:szCs w:val="18"/>
              </w:rPr>
            </w:pPr>
            <w:r w:rsidRPr="004959C1">
              <w:rPr>
                <w:b/>
                <w:bCs/>
                <w:sz w:val="18"/>
                <w:szCs w:val="18"/>
              </w:rPr>
              <w:t>253.906,64</w:t>
            </w:r>
          </w:p>
        </w:tc>
      </w:tr>
    </w:tbl>
    <w:p w14:paraId="755128BB" w14:textId="77777777" w:rsidR="006220A2" w:rsidRDefault="006220A2" w:rsidP="00B10DE7">
      <w:pPr>
        <w:pStyle w:val="bullet"/>
        <w:numPr>
          <w:ilvl w:val="0"/>
          <w:numId w:val="0"/>
        </w:numPr>
        <w:rPr>
          <w:lang w:val="es-ES"/>
        </w:rPr>
      </w:pPr>
    </w:p>
    <w:p w14:paraId="45949255" w14:textId="77777777" w:rsidR="00B10DE7" w:rsidRPr="00B10DE7" w:rsidRDefault="00B10DE7" w:rsidP="00B10DE7">
      <w:pPr>
        <w:pStyle w:val="bullet"/>
        <w:numPr>
          <w:ilvl w:val="0"/>
          <w:numId w:val="0"/>
        </w:numPr>
        <w:rPr>
          <w:snapToGrid w:val="0"/>
          <w:sz w:val="20"/>
          <w:szCs w:val="22"/>
          <w:lang w:val="es-ES"/>
        </w:rPr>
      </w:pPr>
      <w:r w:rsidRPr="00B10DE7">
        <w:rPr>
          <w:snapToGrid w:val="0"/>
          <w:sz w:val="20"/>
          <w:szCs w:val="22"/>
          <w:lang w:val="es-ES"/>
        </w:rPr>
        <w:t>En el ejercicio 2018 se ha traspasado a resultados el importe pendiente al inicio del ejercicio correspondiente a la subvención para la adquisición de inmovilizado concedida en 2007.</w:t>
      </w:r>
    </w:p>
    <w:p w14:paraId="6FBE9F37" w14:textId="77777777" w:rsidR="006220A2" w:rsidRPr="00952392" w:rsidRDefault="006220A2" w:rsidP="00312C0B">
      <w:pPr>
        <w:keepNext/>
        <w:keepLines/>
        <w:widowControl w:val="0"/>
        <w:spacing w:before="200"/>
        <w:rPr>
          <w:b/>
          <w:sz w:val="20"/>
          <w:szCs w:val="22"/>
        </w:rPr>
      </w:pPr>
      <w:r>
        <w:rPr>
          <w:b/>
          <w:sz w:val="20"/>
          <w:szCs w:val="22"/>
        </w:rPr>
        <w:t>15</w:t>
      </w:r>
      <w:r w:rsidRPr="00952392">
        <w:rPr>
          <w:b/>
          <w:sz w:val="20"/>
          <w:szCs w:val="22"/>
        </w:rPr>
        <w:t>.2 Subvenciones de Explotación</w:t>
      </w:r>
    </w:p>
    <w:p w14:paraId="7EEF0719" w14:textId="77777777" w:rsidR="006220A2" w:rsidRDefault="006220A2" w:rsidP="00312C0B">
      <w:pPr>
        <w:keepNext/>
        <w:keepLines/>
        <w:widowControl w:val="0"/>
        <w:spacing w:before="120" w:after="120"/>
        <w:jc w:val="both"/>
        <w:rPr>
          <w:sz w:val="20"/>
        </w:rPr>
      </w:pPr>
      <w:r w:rsidRPr="0017446E">
        <w:rPr>
          <w:sz w:val="20"/>
        </w:rPr>
        <w:t>El detalle de las subvenciones de explotación incorporadas al resultado, es como sigue:</w:t>
      </w:r>
    </w:p>
    <w:tbl>
      <w:tblPr>
        <w:tblW w:w="5000" w:type="pct"/>
        <w:tblCellMar>
          <w:left w:w="70" w:type="dxa"/>
          <w:right w:w="70" w:type="dxa"/>
        </w:tblCellMar>
        <w:tblLook w:val="04A0" w:firstRow="1" w:lastRow="0" w:firstColumn="1" w:lastColumn="0" w:noHBand="0" w:noVBand="1"/>
      </w:tblPr>
      <w:tblGrid>
        <w:gridCol w:w="6013"/>
        <w:gridCol w:w="1454"/>
        <w:gridCol w:w="1454"/>
      </w:tblGrid>
      <w:tr w:rsidR="00173DFA" w:rsidRPr="00A304AB" w14:paraId="189E6D31" w14:textId="77777777" w:rsidTr="009B51EF">
        <w:trPr>
          <w:trHeight w:val="226"/>
        </w:trPr>
        <w:tc>
          <w:tcPr>
            <w:tcW w:w="3370" w:type="pct"/>
            <w:tcBorders>
              <w:top w:val="single" w:sz="4" w:space="0" w:color="auto"/>
              <w:left w:val="nil"/>
              <w:bottom w:val="nil"/>
              <w:right w:val="nil"/>
            </w:tcBorders>
            <w:shd w:val="clear" w:color="auto" w:fill="auto"/>
            <w:noWrap/>
            <w:vAlign w:val="center"/>
            <w:hideMark/>
          </w:tcPr>
          <w:p w14:paraId="32F04FAE" w14:textId="77777777" w:rsidR="00A304AB" w:rsidRPr="00A304AB" w:rsidRDefault="00A304AB" w:rsidP="00312C0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bdr w:val="none" w:sz="0" w:space="0" w:color="auto"/>
                <w:lang w:eastAsia="es-ES"/>
              </w:rPr>
            </w:pPr>
          </w:p>
        </w:tc>
        <w:tc>
          <w:tcPr>
            <w:tcW w:w="1630" w:type="pct"/>
            <w:gridSpan w:val="2"/>
            <w:tcBorders>
              <w:top w:val="single" w:sz="4" w:space="0" w:color="auto"/>
              <w:left w:val="nil"/>
              <w:bottom w:val="single" w:sz="4" w:space="0" w:color="auto"/>
              <w:right w:val="nil"/>
            </w:tcBorders>
            <w:shd w:val="clear" w:color="auto" w:fill="auto"/>
            <w:vAlign w:val="center"/>
            <w:hideMark/>
          </w:tcPr>
          <w:p w14:paraId="482D9AF4" w14:textId="77777777" w:rsidR="00A304AB" w:rsidRPr="00A304AB" w:rsidRDefault="00A304AB" w:rsidP="00312C0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A304AB">
              <w:rPr>
                <w:rFonts w:eastAsia="Times New Roman"/>
                <w:b/>
                <w:bCs/>
                <w:sz w:val="18"/>
                <w:szCs w:val="18"/>
                <w:bdr w:val="none" w:sz="0" w:space="0" w:color="auto"/>
                <w:lang w:eastAsia="es-ES"/>
              </w:rPr>
              <w:t>Euros</w:t>
            </w:r>
          </w:p>
        </w:tc>
      </w:tr>
      <w:tr w:rsidR="00173DFA" w:rsidRPr="00A304AB" w14:paraId="0BCEE768" w14:textId="77777777" w:rsidTr="00841182">
        <w:trPr>
          <w:trHeight w:val="226"/>
        </w:trPr>
        <w:tc>
          <w:tcPr>
            <w:tcW w:w="3370" w:type="pct"/>
            <w:tcBorders>
              <w:top w:val="nil"/>
              <w:left w:val="nil"/>
              <w:bottom w:val="single" w:sz="4" w:space="0" w:color="auto"/>
              <w:right w:val="nil"/>
            </w:tcBorders>
            <w:shd w:val="clear" w:color="auto" w:fill="auto"/>
            <w:noWrap/>
            <w:vAlign w:val="center"/>
            <w:hideMark/>
          </w:tcPr>
          <w:p w14:paraId="10CFAF85" w14:textId="77777777" w:rsidR="00A304AB" w:rsidRPr="00A304AB" w:rsidRDefault="00A304AB" w:rsidP="00312C0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A304AB">
              <w:rPr>
                <w:rFonts w:eastAsia="Times New Roman"/>
                <w:sz w:val="18"/>
                <w:szCs w:val="18"/>
                <w:bdr w:val="none" w:sz="0" w:space="0" w:color="auto"/>
                <w:lang w:eastAsia="es-ES"/>
              </w:rPr>
              <w:t> </w:t>
            </w:r>
          </w:p>
        </w:tc>
        <w:tc>
          <w:tcPr>
            <w:tcW w:w="815" w:type="pct"/>
            <w:tcBorders>
              <w:top w:val="nil"/>
              <w:left w:val="nil"/>
              <w:bottom w:val="single" w:sz="4" w:space="0" w:color="auto"/>
              <w:right w:val="nil"/>
            </w:tcBorders>
            <w:shd w:val="clear" w:color="auto" w:fill="auto"/>
            <w:vAlign w:val="center"/>
            <w:hideMark/>
          </w:tcPr>
          <w:p w14:paraId="0A8D3612" w14:textId="77777777" w:rsidR="00A304AB" w:rsidRPr="00A304AB" w:rsidRDefault="00A304AB" w:rsidP="00312C0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A304AB">
              <w:rPr>
                <w:rFonts w:eastAsia="Times New Roman"/>
                <w:b/>
                <w:bCs/>
                <w:sz w:val="18"/>
                <w:szCs w:val="18"/>
                <w:bdr w:val="none" w:sz="0" w:space="0" w:color="auto"/>
                <w:lang w:eastAsia="es-ES"/>
              </w:rPr>
              <w:t>2018</w:t>
            </w:r>
          </w:p>
        </w:tc>
        <w:tc>
          <w:tcPr>
            <w:tcW w:w="815" w:type="pct"/>
            <w:tcBorders>
              <w:top w:val="nil"/>
              <w:left w:val="nil"/>
              <w:bottom w:val="single" w:sz="4" w:space="0" w:color="auto"/>
              <w:right w:val="nil"/>
            </w:tcBorders>
            <w:shd w:val="clear" w:color="auto" w:fill="auto"/>
            <w:vAlign w:val="center"/>
            <w:hideMark/>
          </w:tcPr>
          <w:p w14:paraId="665FFF38" w14:textId="77777777" w:rsidR="00A304AB" w:rsidRPr="00A304AB" w:rsidRDefault="00A304AB" w:rsidP="00312C0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A304AB">
              <w:rPr>
                <w:rFonts w:eastAsia="Times New Roman"/>
                <w:b/>
                <w:bCs/>
                <w:sz w:val="18"/>
                <w:szCs w:val="18"/>
                <w:bdr w:val="none" w:sz="0" w:space="0" w:color="auto"/>
                <w:lang w:eastAsia="es-ES"/>
              </w:rPr>
              <w:t>2017</w:t>
            </w:r>
          </w:p>
        </w:tc>
      </w:tr>
      <w:tr w:rsidR="00173DFA" w:rsidRPr="00A304AB" w14:paraId="2F5AA2C1" w14:textId="77777777" w:rsidTr="00841182">
        <w:trPr>
          <w:trHeight w:val="425"/>
        </w:trPr>
        <w:tc>
          <w:tcPr>
            <w:tcW w:w="3370" w:type="pct"/>
            <w:tcBorders>
              <w:top w:val="nil"/>
              <w:left w:val="nil"/>
              <w:bottom w:val="nil"/>
              <w:right w:val="nil"/>
            </w:tcBorders>
            <w:shd w:val="clear" w:color="auto" w:fill="auto"/>
            <w:noWrap/>
            <w:vAlign w:val="center"/>
            <w:hideMark/>
          </w:tcPr>
          <w:p w14:paraId="1B902F04" w14:textId="77777777" w:rsidR="00841182" w:rsidRPr="00B10DE7" w:rsidRDefault="00E0430A" w:rsidP="00312C0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B10DE7">
              <w:rPr>
                <w:rFonts w:eastAsia="Times New Roman"/>
                <w:sz w:val="18"/>
                <w:szCs w:val="18"/>
                <w:bdr w:val="none" w:sz="0" w:space="0" w:color="auto"/>
                <w:lang w:eastAsia="es-ES"/>
              </w:rPr>
              <w:t>C</w:t>
            </w:r>
            <w:r w:rsidR="00A304AB" w:rsidRPr="00B10DE7">
              <w:rPr>
                <w:rFonts w:eastAsia="Times New Roman"/>
                <w:sz w:val="18"/>
                <w:szCs w:val="18"/>
                <w:bdr w:val="none" w:sz="0" w:space="0" w:color="auto"/>
                <w:lang w:eastAsia="es-ES"/>
              </w:rPr>
              <w:t>onsejería de Turismo</w:t>
            </w:r>
            <w:r w:rsidRPr="00B10DE7">
              <w:rPr>
                <w:rFonts w:eastAsia="Times New Roman"/>
                <w:sz w:val="18"/>
                <w:szCs w:val="18"/>
                <w:bdr w:val="none" w:sz="0" w:space="0" w:color="auto"/>
                <w:lang w:eastAsia="es-ES"/>
              </w:rPr>
              <w:t>, Cultura y Deportes</w:t>
            </w:r>
            <w:r w:rsidR="00A304AB" w:rsidRPr="00B10DE7">
              <w:rPr>
                <w:rFonts w:eastAsia="Times New Roman"/>
                <w:sz w:val="18"/>
                <w:szCs w:val="18"/>
                <w:bdr w:val="none" w:sz="0" w:space="0" w:color="auto"/>
                <w:lang w:eastAsia="es-ES"/>
              </w:rPr>
              <w:t xml:space="preserve">: para el desarrollo de </w:t>
            </w:r>
          </w:p>
          <w:p w14:paraId="056862B5" w14:textId="77777777" w:rsidR="00A304AB" w:rsidRPr="00B10DE7" w:rsidRDefault="00A304AB" w:rsidP="00312C0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B10DE7">
              <w:rPr>
                <w:rFonts w:eastAsia="Times New Roman"/>
                <w:sz w:val="18"/>
                <w:szCs w:val="18"/>
                <w:bdr w:val="none" w:sz="0" w:space="0" w:color="auto"/>
                <w:lang w:eastAsia="es-ES"/>
              </w:rPr>
              <w:t>actividad promocional (FEDER)</w:t>
            </w:r>
          </w:p>
        </w:tc>
        <w:tc>
          <w:tcPr>
            <w:tcW w:w="815" w:type="pct"/>
            <w:tcBorders>
              <w:top w:val="nil"/>
              <w:left w:val="nil"/>
              <w:bottom w:val="nil"/>
              <w:right w:val="nil"/>
            </w:tcBorders>
            <w:shd w:val="clear" w:color="auto" w:fill="auto"/>
            <w:vAlign w:val="center"/>
            <w:hideMark/>
          </w:tcPr>
          <w:p w14:paraId="109F5A5A" w14:textId="77777777" w:rsidR="00A304AB" w:rsidRPr="00A304AB" w:rsidRDefault="00A304AB" w:rsidP="00312C0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A304AB">
              <w:rPr>
                <w:rFonts w:eastAsia="Times New Roman"/>
                <w:sz w:val="18"/>
                <w:szCs w:val="18"/>
                <w:bdr w:val="none" w:sz="0" w:space="0" w:color="auto"/>
                <w:lang w:eastAsia="es-ES"/>
              </w:rPr>
              <w:t>9.000.000,00</w:t>
            </w:r>
          </w:p>
        </w:tc>
        <w:tc>
          <w:tcPr>
            <w:tcW w:w="815" w:type="pct"/>
            <w:tcBorders>
              <w:top w:val="nil"/>
              <w:left w:val="nil"/>
              <w:bottom w:val="nil"/>
              <w:right w:val="nil"/>
            </w:tcBorders>
            <w:shd w:val="clear" w:color="auto" w:fill="auto"/>
            <w:vAlign w:val="center"/>
            <w:hideMark/>
          </w:tcPr>
          <w:p w14:paraId="4C59E2B2" w14:textId="77777777" w:rsidR="00A304AB" w:rsidRPr="00A304AB" w:rsidRDefault="00A304AB" w:rsidP="00312C0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A304AB">
              <w:rPr>
                <w:rFonts w:eastAsia="Times New Roman"/>
                <w:sz w:val="18"/>
                <w:szCs w:val="18"/>
                <w:bdr w:val="none" w:sz="0" w:space="0" w:color="auto"/>
                <w:lang w:eastAsia="es-ES"/>
              </w:rPr>
              <w:t>9.000.000,00</w:t>
            </w:r>
          </w:p>
        </w:tc>
      </w:tr>
      <w:tr w:rsidR="00173DFA" w:rsidRPr="00A304AB" w14:paraId="16CB1FA0" w14:textId="77777777" w:rsidTr="00841182">
        <w:trPr>
          <w:trHeight w:val="425"/>
        </w:trPr>
        <w:tc>
          <w:tcPr>
            <w:tcW w:w="3370" w:type="pct"/>
            <w:tcBorders>
              <w:top w:val="nil"/>
              <w:left w:val="nil"/>
              <w:bottom w:val="nil"/>
              <w:right w:val="nil"/>
            </w:tcBorders>
            <w:shd w:val="clear" w:color="auto" w:fill="auto"/>
            <w:noWrap/>
            <w:vAlign w:val="center"/>
            <w:hideMark/>
          </w:tcPr>
          <w:p w14:paraId="432282A8" w14:textId="77777777" w:rsidR="00841182" w:rsidRPr="00B10DE7" w:rsidRDefault="00E0430A" w:rsidP="00312C0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B10DE7">
              <w:rPr>
                <w:rFonts w:eastAsia="Times New Roman"/>
                <w:sz w:val="18"/>
                <w:szCs w:val="18"/>
                <w:bdr w:val="none" w:sz="0" w:space="0" w:color="auto"/>
                <w:lang w:eastAsia="es-ES"/>
              </w:rPr>
              <w:t>C</w:t>
            </w:r>
            <w:r w:rsidR="00A304AB" w:rsidRPr="00B10DE7">
              <w:rPr>
                <w:rFonts w:eastAsia="Times New Roman"/>
                <w:sz w:val="18"/>
                <w:szCs w:val="18"/>
                <w:bdr w:val="none" w:sz="0" w:space="0" w:color="auto"/>
                <w:lang w:eastAsia="es-ES"/>
              </w:rPr>
              <w:t>onsejería de Turismo</w:t>
            </w:r>
            <w:r w:rsidRPr="00B10DE7">
              <w:rPr>
                <w:rFonts w:eastAsia="Times New Roman"/>
                <w:sz w:val="18"/>
                <w:szCs w:val="18"/>
                <w:bdr w:val="none" w:sz="0" w:space="0" w:color="auto"/>
                <w:lang w:eastAsia="es-ES"/>
              </w:rPr>
              <w:t>, Cultura y Deportes</w:t>
            </w:r>
            <w:r w:rsidR="00A304AB" w:rsidRPr="00B10DE7">
              <w:rPr>
                <w:rFonts w:eastAsia="Times New Roman"/>
                <w:sz w:val="18"/>
                <w:szCs w:val="18"/>
                <w:bdr w:val="none" w:sz="0" w:space="0" w:color="auto"/>
                <w:lang w:eastAsia="es-ES"/>
              </w:rPr>
              <w:t xml:space="preserve">: para el desarrollo de </w:t>
            </w:r>
          </w:p>
          <w:p w14:paraId="1DFB37E2" w14:textId="77777777" w:rsidR="00A304AB" w:rsidRPr="00B10DE7" w:rsidRDefault="00A304AB" w:rsidP="00312C0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B10DE7">
              <w:rPr>
                <w:rFonts w:eastAsia="Times New Roman"/>
                <w:sz w:val="18"/>
                <w:szCs w:val="18"/>
                <w:bdr w:val="none" w:sz="0" w:space="0" w:color="auto"/>
                <w:lang w:eastAsia="es-ES"/>
              </w:rPr>
              <w:t>actividad promocional (NO FEDER)</w:t>
            </w:r>
          </w:p>
        </w:tc>
        <w:tc>
          <w:tcPr>
            <w:tcW w:w="815" w:type="pct"/>
            <w:tcBorders>
              <w:top w:val="nil"/>
              <w:left w:val="nil"/>
              <w:bottom w:val="nil"/>
              <w:right w:val="nil"/>
            </w:tcBorders>
            <w:shd w:val="clear" w:color="auto" w:fill="auto"/>
            <w:vAlign w:val="center"/>
            <w:hideMark/>
          </w:tcPr>
          <w:p w14:paraId="499B8C34" w14:textId="77777777" w:rsidR="00A304AB" w:rsidRPr="00A304AB" w:rsidRDefault="00A304AB" w:rsidP="00312C0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A304AB">
              <w:rPr>
                <w:rFonts w:eastAsia="Times New Roman"/>
                <w:sz w:val="18"/>
                <w:szCs w:val="18"/>
                <w:bdr w:val="none" w:sz="0" w:space="0" w:color="auto"/>
                <w:lang w:eastAsia="es-ES"/>
              </w:rPr>
              <w:t>8.407.361,00</w:t>
            </w:r>
          </w:p>
        </w:tc>
        <w:tc>
          <w:tcPr>
            <w:tcW w:w="815" w:type="pct"/>
            <w:tcBorders>
              <w:top w:val="nil"/>
              <w:left w:val="nil"/>
              <w:bottom w:val="nil"/>
              <w:right w:val="nil"/>
            </w:tcBorders>
            <w:shd w:val="clear" w:color="auto" w:fill="auto"/>
            <w:vAlign w:val="center"/>
            <w:hideMark/>
          </w:tcPr>
          <w:p w14:paraId="6F5E7C15" w14:textId="77777777" w:rsidR="00A304AB" w:rsidRPr="00A304AB" w:rsidRDefault="00A304AB" w:rsidP="00312C0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A304AB">
              <w:rPr>
                <w:rFonts w:eastAsia="Times New Roman"/>
                <w:sz w:val="18"/>
                <w:szCs w:val="18"/>
                <w:bdr w:val="none" w:sz="0" w:space="0" w:color="auto"/>
                <w:lang w:eastAsia="es-ES"/>
              </w:rPr>
              <w:t>8.407.361,00</w:t>
            </w:r>
          </w:p>
        </w:tc>
      </w:tr>
      <w:tr w:rsidR="00173DFA" w:rsidRPr="00A304AB" w14:paraId="6AC600EE" w14:textId="77777777" w:rsidTr="00841182">
        <w:trPr>
          <w:trHeight w:val="425"/>
        </w:trPr>
        <w:tc>
          <w:tcPr>
            <w:tcW w:w="3370" w:type="pct"/>
            <w:tcBorders>
              <w:top w:val="nil"/>
              <w:left w:val="nil"/>
              <w:bottom w:val="nil"/>
              <w:right w:val="nil"/>
            </w:tcBorders>
            <w:shd w:val="clear" w:color="auto" w:fill="auto"/>
            <w:noWrap/>
            <w:vAlign w:val="center"/>
            <w:hideMark/>
          </w:tcPr>
          <w:p w14:paraId="0989097B" w14:textId="77777777" w:rsidR="00841182" w:rsidRPr="00B10DE7" w:rsidRDefault="00E0430A" w:rsidP="00312C0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B10DE7">
              <w:rPr>
                <w:rFonts w:eastAsia="Times New Roman"/>
                <w:sz w:val="18"/>
                <w:szCs w:val="18"/>
                <w:bdr w:val="none" w:sz="0" w:space="0" w:color="auto"/>
                <w:lang w:eastAsia="es-ES"/>
              </w:rPr>
              <w:t>C</w:t>
            </w:r>
            <w:r w:rsidR="00A304AB" w:rsidRPr="00B10DE7">
              <w:rPr>
                <w:rFonts w:eastAsia="Times New Roman"/>
                <w:sz w:val="18"/>
                <w:szCs w:val="18"/>
                <w:bdr w:val="none" w:sz="0" w:space="0" w:color="auto"/>
                <w:lang w:eastAsia="es-ES"/>
              </w:rPr>
              <w:t>onsejería de Turismo</w:t>
            </w:r>
            <w:r w:rsidRPr="00B10DE7">
              <w:rPr>
                <w:rFonts w:eastAsia="Times New Roman"/>
                <w:sz w:val="18"/>
                <w:szCs w:val="18"/>
                <w:bdr w:val="none" w:sz="0" w:space="0" w:color="auto"/>
                <w:lang w:eastAsia="es-ES"/>
              </w:rPr>
              <w:t>, Cultura y Deportes</w:t>
            </w:r>
            <w:r w:rsidR="00A304AB" w:rsidRPr="00B10DE7">
              <w:rPr>
                <w:rFonts w:eastAsia="Times New Roman"/>
                <w:sz w:val="18"/>
                <w:szCs w:val="18"/>
                <w:bdr w:val="none" w:sz="0" w:space="0" w:color="auto"/>
                <w:lang w:eastAsia="es-ES"/>
              </w:rPr>
              <w:t xml:space="preserve">: para el desarrollo de </w:t>
            </w:r>
          </w:p>
          <w:p w14:paraId="693D6AAE" w14:textId="77777777" w:rsidR="00A304AB" w:rsidRPr="00B10DE7" w:rsidRDefault="00A304AB" w:rsidP="00312C0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B10DE7">
              <w:rPr>
                <w:rFonts w:eastAsia="Times New Roman"/>
                <w:sz w:val="18"/>
                <w:szCs w:val="18"/>
                <w:bdr w:val="none" w:sz="0" w:space="0" w:color="auto"/>
                <w:lang w:eastAsia="es-ES"/>
              </w:rPr>
              <w:t>actividad promocional (NO FEDER) - Ampliación</w:t>
            </w:r>
          </w:p>
        </w:tc>
        <w:tc>
          <w:tcPr>
            <w:tcW w:w="815" w:type="pct"/>
            <w:tcBorders>
              <w:top w:val="nil"/>
              <w:left w:val="nil"/>
              <w:bottom w:val="nil"/>
              <w:right w:val="nil"/>
            </w:tcBorders>
            <w:shd w:val="clear" w:color="auto" w:fill="auto"/>
            <w:vAlign w:val="center"/>
            <w:hideMark/>
          </w:tcPr>
          <w:p w14:paraId="74327B7C" w14:textId="77777777" w:rsidR="00A304AB" w:rsidRPr="00A304AB" w:rsidRDefault="00A304AB" w:rsidP="00312C0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A304AB">
              <w:rPr>
                <w:rFonts w:eastAsia="Times New Roman"/>
                <w:sz w:val="18"/>
                <w:szCs w:val="18"/>
                <w:bdr w:val="none" w:sz="0" w:space="0" w:color="auto"/>
                <w:lang w:eastAsia="es-ES"/>
              </w:rPr>
              <w:t>500.000,00</w:t>
            </w:r>
          </w:p>
        </w:tc>
        <w:tc>
          <w:tcPr>
            <w:tcW w:w="815" w:type="pct"/>
            <w:tcBorders>
              <w:top w:val="nil"/>
              <w:left w:val="nil"/>
              <w:bottom w:val="nil"/>
              <w:right w:val="nil"/>
            </w:tcBorders>
            <w:shd w:val="clear" w:color="auto" w:fill="auto"/>
            <w:vAlign w:val="center"/>
            <w:hideMark/>
          </w:tcPr>
          <w:p w14:paraId="4FB841ED" w14:textId="77777777" w:rsidR="00A304AB" w:rsidRPr="00A304AB" w:rsidRDefault="00A304AB" w:rsidP="00312C0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A304AB">
              <w:rPr>
                <w:rFonts w:eastAsia="Times New Roman"/>
                <w:sz w:val="18"/>
                <w:szCs w:val="18"/>
                <w:bdr w:val="none" w:sz="0" w:space="0" w:color="auto"/>
                <w:lang w:eastAsia="es-ES"/>
              </w:rPr>
              <w:t xml:space="preserve"> -</w:t>
            </w:r>
          </w:p>
        </w:tc>
      </w:tr>
      <w:tr w:rsidR="00173DFA" w:rsidRPr="00A304AB" w14:paraId="409B0E1D" w14:textId="77777777" w:rsidTr="00841182">
        <w:trPr>
          <w:trHeight w:val="425"/>
        </w:trPr>
        <w:tc>
          <w:tcPr>
            <w:tcW w:w="3370" w:type="pct"/>
            <w:tcBorders>
              <w:top w:val="nil"/>
              <w:left w:val="nil"/>
              <w:bottom w:val="nil"/>
              <w:right w:val="nil"/>
            </w:tcBorders>
            <w:shd w:val="clear" w:color="auto" w:fill="auto"/>
            <w:noWrap/>
            <w:vAlign w:val="center"/>
            <w:hideMark/>
          </w:tcPr>
          <w:p w14:paraId="491E9083" w14:textId="77777777" w:rsidR="00E0430A" w:rsidRPr="00B10DE7" w:rsidRDefault="00E0430A" w:rsidP="00312C0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B10DE7">
              <w:rPr>
                <w:rFonts w:eastAsia="Times New Roman"/>
                <w:sz w:val="18"/>
                <w:szCs w:val="18"/>
                <w:bdr w:val="none" w:sz="0" w:space="0" w:color="auto"/>
                <w:lang w:eastAsia="es-ES"/>
              </w:rPr>
              <w:t>C</w:t>
            </w:r>
            <w:r w:rsidR="00A304AB" w:rsidRPr="00B10DE7">
              <w:rPr>
                <w:rFonts w:eastAsia="Times New Roman"/>
                <w:sz w:val="18"/>
                <w:szCs w:val="18"/>
                <w:bdr w:val="none" w:sz="0" w:space="0" w:color="auto"/>
                <w:lang w:eastAsia="es-ES"/>
              </w:rPr>
              <w:t>onsejería de Turismo</w:t>
            </w:r>
            <w:r w:rsidRPr="00B10DE7">
              <w:rPr>
                <w:rFonts w:eastAsia="Times New Roman"/>
                <w:sz w:val="18"/>
                <w:szCs w:val="18"/>
                <w:bdr w:val="none" w:sz="0" w:space="0" w:color="auto"/>
                <w:lang w:eastAsia="es-ES"/>
              </w:rPr>
              <w:t>, Cultura y Deportes</w:t>
            </w:r>
            <w:r w:rsidR="00A304AB" w:rsidRPr="00B10DE7">
              <w:rPr>
                <w:rFonts w:eastAsia="Times New Roman"/>
                <w:sz w:val="18"/>
                <w:szCs w:val="18"/>
                <w:bdr w:val="none" w:sz="0" w:space="0" w:color="auto"/>
                <w:lang w:eastAsia="es-ES"/>
              </w:rPr>
              <w:t xml:space="preserve">: para el fomento de la </w:t>
            </w:r>
          </w:p>
          <w:p w14:paraId="349ADAB7" w14:textId="77777777" w:rsidR="00A304AB" w:rsidRPr="00B10DE7" w:rsidRDefault="00A304AB" w:rsidP="00312C0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B10DE7">
              <w:rPr>
                <w:rFonts w:eastAsia="Times New Roman"/>
                <w:sz w:val="18"/>
                <w:szCs w:val="18"/>
                <w:bdr w:val="none" w:sz="0" w:space="0" w:color="auto"/>
                <w:lang w:eastAsia="es-ES"/>
              </w:rPr>
              <w:t xml:space="preserve">conectividad </w:t>
            </w:r>
            <w:r w:rsidR="00E0430A" w:rsidRPr="00B10DE7">
              <w:rPr>
                <w:rFonts w:eastAsia="Times New Roman"/>
                <w:sz w:val="18"/>
                <w:szCs w:val="18"/>
                <w:bdr w:val="none" w:sz="0" w:space="0" w:color="auto"/>
                <w:lang w:eastAsia="es-ES"/>
              </w:rPr>
              <w:t>aérea de las islas Canarias</w:t>
            </w:r>
          </w:p>
        </w:tc>
        <w:tc>
          <w:tcPr>
            <w:tcW w:w="815" w:type="pct"/>
            <w:tcBorders>
              <w:top w:val="nil"/>
              <w:left w:val="nil"/>
              <w:bottom w:val="nil"/>
              <w:right w:val="nil"/>
            </w:tcBorders>
            <w:shd w:val="clear" w:color="auto" w:fill="auto"/>
            <w:vAlign w:val="center"/>
            <w:hideMark/>
          </w:tcPr>
          <w:p w14:paraId="33C57240" w14:textId="77777777" w:rsidR="00A304AB" w:rsidRPr="00A304AB" w:rsidRDefault="00A304AB" w:rsidP="00312C0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A304AB">
              <w:rPr>
                <w:rFonts w:eastAsia="Times New Roman"/>
                <w:sz w:val="18"/>
                <w:szCs w:val="18"/>
                <w:bdr w:val="none" w:sz="0" w:space="0" w:color="auto"/>
                <w:lang w:eastAsia="es-ES"/>
              </w:rPr>
              <w:t>250.000,00</w:t>
            </w:r>
          </w:p>
        </w:tc>
        <w:tc>
          <w:tcPr>
            <w:tcW w:w="815" w:type="pct"/>
            <w:tcBorders>
              <w:top w:val="nil"/>
              <w:left w:val="nil"/>
              <w:bottom w:val="nil"/>
              <w:right w:val="nil"/>
            </w:tcBorders>
            <w:shd w:val="clear" w:color="auto" w:fill="auto"/>
            <w:vAlign w:val="center"/>
            <w:hideMark/>
          </w:tcPr>
          <w:p w14:paraId="38BCDDF0" w14:textId="77777777" w:rsidR="00A304AB" w:rsidRPr="00A304AB" w:rsidRDefault="00A304AB" w:rsidP="00312C0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A304AB">
              <w:rPr>
                <w:rFonts w:eastAsia="Times New Roman"/>
                <w:sz w:val="18"/>
                <w:szCs w:val="18"/>
                <w:bdr w:val="none" w:sz="0" w:space="0" w:color="auto"/>
                <w:lang w:eastAsia="es-ES"/>
              </w:rPr>
              <w:t>250.000,00</w:t>
            </w:r>
          </w:p>
        </w:tc>
      </w:tr>
      <w:tr w:rsidR="00173DFA" w:rsidRPr="00A304AB" w14:paraId="144EA35D" w14:textId="77777777" w:rsidTr="00841182">
        <w:trPr>
          <w:trHeight w:val="425"/>
        </w:trPr>
        <w:tc>
          <w:tcPr>
            <w:tcW w:w="3370" w:type="pct"/>
            <w:tcBorders>
              <w:top w:val="nil"/>
              <w:left w:val="nil"/>
              <w:bottom w:val="nil"/>
              <w:right w:val="nil"/>
            </w:tcBorders>
            <w:shd w:val="clear" w:color="auto" w:fill="auto"/>
            <w:noWrap/>
            <w:vAlign w:val="center"/>
            <w:hideMark/>
          </w:tcPr>
          <w:p w14:paraId="177944C8" w14:textId="77777777" w:rsidR="00173DFA" w:rsidRPr="00B10DE7" w:rsidRDefault="00E0430A" w:rsidP="00312C0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B10DE7">
              <w:rPr>
                <w:rFonts w:eastAsia="Times New Roman"/>
                <w:sz w:val="18"/>
                <w:szCs w:val="18"/>
                <w:bdr w:val="none" w:sz="0" w:space="0" w:color="auto"/>
                <w:lang w:eastAsia="es-ES"/>
              </w:rPr>
              <w:t>Consejería de Turismo, Cultura y Deportes</w:t>
            </w:r>
            <w:r w:rsidR="00A304AB" w:rsidRPr="00B10DE7">
              <w:rPr>
                <w:rFonts w:eastAsia="Times New Roman"/>
                <w:sz w:val="18"/>
                <w:szCs w:val="18"/>
                <w:bdr w:val="none" w:sz="0" w:space="0" w:color="auto"/>
                <w:lang w:eastAsia="es-ES"/>
              </w:rPr>
              <w:t>: para</w:t>
            </w:r>
            <w:r w:rsidRPr="00B10DE7">
              <w:rPr>
                <w:rFonts w:eastAsia="Times New Roman"/>
                <w:sz w:val="18"/>
                <w:szCs w:val="18"/>
                <w:bdr w:val="none" w:sz="0" w:space="0" w:color="auto"/>
                <w:lang w:eastAsia="es-ES"/>
              </w:rPr>
              <w:t xml:space="preserve"> dinamización y</w:t>
            </w:r>
            <w:r w:rsidR="00A304AB" w:rsidRPr="00B10DE7">
              <w:rPr>
                <w:rFonts w:eastAsia="Times New Roman"/>
                <w:sz w:val="18"/>
                <w:szCs w:val="18"/>
                <w:bdr w:val="none" w:sz="0" w:space="0" w:color="auto"/>
                <w:lang w:eastAsia="es-ES"/>
              </w:rPr>
              <w:t xml:space="preserve"> </w:t>
            </w:r>
          </w:p>
          <w:p w14:paraId="225062C2" w14:textId="77777777" w:rsidR="00A304AB" w:rsidRPr="00B10DE7" w:rsidRDefault="00E0430A" w:rsidP="00312C0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B10DE7">
              <w:rPr>
                <w:rFonts w:eastAsia="Times New Roman"/>
                <w:sz w:val="18"/>
                <w:szCs w:val="18"/>
                <w:bdr w:val="none" w:sz="0" w:space="0" w:color="auto"/>
                <w:lang w:eastAsia="es-ES"/>
              </w:rPr>
              <w:t>promoción tur</w:t>
            </w:r>
            <w:r w:rsidR="00173DFA" w:rsidRPr="00B10DE7">
              <w:rPr>
                <w:rFonts w:eastAsia="Times New Roman"/>
                <w:sz w:val="18"/>
                <w:szCs w:val="18"/>
                <w:bdr w:val="none" w:sz="0" w:space="0" w:color="auto"/>
                <w:lang w:eastAsia="es-ES"/>
              </w:rPr>
              <w:t>ística de el Hierro</w:t>
            </w:r>
          </w:p>
        </w:tc>
        <w:tc>
          <w:tcPr>
            <w:tcW w:w="815" w:type="pct"/>
            <w:tcBorders>
              <w:top w:val="nil"/>
              <w:left w:val="nil"/>
              <w:bottom w:val="nil"/>
              <w:right w:val="nil"/>
            </w:tcBorders>
            <w:shd w:val="clear" w:color="auto" w:fill="auto"/>
            <w:vAlign w:val="center"/>
            <w:hideMark/>
          </w:tcPr>
          <w:p w14:paraId="00E96580" w14:textId="77777777" w:rsidR="00A304AB" w:rsidRPr="00A304AB" w:rsidRDefault="00A304AB" w:rsidP="00312C0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A304AB">
              <w:rPr>
                <w:rFonts w:eastAsia="Times New Roman"/>
                <w:sz w:val="18"/>
                <w:szCs w:val="18"/>
                <w:bdr w:val="none" w:sz="0" w:space="0" w:color="auto"/>
                <w:lang w:eastAsia="es-ES"/>
              </w:rPr>
              <w:t xml:space="preserve"> -</w:t>
            </w:r>
          </w:p>
        </w:tc>
        <w:tc>
          <w:tcPr>
            <w:tcW w:w="815" w:type="pct"/>
            <w:tcBorders>
              <w:top w:val="nil"/>
              <w:left w:val="nil"/>
              <w:bottom w:val="nil"/>
              <w:right w:val="nil"/>
            </w:tcBorders>
            <w:shd w:val="clear" w:color="auto" w:fill="auto"/>
            <w:vAlign w:val="center"/>
            <w:hideMark/>
          </w:tcPr>
          <w:p w14:paraId="14E79BBF" w14:textId="77777777" w:rsidR="00A304AB" w:rsidRPr="00A304AB" w:rsidRDefault="00A304AB" w:rsidP="00312C0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A304AB">
              <w:rPr>
                <w:rFonts w:eastAsia="Times New Roman"/>
                <w:sz w:val="18"/>
                <w:szCs w:val="18"/>
                <w:bdr w:val="none" w:sz="0" w:space="0" w:color="auto"/>
                <w:lang w:eastAsia="es-ES"/>
              </w:rPr>
              <w:t>900.000,00</w:t>
            </w:r>
          </w:p>
        </w:tc>
      </w:tr>
      <w:tr w:rsidR="00173DFA" w:rsidRPr="00A304AB" w14:paraId="2BAA77E9" w14:textId="77777777" w:rsidTr="00841182">
        <w:trPr>
          <w:trHeight w:val="425"/>
        </w:trPr>
        <w:tc>
          <w:tcPr>
            <w:tcW w:w="3370" w:type="pct"/>
            <w:tcBorders>
              <w:top w:val="nil"/>
              <w:left w:val="nil"/>
              <w:bottom w:val="nil"/>
              <w:right w:val="nil"/>
            </w:tcBorders>
            <w:shd w:val="clear" w:color="auto" w:fill="auto"/>
            <w:noWrap/>
            <w:vAlign w:val="center"/>
            <w:hideMark/>
          </w:tcPr>
          <w:p w14:paraId="27DDF5E0" w14:textId="77777777" w:rsidR="00841182" w:rsidRPr="00B10DE7" w:rsidRDefault="00173DFA" w:rsidP="0084118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B10DE7">
              <w:rPr>
                <w:rFonts w:eastAsia="Times New Roman"/>
                <w:sz w:val="18"/>
                <w:szCs w:val="18"/>
                <w:bdr w:val="none" w:sz="0" w:space="0" w:color="auto"/>
                <w:lang w:eastAsia="es-ES"/>
              </w:rPr>
              <w:t>Consejería de Turismo, Cultura y Deportes</w:t>
            </w:r>
            <w:r w:rsidR="00A304AB" w:rsidRPr="00B10DE7">
              <w:rPr>
                <w:rFonts w:eastAsia="Times New Roman"/>
                <w:sz w:val="18"/>
                <w:szCs w:val="18"/>
                <w:bdr w:val="none" w:sz="0" w:space="0" w:color="auto"/>
                <w:lang w:eastAsia="es-ES"/>
              </w:rPr>
              <w:t xml:space="preserve">: para </w:t>
            </w:r>
            <w:r w:rsidRPr="00B10DE7">
              <w:rPr>
                <w:rFonts w:eastAsia="Times New Roman"/>
                <w:sz w:val="18"/>
                <w:szCs w:val="18"/>
                <w:bdr w:val="none" w:sz="0" w:space="0" w:color="auto"/>
                <w:lang w:eastAsia="es-ES"/>
              </w:rPr>
              <w:t xml:space="preserve">el plan especial </w:t>
            </w:r>
            <w:r w:rsidR="00A304AB" w:rsidRPr="00B10DE7">
              <w:rPr>
                <w:rFonts w:eastAsia="Times New Roman"/>
                <w:sz w:val="18"/>
                <w:szCs w:val="18"/>
                <w:bdr w:val="none" w:sz="0" w:space="0" w:color="auto"/>
                <w:lang w:eastAsia="es-ES"/>
              </w:rPr>
              <w:t xml:space="preserve"> </w:t>
            </w:r>
          </w:p>
          <w:p w14:paraId="092E4E5C" w14:textId="77777777" w:rsidR="00A304AB" w:rsidRPr="00B10DE7" w:rsidRDefault="00173DFA" w:rsidP="0084118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B10DE7">
              <w:rPr>
                <w:rFonts w:eastAsia="Times New Roman"/>
                <w:sz w:val="18"/>
                <w:szCs w:val="18"/>
                <w:bdr w:val="none" w:sz="0" w:space="0" w:color="auto"/>
                <w:lang w:eastAsia="es-ES"/>
              </w:rPr>
              <w:t xml:space="preserve">de </w:t>
            </w:r>
            <w:r w:rsidR="00A304AB" w:rsidRPr="00B10DE7">
              <w:rPr>
                <w:rFonts w:eastAsia="Times New Roman"/>
                <w:sz w:val="18"/>
                <w:szCs w:val="18"/>
                <w:bdr w:val="none" w:sz="0" w:space="0" w:color="auto"/>
                <w:lang w:eastAsia="es-ES"/>
              </w:rPr>
              <w:t>promoción y marketing de El Hierro</w:t>
            </w:r>
          </w:p>
        </w:tc>
        <w:tc>
          <w:tcPr>
            <w:tcW w:w="815" w:type="pct"/>
            <w:tcBorders>
              <w:top w:val="nil"/>
              <w:left w:val="nil"/>
              <w:bottom w:val="nil"/>
              <w:right w:val="nil"/>
            </w:tcBorders>
            <w:shd w:val="clear" w:color="auto" w:fill="auto"/>
            <w:vAlign w:val="center"/>
            <w:hideMark/>
          </w:tcPr>
          <w:p w14:paraId="5080CF30" w14:textId="77777777" w:rsidR="00A304AB" w:rsidRPr="00A304AB" w:rsidRDefault="00A304AB" w:rsidP="00A304A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A304AB">
              <w:rPr>
                <w:rFonts w:eastAsia="Times New Roman"/>
                <w:sz w:val="18"/>
                <w:szCs w:val="18"/>
                <w:bdr w:val="none" w:sz="0" w:space="0" w:color="auto"/>
                <w:lang w:eastAsia="es-ES"/>
              </w:rPr>
              <w:t>300.000,00</w:t>
            </w:r>
          </w:p>
        </w:tc>
        <w:tc>
          <w:tcPr>
            <w:tcW w:w="815" w:type="pct"/>
            <w:tcBorders>
              <w:top w:val="nil"/>
              <w:left w:val="nil"/>
              <w:bottom w:val="nil"/>
              <w:right w:val="nil"/>
            </w:tcBorders>
            <w:shd w:val="clear" w:color="auto" w:fill="auto"/>
            <w:vAlign w:val="center"/>
            <w:hideMark/>
          </w:tcPr>
          <w:p w14:paraId="789949A0" w14:textId="77777777" w:rsidR="00A304AB" w:rsidRPr="00A304AB" w:rsidRDefault="00A304AB" w:rsidP="00A304A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A304AB">
              <w:rPr>
                <w:rFonts w:eastAsia="Times New Roman"/>
                <w:sz w:val="18"/>
                <w:szCs w:val="18"/>
                <w:bdr w:val="none" w:sz="0" w:space="0" w:color="auto"/>
                <w:lang w:eastAsia="es-ES"/>
              </w:rPr>
              <w:t xml:space="preserve"> -</w:t>
            </w:r>
          </w:p>
        </w:tc>
      </w:tr>
      <w:tr w:rsidR="00173DFA" w:rsidRPr="00A304AB" w14:paraId="5F4485FA" w14:textId="77777777" w:rsidTr="00841182">
        <w:trPr>
          <w:trHeight w:val="425"/>
        </w:trPr>
        <w:tc>
          <w:tcPr>
            <w:tcW w:w="3370" w:type="pct"/>
            <w:tcBorders>
              <w:top w:val="nil"/>
              <w:left w:val="nil"/>
              <w:bottom w:val="nil"/>
              <w:right w:val="nil"/>
            </w:tcBorders>
            <w:shd w:val="clear" w:color="auto" w:fill="auto"/>
            <w:noWrap/>
            <w:vAlign w:val="center"/>
            <w:hideMark/>
          </w:tcPr>
          <w:p w14:paraId="45C6F7FE" w14:textId="77777777" w:rsidR="00173DFA" w:rsidRPr="00B10DE7" w:rsidRDefault="00173DFA" w:rsidP="0084118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B10DE7">
              <w:rPr>
                <w:rFonts w:eastAsia="Times New Roman"/>
                <w:sz w:val="18"/>
                <w:szCs w:val="18"/>
                <w:bdr w:val="none" w:sz="0" w:space="0" w:color="auto"/>
                <w:lang w:eastAsia="es-ES"/>
              </w:rPr>
              <w:t>C</w:t>
            </w:r>
            <w:r w:rsidR="00A304AB" w:rsidRPr="00B10DE7">
              <w:rPr>
                <w:rFonts w:eastAsia="Times New Roman"/>
                <w:sz w:val="18"/>
                <w:szCs w:val="18"/>
                <w:bdr w:val="none" w:sz="0" w:space="0" w:color="auto"/>
                <w:lang w:eastAsia="es-ES"/>
              </w:rPr>
              <w:t>onsejería de Turismo</w:t>
            </w:r>
            <w:r w:rsidRPr="00B10DE7">
              <w:rPr>
                <w:rFonts w:eastAsia="Times New Roman"/>
                <w:sz w:val="18"/>
                <w:szCs w:val="18"/>
                <w:bdr w:val="none" w:sz="0" w:space="0" w:color="auto"/>
                <w:lang w:eastAsia="es-ES"/>
              </w:rPr>
              <w:t>, Cultura y Deportes</w:t>
            </w:r>
            <w:r w:rsidR="00A304AB" w:rsidRPr="00B10DE7">
              <w:rPr>
                <w:rFonts w:eastAsia="Times New Roman"/>
                <w:sz w:val="18"/>
                <w:szCs w:val="18"/>
                <w:bdr w:val="none" w:sz="0" w:space="0" w:color="auto"/>
                <w:lang w:eastAsia="es-ES"/>
              </w:rPr>
              <w:t xml:space="preserve">: para la promoción  </w:t>
            </w:r>
          </w:p>
          <w:p w14:paraId="7D2496A6" w14:textId="77777777" w:rsidR="00A304AB" w:rsidRPr="00B10DE7" w:rsidRDefault="00173DFA" w:rsidP="0084118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B10DE7">
              <w:rPr>
                <w:rFonts w:eastAsia="Times New Roman"/>
                <w:sz w:val="18"/>
                <w:szCs w:val="18"/>
                <w:bdr w:val="none" w:sz="0" w:space="0" w:color="auto"/>
                <w:lang w:eastAsia="es-ES"/>
              </w:rPr>
              <w:t>turística d</w:t>
            </w:r>
            <w:r w:rsidR="00A304AB" w:rsidRPr="00B10DE7">
              <w:rPr>
                <w:rFonts w:eastAsia="Times New Roman"/>
                <w:sz w:val="18"/>
                <w:szCs w:val="18"/>
                <w:bdr w:val="none" w:sz="0" w:space="0" w:color="auto"/>
                <w:lang w:eastAsia="es-ES"/>
              </w:rPr>
              <w:t>e</w:t>
            </w:r>
            <w:r w:rsidRPr="00B10DE7">
              <w:rPr>
                <w:rFonts w:eastAsia="Times New Roman"/>
                <w:sz w:val="18"/>
                <w:szCs w:val="18"/>
                <w:bdr w:val="none" w:sz="0" w:space="0" w:color="auto"/>
                <w:lang w:eastAsia="es-ES"/>
              </w:rPr>
              <w:t xml:space="preserve"> </w:t>
            </w:r>
            <w:r w:rsidR="00A304AB" w:rsidRPr="00B10DE7">
              <w:rPr>
                <w:rFonts w:eastAsia="Times New Roman"/>
                <w:sz w:val="18"/>
                <w:szCs w:val="18"/>
                <w:bdr w:val="none" w:sz="0" w:space="0" w:color="auto"/>
                <w:lang w:eastAsia="es-ES"/>
              </w:rPr>
              <w:t>l</w:t>
            </w:r>
            <w:r w:rsidRPr="00B10DE7">
              <w:rPr>
                <w:rFonts w:eastAsia="Times New Roman"/>
                <w:sz w:val="18"/>
                <w:szCs w:val="18"/>
                <w:bdr w:val="none" w:sz="0" w:space="0" w:color="auto"/>
                <w:lang w:eastAsia="es-ES"/>
              </w:rPr>
              <w:t>as artes y la cultura canaria</w:t>
            </w:r>
            <w:r w:rsidR="00A304AB" w:rsidRPr="00B10DE7">
              <w:rPr>
                <w:rFonts w:eastAsia="Times New Roman"/>
                <w:sz w:val="18"/>
                <w:szCs w:val="18"/>
                <w:bdr w:val="none" w:sz="0" w:space="0" w:color="auto"/>
                <w:lang w:eastAsia="es-ES"/>
              </w:rPr>
              <w:t xml:space="preserve"> </w:t>
            </w:r>
          </w:p>
        </w:tc>
        <w:tc>
          <w:tcPr>
            <w:tcW w:w="815" w:type="pct"/>
            <w:tcBorders>
              <w:top w:val="nil"/>
              <w:left w:val="nil"/>
              <w:bottom w:val="nil"/>
              <w:right w:val="nil"/>
            </w:tcBorders>
            <w:shd w:val="clear" w:color="auto" w:fill="auto"/>
            <w:vAlign w:val="center"/>
            <w:hideMark/>
          </w:tcPr>
          <w:p w14:paraId="7FB4542A" w14:textId="77777777" w:rsidR="00A304AB" w:rsidRPr="00A304AB" w:rsidRDefault="00A304AB" w:rsidP="00A304A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A304AB">
              <w:rPr>
                <w:rFonts w:eastAsia="Times New Roman"/>
                <w:sz w:val="18"/>
                <w:szCs w:val="18"/>
                <w:bdr w:val="none" w:sz="0" w:space="0" w:color="auto"/>
                <w:lang w:eastAsia="es-ES"/>
              </w:rPr>
              <w:t>400.000,00</w:t>
            </w:r>
          </w:p>
        </w:tc>
        <w:tc>
          <w:tcPr>
            <w:tcW w:w="815" w:type="pct"/>
            <w:tcBorders>
              <w:top w:val="nil"/>
              <w:left w:val="nil"/>
              <w:bottom w:val="nil"/>
              <w:right w:val="nil"/>
            </w:tcBorders>
            <w:shd w:val="clear" w:color="auto" w:fill="auto"/>
            <w:vAlign w:val="center"/>
            <w:hideMark/>
          </w:tcPr>
          <w:p w14:paraId="440DC4D2" w14:textId="77777777" w:rsidR="00A304AB" w:rsidRPr="00A304AB" w:rsidRDefault="00A304AB" w:rsidP="00A304A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A304AB">
              <w:rPr>
                <w:rFonts w:eastAsia="Times New Roman"/>
                <w:sz w:val="18"/>
                <w:szCs w:val="18"/>
                <w:bdr w:val="none" w:sz="0" w:space="0" w:color="auto"/>
                <w:lang w:eastAsia="es-ES"/>
              </w:rPr>
              <w:t xml:space="preserve"> -</w:t>
            </w:r>
          </w:p>
        </w:tc>
      </w:tr>
      <w:tr w:rsidR="00173DFA" w:rsidRPr="00A304AB" w14:paraId="5CEDD7BE" w14:textId="77777777" w:rsidTr="00841182">
        <w:trPr>
          <w:trHeight w:val="283"/>
        </w:trPr>
        <w:tc>
          <w:tcPr>
            <w:tcW w:w="3370" w:type="pct"/>
            <w:tcBorders>
              <w:top w:val="nil"/>
              <w:left w:val="nil"/>
              <w:bottom w:val="nil"/>
              <w:right w:val="nil"/>
            </w:tcBorders>
            <w:shd w:val="clear" w:color="auto" w:fill="auto"/>
            <w:noWrap/>
            <w:vAlign w:val="center"/>
            <w:hideMark/>
          </w:tcPr>
          <w:p w14:paraId="62D4B1EB" w14:textId="77777777" w:rsidR="00173DFA" w:rsidRPr="00B10DE7" w:rsidRDefault="00173DFA" w:rsidP="0084118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B10DE7">
              <w:rPr>
                <w:rFonts w:eastAsia="Times New Roman"/>
                <w:sz w:val="18"/>
                <w:szCs w:val="18"/>
                <w:bdr w:val="none" w:sz="0" w:space="0" w:color="auto"/>
                <w:lang w:eastAsia="es-ES"/>
              </w:rPr>
              <w:t>C</w:t>
            </w:r>
            <w:r w:rsidR="00A304AB" w:rsidRPr="00B10DE7">
              <w:rPr>
                <w:rFonts w:eastAsia="Times New Roman"/>
                <w:sz w:val="18"/>
                <w:szCs w:val="18"/>
                <w:bdr w:val="none" w:sz="0" w:space="0" w:color="auto"/>
                <w:lang w:eastAsia="es-ES"/>
              </w:rPr>
              <w:t>onsejería de Turismo</w:t>
            </w:r>
            <w:r w:rsidRPr="00B10DE7">
              <w:rPr>
                <w:rFonts w:eastAsia="Times New Roman"/>
                <w:sz w:val="18"/>
                <w:szCs w:val="18"/>
                <w:bdr w:val="none" w:sz="0" w:space="0" w:color="auto"/>
                <w:lang w:eastAsia="es-ES"/>
              </w:rPr>
              <w:t>, Cultura y Deportes</w:t>
            </w:r>
            <w:r w:rsidR="00A304AB" w:rsidRPr="00B10DE7">
              <w:rPr>
                <w:rFonts w:eastAsia="Times New Roman"/>
                <w:sz w:val="18"/>
                <w:szCs w:val="18"/>
                <w:bdr w:val="none" w:sz="0" w:space="0" w:color="auto"/>
                <w:lang w:eastAsia="es-ES"/>
              </w:rPr>
              <w:t xml:space="preserve">: para la promoción </w:t>
            </w:r>
            <w:r w:rsidRPr="00B10DE7">
              <w:rPr>
                <w:rFonts w:eastAsia="Times New Roman"/>
                <w:sz w:val="18"/>
                <w:szCs w:val="18"/>
                <w:bdr w:val="none" w:sz="0" w:space="0" w:color="auto"/>
                <w:lang w:eastAsia="es-ES"/>
              </w:rPr>
              <w:t xml:space="preserve">de </w:t>
            </w:r>
          </w:p>
          <w:p w14:paraId="14BA6601" w14:textId="77777777" w:rsidR="00A304AB" w:rsidRPr="00B10DE7" w:rsidRDefault="00173DFA" w:rsidP="0084118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B10DE7">
              <w:rPr>
                <w:rFonts w:eastAsia="Times New Roman"/>
                <w:sz w:val="18"/>
                <w:szCs w:val="18"/>
                <w:bdr w:val="none" w:sz="0" w:space="0" w:color="auto"/>
                <w:lang w:eastAsia="es-ES"/>
              </w:rPr>
              <w:t xml:space="preserve">la </w:t>
            </w:r>
            <w:r w:rsidR="00A304AB" w:rsidRPr="00B10DE7">
              <w:rPr>
                <w:rFonts w:eastAsia="Times New Roman"/>
                <w:sz w:val="18"/>
                <w:szCs w:val="18"/>
                <w:bdr w:val="none" w:sz="0" w:space="0" w:color="auto"/>
                <w:lang w:eastAsia="es-ES"/>
              </w:rPr>
              <w:t>gastron</w:t>
            </w:r>
            <w:r w:rsidRPr="00B10DE7">
              <w:rPr>
                <w:rFonts w:eastAsia="Times New Roman"/>
                <w:sz w:val="18"/>
                <w:szCs w:val="18"/>
                <w:bdr w:val="none" w:sz="0" w:space="0" w:color="auto"/>
                <w:lang w:eastAsia="es-ES"/>
              </w:rPr>
              <w:t>o</w:t>
            </w:r>
            <w:r w:rsidR="00A304AB" w:rsidRPr="00B10DE7">
              <w:rPr>
                <w:rFonts w:eastAsia="Times New Roman"/>
                <w:sz w:val="18"/>
                <w:szCs w:val="18"/>
                <w:bdr w:val="none" w:sz="0" w:space="0" w:color="auto"/>
                <w:lang w:eastAsia="es-ES"/>
              </w:rPr>
              <w:t>m</w:t>
            </w:r>
            <w:r w:rsidRPr="00B10DE7">
              <w:rPr>
                <w:rFonts w:eastAsia="Times New Roman"/>
                <w:sz w:val="18"/>
                <w:szCs w:val="18"/>
                <w:bdr w:val="none" w:sz="0" w:space="0" w:color="auto"/>
                <w:lang w:eastAsia="es-ES"/>
              </w:rPr>
              <w:t>ía de Canarias</w:t>
            </w:r>
          </w:p>
        </w:tc>
        <w:tc>
          <w:tcPr>
            <w:tcW w:w="815" w:type="pct"/>
            <w:tcBorders>
              <w:top w:val="nil"/>
              <w:left w:val="nil"/>
              <w:bottom w:val="nil"/>
              <w:right w:val="nil"/>
            </w:tcBorders>
            <w:shd w:val="clear" w:color="auto" w:fill="auto"/>
            <w:vAlign w:val="center"/>
            <w:hideMark/>
          </w:tcPr>
          <w:p w14:paraId="4DE801D7" w14:textId="77777777" w:rsidR="00A304AB" w:rsidRPr="00A304AB" w:rsidRDefault="00A304AB" w:rsidP="00A304A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A304AB">
              <w:rPr>
                <w:rFonts w:eastAsia="Times New Roman"/>
                <w:sz w:val="18"/>
                <w:szCs w:val="18"/>
                <w:bdr w:val="none" w:sz="0" w:space="0" w:color="auto"/>
                <w:lang w:eastAsia="es-ES"/>
              </w:rPr>
              <w:t>190.000,00</w:t>
            </w:r>
          </w:p>
        </w:tc>
        <w:tc>
          <w:tcPr>
            <w:tcW w:w="815" w:type="pct"/>
            <w:tcBorders>
              <w:top w:val="nil"/>
              <w:left w:val="nil"/>
              <w:bottom w:val="nil"/>
              <w:right w:val="nil"/>
            </w:tcBorders>
            <w:shd w:val="clear" w:color="auto" w:fill="auto"/>
            <w:vAlign w:val="center"/>
            <w:hideMark/>
          </w:tcPr>
          <w:p w14:paraId="589B67E6" w14:textId="77777777" w:rsidR="00A304AB" w:rsidRPr="00A304AB" w:rsidRDefault="00A304AB" w:rsidP="00A304A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A304AB">
              <w:rPr>
                <w:rFonts w:eastAsia="Times New Roman"/>
                <w:sz w:val="18"/>
                <w:szCs w:val="18"/>
                <w:bdr w:val="none" w:sz="0" w:space="0" w:color="auto"/>
                <w:lang w:eastAsia="es-ES"/>
              </w:rPr>
              <w:t xml:space="preserve"> -</w:t>
            </w:r>
          </w:p>
        </w:tc>
      </w:tr>
      <w:tr w:rsidR="00173DFA" w:rsidRPr="00A304AB" w14:paraId="4FAAD1D6" w14:textId="77777777" w:rsidTr="009B51EF">
        <w:trPr>
          <w:trHeight w:val="255"/>
        </w:trPr>
        <w:tc>
          <w:tcPr>
            <w:tcW w:w="3370" w:type="pct"/>
            <w:tcBorders>
              <w:top w:val="single" w:sz="4" w:space="0" w:color="auto"/>
              <w:left w:val="nil"/>
              <w:bottom w:val="single" w:sz="4" w:space="0" w:color="auto"/>
              <w:right w:val="nil"/>
            </w:tcBorders>
            <w:shd w:val="clear" w:color="auto" w:fill="auto"/>
            <w:noWrap/>
            <w:vAlign w:val="center"/>
            <w:hideMark/>
          </w:tcPr>
          <w:p w14:paraId="2B7A7129" w14:textId="77777777" w:rsidR="00A304AB" w:rsidRPr="00A304AB" w:rsidRDefault="00A304AB" w:rsidP="0084118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A304AB">
              <w:rPr>
                <w:rFonts w:eastAsia="Times New Roman"/>
                <w:b/>
                <w:bCs/>
                <w:sz w:val="18"/>
                <w:szCs w:val="18"/>
                <w:bdr w:val="none" w:sz="0" w:space="0" w:color="auto"/>
                <w:lang w:eastAsia="es-ES"/>
              </w:rPr>
              <w:t>Total</w:t>
            </w:r>
          </w:p>
        </w:tc>
        <w:tc>
          <w:tcPr>
            <w:tcW w:w="815" w:type="pct"/>
            <w:tcBorders>
              <w:top w:val="single" w:sz="4" w:space="0" w:color="auto"/>
              <w:left w:val="nil"/>
              <w:bottom w:val="single" w:sz="4" w:space="0" w:color="auto"/>
              <w:right w:val="nil"/>
            </w:tcBorders>
            <w:shd w:val="clear" w:color="auto" w:fill="auto"/>
            <w:noWrap/>
            <w:vAlign w:val="center"/>
            <w:hideMark/>
          </w:tcPr>
          <w:p w14:paraId="13540345" w14:textId="77777777" w:rsidR="00A304AB" w:rsidRPr="00A304AB" w:rsidRDefault="00A304AB" w:rsidP="00A304A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A304AB">
              <w:rPr>
                <w:rFonts w:eastAsia="Times New Roman"/>
                <w:b/>
                <w:bCs/>
                <w:sz w:val="18"/>
                <w:szCs w:val="18"/>
                <w:bdr w:val="none" w:sz="0" w:space="0" w:color="auto"/>
                <w:lang w:eastAsia="es-ES"/>
              </w:rPr>
              <w:t>19.047.361,00</w:t>
            </w:r>
          </w:p>
        </w:tc>
        <w:tc>
          <w:tcPr>
            <w:tcW w:w="815" w:type="pct"/>
            <w:tcBorders>
              <w:top w:val="single" w:sz="4" w:space="0" w:color="auto"/>
              <w:left w:val="nil"/>
              <w:bottom w:val="single" w:sz="4" w:space="0" w:color="auto"/>
              <w:right w:val="nil"/>
            </w:tcBorders>
            <w:shd w:val="clear" w:color="auto" w:fill="auto"/>
            <w:noWrap/>
            <w:vAlign w:val="center"/>
            <w:hideMark/>
          </w:tcPr>
          <w:p w14:paraId="190E2B96" w14:textId="77777777" w:rsidR="00A304AB" w:rsidRPr="00A304AB" w:rsidRDefault="00A304AB" w:rsidP="00A304A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A304AB">
              <w:rPr>
                <w:rFonts w:eastAsia="Times New Roman"/>
                <w:b/>
                <w:bCs/>
                <w:sz w:val="18"/>
                <w:szCs w:val="18"/>
                <w:bdr w:val="none" w:sz="0" w:space="0" w:color="auto"/>
                <w:lang w:eastAsia="es-ES"/>
              </w:rPr>
              <w:t>18.557.361,00</w:t>
            </w:r>
          </w:p>
        </w:tc>
      </w:tr>
    </w:tbl>
    <w:p w14:paraId="6740EF5B" w14:textId="77777777" w:rsidR="006220A2" w:rsidRDefault="006220A2" w:rsidP="006220A2">
      <w:pPr>
        <w:widowControl w:val="0"/>
        <w:spacing w:before="120"/>
        <w:jc w:val="both"/>
        <w:rPr>
          <w:sz w:val="20"/>
          <w:szCs w:val="22"/>
        </w:rPr>
      </w:pPr>
      <w:r w:rsidRPr="00196D62">
        <w:rPr>
          <w:sz w:val="20"/>
          <w:szCs w:val="22"/>
        </w:rPr>
        <w:t>Dichos importes han sido</w:t>
      </w:r>
      <w:r w:rsidR="00EF6EBF">
        <w:rPr>
          <w:sz w:val="20"/>
          <w:szCs w:val="22"/>
        </w:rPr>
        <w:t xml:space="preserve"> devengados en el ejercicio 2018</w:t>
      </w:r>
      <w:r w:rsidRPr="00196D62">
        <w:rPr>
          <w:sz w:val="20"/>
          <w:szCs w:val="22"/>
        </w:rPr>
        <w:t>, cumpliendo con las condiciones de las resoluciones de las transferencias concedidas para tal fin, y habiendo sido justifica</w:t>
      </w:r>
      <w:r w:rsidR="006D42A8">
        <w:rPr>
          <w:sz w:val="20"/>
          <w:szCs w:val="22"/>
        </w:rPr>
        <w:t>das en tiempo y forma, salvo la Subvención de la Consejería de Turismo, Cultura y Deporte para e</w:t>
      </w:r>
      <w:r w:rsidR="002109C5">
        <w:rPr>
          <w:sz w:val="20"/>
          <w:szCs w:val="22"/>
        </w:rPr>
        <w:t xml:space="preserve">l desarrollo de la actividad </w:t>
      </w:r>
      <w:r w:rsidR="006D42A8">
        <w:rPr>
          <w:sz w:val="20"/>
          <w:szCs w:val="22"/>
        </w:rPr>
        <w:t>promociona</w:t>
      </w:r>
      <w:r w:rsidR="002109C5">
        <w:rPr>
          <w:sz w:val="20"/>
          <w:szCs w:val="22"/>
        </w:rPr>
        <w:t>l</w:t>
      </w:r>
      <w:r w:rsidR="00652FA1">
        <w:rPr>
          <w:sz w:val="20"/>
          <w:szCs w:val="22"/>
        </w:rPr>
        <w:t xml:space="preserve"> NO FEDER</w:t>
      </w:r>
      <w:r w:rsidRPr="00196D62">
        <w:rPr>
          <w:sz w:val="20"/>
          <w:szCs w:val="22"/>
        </w:rPr>
        <w:t xml:space="preserve"> que con</w:t>
      </w:r>
      <w:r w:rsidR="00652FA1">
        <w:rPr>
          <w:sz w:val="20"/>
          <w:szCs w:val="22"/>
        </w:rPr>
        <w:t>lleva un reintegro de 9.709,58</w:t>
      </w:r>
      <w:r w:rsidRPr="00196D62">
        <w:rPr>
          <w:sz w:val="20"/>
          <w:szCs w:val="22"/>
        </w:rPr>
        <w:t xml:space="preserve"> euros</w:t>
      </w:r>
      <w:r w:rsidR="006D42A8">
        <w:rPr>
          <w:sz w:val="20"/>
          <w:szCs w:val="22"/>
        </w:rPr>
        <w:t xml:space="preserve"> (365.033,24 euros en el ejercicio 2017) y la Subvención para la promoción turística </w:t>
      </w:r>
      <w:r w:rsidR="006D42A8" w:rsidRPr="00B10DE7">
        <w:rPr>
          <w:sz w:val="20"/>
          <w:szCs w:val="22"/>
        </w:rPr>
        <w:t>de</w:t>
      </w:r>
      <w:r w:rsidR="00173DFA" w:rsidRPr="00B10DE7">
        <w:rPr>
          <w:sz w:val="20"/>
          <w:szCs w:val="22"/>
        </w:rPr>
        <w:t xml:space="preserve"> </w:t>
      </w:r>
      <w:r w:rsidR="006D42A8" w:rsidRPr="00B10DE7">
        <w:rPr>
          <w:sz w:val="20"/>
          <w:szCs w:val="22"/>
        </w:rPr>
        <w:t>l</w:t>
      </w:r>
      <w:r w:rsidR="00173DFA" w:rsidRPr="00B10DE7">
        <w:rPr>
          <w:sz w:val="20"/>
          <w:szCs w:val="22"/>
        </w:rPr>
        <w:t>as</w:t>
      </w:r>
      <w:r w:rsidR="006D42A8" w:rsidRPr="00B10DE7">
        <w:rPr>
          <w:sz w:val="20"/>
          <w:szCs w:val="22"/>
        </w:rPr>
        <w:t xml:space="preserve"> arte</w:t>
      </w:r>
      <w:r w:rsidR="00173DFA" w:rsidRPr="00B10DE7">
        <w:rPr>
          <w:sz w:val="20"/>
          <w:szCs w:val="22"/>
        </w:rPr>
        <w:t>s</w:t>
      </w:r>
      <w:r w:rsidR="006D42A8" w:rsidRPr="00B10DE7">
        <w:rPr>
          <w:sz w:val="20"/>
          <w:szCs w:val="22"/>
        </w:rPr>
        <w:t xml:space="preserve"> y</w:t>
      </w:r>
      <w:r w:rsidR="006D42A8">
        <w:rPr>
          <w:sz w:val="20"/>
          <w:szCs w:val="22"/>
        </w:rPr>
        <w:t xml:space="preserve"> la cultura canaria que conlleva un reintegro de 19.692,96 euros</w:t>
      </w:r>
      <w:r w:rsidRPr="00196D62">
        <w:rPr>
          <w:sz w:val="20"/>
          <w:szCs w:val="22"/>
        </w:rPr>
        <w:t>, puesto que</w:t>
      </w:r>
      <w:r w:rsidR="00652FA1">
        <w:rPr>
          <w:sz w:val="20"/>
          <w:szCs w:val="22"/>
        </w:rPr>
        <w:t xml:space="preserve"> el gasto fue menor al esperado.</w:t>
      </w:r>
    </w:p>
    <w:p w14:paraId="412B767C" w14:textId="77777777" w:rsidR="006220A2" w:rsidRDefault="006220A2" w:rsidP="006220A2">
      <w:pPr>
        <w:rPr>
          <w:sz w:val="20"/>
          <w:szCs w:val="22"/>
        </w:rPr>
      </w:pPr>
    </w:p>
    <w:p w14:paraId="3B6D59A0" w14:textId="77777777" w:rsidR="002109C5" w:rsidRPr="0096749B" w:rsidRDefault="002109C5" w:rsidP="006220A2">
      <w:pPr>
        <w:rPr>
          <w:sz w:val="20"/>
          <w:szCs w:val="22"/>
        </w:rPr>
      </w:pPr>
    </w:p>
    <w:p w14:paraId="6D141C26" w14:textId="77777777" w:rsidR="006220A2" w:rsidRPr="00070E05" w:rsidRDefault="006220A2" w:rsidP="006220A2">
      <w:pPr>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lear" w:pos="644"/>
        </w:tabs>
        <w:ind w:left="284" w:hanging="284"/>
        <w:outlineLvl w:val="9"/>
        <w:rPr>
          <w:b/>
          <w:snapToGrid w:val="0"/>
          <w:sz w:val="22"/>
          <w:szCs w:val="22"/>
        </w:rPr>
      </w:pPr>
      <w:r>
        <w:rPr>
          <w:b/>
          <w:snapToGrid w:val="0"/>
          <w:sz w:val="22"/>
          <w:szCs w:val="22"/>
        </w:rPr>
        <w:t xml:space="preserve"> </w:t>
      </w:r>
      <w:r w:rsidRPr="00070E05">
        <w:rPr>
          <w:b/>
          <w:snapToGrid w:val="0"/>
          <w:sz w:val="22"/>
          <w:szCs w:val="22"/>
        </w:rPr>
        <w:t>Hechos posteriores al cierre</w:t>
      </w:r>
    </w:p>
    <w:p w14:paraId="3788D385" w14:textId="77777777" w:rsidR="006220A2" w:rsidRDefault="006220A2" w:rsidP="006220A2">
      <w:pPr>
        <w:widowControl w:val="0"/>
        <w:tabs>
          <w:tab w:val="left" w:pos="567"/>
          <w:tab w:val="left" w:pos="1134"/>
          <w:tab w:val="left" w:pos="1587"/>
        </w:tabs>
        <w:spacing w:before="120"/>
        <w:jc w:val="both"/>
        <w:rPr>
          <w:sz w:val="20"/>
          <w:szCs w:val="22"/>
        </w:rPr>
      </w:pPr>
      <w:r w:rsidRPr="00196D62">
        <w:rPr>
          <w:sz w:val="20"/>
          <w:szCs w:val="22"/>
        </w:rPr>
        <w:t>Desde la fecha de cierre del ejercicio hasta la formulación de las presentes cuentas anuales no se han producido acontecimientos significativos que no hayan sido recogidos en las cuentas anuales.</w:t>
      </w:r>
    </w:p>
    <w:p w14:paraId="17275695" w14:textId="77777777" w:rsidR="006220A2" w:rsidRDefault="006220A2" w:rsidP="006220A2">
      <w:pPr>
        <w:rPr>
          <w:sz w:val="20"/>
        </w:rPr>
      </w:pPr>
    </w:p>
    <w:p w14:paraId="5B314D9F" w14:textId="77777777" w:rsidR="002109C5" w:rsidRPr="002B4DB3" w:rsidRDefault="002109C5" w:rsidP="006220A2">
      <w:pPr>
        <w:rPr>
          <w:sz w:val="20"/>
        </w:rPr>
      </w:pPr>
    </w:p>
    <w:p w14:paraId="0D7BAF25" w14:textId="77777777" w:rsidR="006220A2" w:rsidRPr="00070E05" w:rsidRDefault="006220A2" w:rsidP="006220A2">
      <w:pPr>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lear" w:pos="644"/>
        </w:tabs>
        <w:ind w:left="284" w:hanging="284"/>
        <w:outlineLvl w:val="9"/>
        <w:rPr>
          <w:b/>
          <w:snapToGrid w:val="0"/>
          <w:sz w:val="22"/>
          <w:szCs w:val="22"/>
        </w:rPr>
      </w:pPr>
      <w:r>
        <w:rPr>
          <w:b/>
          <w:snapToGrid w:val="0"/>
          <w:sz w:val="22"/>
          <w:szCs w:val="22"/>
        </w:rPr>
        <w:t xml:space="preserve"> </w:t>
      </w:r>
      <w:r w:rsidRPr="00070E05">
        <w:rPr>
          <w:b/>
          <w:snapToGrid w:val="0"/>
          <w:sz w:val="22"/>
          <w:szCs w:val="22"/>
        </w:rPr>
        <w:t>Operaciones con partes vinculadas</w:t>
      </w:r>
    </w:p>
    <w:p w14:paraId="5CFAE4DF" w14:textId="77777777" w:rsidR="006220A2" w:rsidRPr="0096749B" w:rsidRDefault="006220A2" w:rsidP="006220A2">
      <w:pPr>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84"/>
        </w:tabs>
        <w:spacing w:before="200"/>
        <w:ind w:left="0" w:firstLine="0"/>
        <w:outlineLvl w:val="9"/>
        <w:rPr>
          <w:sz w:val="20"/>
          <w:szCs w:val="22"/>
          <w:u w:val="single"/>
        </w:rPr>
      </w:pPr>
      <w:r w:rsidRPr="002C6E6C">
        <w:rPr>
          <w:sz w:val="20"/>
          <w:szCs w:val="22"/>
          <w:u w:val="single"/>
        </w:rPr>
        <w:t>Transacciones con la Consejería de Turismo, Cultura y Deportes del Gobierno</w:t>
      </w:r>
      <w:r w:rsidRPr="0096749B">
        <w:rPr>
          <w:sz w:val="20"/>
          <w:szCs w:val="22"/>
          <w:u w:val="single"/>
        </w:rPr>
        <w:t xml:space="preserve"> de Canarias</w:t>
      </w:r>
    </w:p>
    <w:p w14:paraId="202B3553" w14:textId="77777777" w:rsidR="006220A2" w:rsidRPr="0096749B" w:rsidRDefault="006220A2" w:rsidP="006220A2">
      <w:pPr>
        <w:widowControl w:val="0"/>
        <w:tabs>
          <w:tab w:val="left" w:pos="567"/>
          <w:tab w:val="left" w:pos="1134"/>
          <w:tab w:val="left" w:pos="1587"/>
        </w:tabs>
        <w:spacing w:before="120" w:after="120"/>
        <w:jc w:val="both"/>
        <w:rPr>
          <w:szCs w:val="22"/>
        </w:rPr>
      </w:pPr>
      <w:r w:rsidRPr="0096749B">
        <w:rPr>
          <w:sz w:val="20"/>
          <w:szCs w:val="22"/>
        </w:rPr>
        <w:t>Se han recibido</w:t>
      </w:r>
      <w:r w:rsidR="00F62799">
        <w:rPr>
          <w:sz w:val="20"/>
          <w:szCs w:val="22"/>
        </w:rPr>
        <w:t xml:space="preserve"> en el ejercicio 2018 y 201</w:t>
      </w:r>
      <w:r w:rsidR="00FE44A7">
        <w:rPr>
          <w:sz w:val="20"/>
          <w:szCs w:val="22"/>
        </w:rPr>
        <w:t>7</w:t>
      </w:r>
      <w:r w:rsidRPr="002C6E6C">
        <w:rPr>
          <w:sz w:val="20"/>
          <w:szCs w:val="22"/>
        </w:rPr>
        <w:t xml:space="preserve"> los siguientes importes por parte de la Consejería de Turismo, Cultura y Deportes del</w:t>
      </w:r>
      <w:r w:rsidRPr="0096749B">
        <w:rPr>
          <w:sz w:val="20"/>
          <w:szCs w:val="22"/>
        </w:rPr>
        <w:t xml:space="preserve"> Gobierno de Canarias</w:t>
      </w:r>
      <w:r>
        <w:rPr>
          <w:sz w:val="20"/>
          <w:szCs w:val="22"/>
        </w:rPr>
        <w:t>:</w:t>
      </w:r>
    </w:p>
    <w:tbl>
      <w:tblPr>
        <w:tblW w:w="6804" w:type="dxa"/>
        <w:jc w:val="center"/>
        <w:tblCellMar>
          <w:left w:w="70" w:type="dxa"/>
          <w:right w:w="70" w:type="dxa"/>
        </w:tblCellMar>
        <w:tblLook w:val="04A0" w:firstRow="1" w:lastRow="0" w:firstColumn="1" w:lastColumn="0" w:noHBand="0" w:noVBand="1"/>
      </w:tblPr>
      <w:tblGrid>
        <w:gridCol w:w="3580"/>
        <w:gridCol w:w="1653"/>
        <w:gridCol w:w="1571"/>
      </w:tblGrid>
      <w:tr w:rsidR="006220A2" w:rsidRPr="0096749B" w14:paraId="3B6414E9" w14:textId="77777777" w:rsidTr="00852114">
        <w:trPr>
          <w:trHeight w:val="227"/>
          <w:jc w:val="center"/>
        </w:trPr>
        <w:tc>
          <w:tcPr>
            <w:tcW w:w="3580" w:type="dxa"/>
            <w:tcBorders>
              <w:top w:val="single" w:sz="4" w:space="0" w:color="auto"/>
              <w:left w:val="nil"/>
              <w:bottom w:val="nil"/>
              <w:right w:val="nil"/>
            </w:tcBorders>
            <w:shd w:val="clear" w:color="auto" w:fill="auto"/>
            <w:vAlign w:val="bottom"/>
            <w:hideMark/>
          </w:tcPr>
          <w:p w14:paraId="34A983B9" w14:textId="77777777" w:rsidR="006220A2" w:rsidRPr="0096749B" w:rsidRDefault="006220A2" w:rsidP="00852114">
            <w:pPr>
              <w:jc w:val="center"/>
              <w:rPr>
                <w:rFonts w:ascii="Times New Roman" w:eastAsia="Times New Roman" w:hAnsi="Times New Roman"/>
                <w:sz w:val="20"/>
              </w:rPr>
            </w:pPr>
          </w:p>
        </w:tc>
        <w:tc>
          <w:tcPr>
            <w:tcW w:w="3224" w:type="dxa"/>
            <w:gridSpan w:val="2"/>
            <w:tcBorders>
              <w:top w:val="single" w:sz="4" w:space="0" w:color="auto"/>
              <w:left w:val="nil"/>
              <w:bottom w:val="single" w:sz="4" w:space="0" w:color="auto"/>
              <w:right w:val="nil"/>
            </w:tcBorders>
            <w:shd w:val="clear" w:color="auto" w:fill="auto"/>
            <w:vAlign w:val="bottom"/>
            <w:hideMark/>
          </w:tcPr>
          <w:p w14:paraId="662F307D" w14:textId="77777777" w:rsidR="006220A2" w:rsidRPr="0096749B" w:rsidRDefault="006220A2" w:rsidP="00852114">
            <w:pPr>
              <w:jc w:val="center"/>
              <w:rPr>
                <w:rFonts w:eastAsia="Times New Roman"/>
                <w:b/>
                <w:bCs/>
                <w:sz w:val="18"/>
                <w:szCs w:val="18"/>
              </w:rPr>
            </w:pPr>
            <w:r w:rsidRPr="0096749B">
              <w:rPr>
                <w:rFonts w:eastAsia="Times New Roman"/>
                <w:b/>
                <w:bCs/>
                <w:sz w:val="18"/>
                <w:szCs w:val="18"/>
              </w:rPr>
              <w:t>Euros</w:t>
            </w:r>
          </w:p>
        </w:tc>
      </w:tr>
      <w:tr w:rsidR="006220A2" w:rsidRPr="0096749B" w14:paraId="0C692C13" w14:textId="77777777" w:rsidTr="00852114">
        <w:trPr>
          <w:trHeight w:val="227"/>
          <w:jc w:val="center"/>
        </w:trPr>
        <w:tc>
          <w:tcPr>
            <w:tcW w:w="3580" w:type="dxa"/>
            <w:tcBorders>
              <w:top w:val="nil"/>
              <w:left w:val="nil"/>
              <w:bottom w:val="single" w:sz="4" w:space="0" w:color="auto"/>
              <w:right w:val="nil"/>
            </w:tcBorders>
            <w:shd w:val="clear" w:color="auto" w:fill="auto"/>
            <w:vAlign w:val="bottom"/>
            <w:hideMark/>
          </w:tcPr>
          <w:p w14:paraId="0982FEE5" w14:textId="77777777" w:rsidR="006220A2" w:rsidRPr="0096749B" w:rsidRDefault="006220A2" w:rsidP="00852114">
            <w:pPr>
              <w:jc w:val="center"/>
              <w:rPr>
                <w:rFonts w:eastAsia="Times New Roman" w:cs="Times"/>
                <w:sz w:val="20"/>
              </w:rPr>
            </w:pPr>
          </w:p>
        </w:tc>
        <w:tc>
          <w:tcPr>
            <w:tcW w:w="1653" w:type="dxa"/>
            <w:tcBorders>
              <w:top w:val="nil"/>
              <w:left w:val="nil"/>
              <w:bottom w:val="single" w:sz="4" w:space="0" w:color="auto"/>
              <w:right w:val="nil"/>
            </w:tcBorders>
            <w:shd w:val="clear" w:color="auto" w:fill="auto"/>
            <w:vAlign w:val="bottom"/>
            <w:hideMark/>
          </w:tcPr>
          <w:p w14:paraId="01795F47" w14:textId="77777777" w:rsidR="006220A2" w:rsidRPr="0096749B" w:rsidRDefault="00575E57" w:rsidP="00852114">
            <w:pPr>
              <w:jc w:val="center"/>
              <w:rPr>
                <w:rFonts w:eastAsia="Times New Roman"/>
                <w:b/>
                <w:bCs/>
                <w:sz w:val="18"/>
                <w:szCs w:val="18"/>
              </w:rPr>
            </w:pPr>
            <w:r>
              <w:rPr>
                <w:rFonts w:eastAsia="Times New Roman"/>
                <w:b/>
                <w:bCs/>
                <w:sz w:val="18"/>
                <w:szCs w:val="18"/>
              </w:rPr>
              <w:t>2018</w:t>
            </w:r>
          </w:p>
        </w:tc>
        <w:tc>
          <w:tcPr>
            <w:tcW w:w="1571" w:type="dxa"/>
            <w:tcBorders>
              <w:top w:val="nil"/>
              <w:left w:val="nil"/>
              <w:bottom w:val="single" w:sz="4" w:space="0" w:color="auto"/>
              <w:right w:val="nil"/>
            </w:tcBorders>
            <w:shd w:val="clear" w:color="auto" w:fill="auto"/>
            <w:vAlign w:val="bottom"/>
            <w:hideMark/>
          </w:tcPr>
          <w:p w14:paraId="2848D03B" w14:textId="77777777" w:rsidR="006220A2" w:rsidRPr="0096749B" w:rsidRDefault="00575E57" w:rsidP="00852114">
            <w:pPr>
              <w:jc w:val="center"/>
              <w:rPr>
                <w:rFonts w:eastAsia="Times New Roman"/>
                <w:b/>
                <w:bCs/>
                <w:sz w:val="18"/>
                <w:szCs w:val="18"/>
              </w:rPr>
            </w:pPr>
            <w:r>
              <w:rPr>
                <w:rFonts w:eastAsia="Times New Roman"/>
                <w:b/>
                <w:bCs/>
                <w:sz w:val="18"/>
                <w:szCs w:val="18"/>
              </w:rPr>
              <w:t>2017</w:t>
            </w:r>
          </w:p>
        </w:tc>
      </w:tr>
      <w:tr w:rsidR="00575E57" w:rsidRPr="0096749B" w14:paraId="5DB854C2" w14:textId="77777777" w:rsidTr="00575E57">
        <w:trPr>
          <w:trHeight w:val="255"/>
          <w:jc w:val="center"/>
        </w:trPr>
        <w:tc>
          <w:tcPr>
            <w:tcW w:w="3580" w:type="dxa"/>
            <w:tcBorders>
              <w:top w:val="nil"/>
              <w:left w:val="nil"/>
              <w:bottom w:val="nil"/>
              <w:right w:val="nil"/>
            </w:tcBorders>
            <w:shd w:val="clear" w:color="auto" w:fill="auto"/>
            <w:vAlign w:val="center"/>
            <w:hideMark/>
          </w:tcPr>
          <w:p w14:paraId="39CC7C34" w14:textId="77777777" w:rsidR="00575E57" w:rsidRPr="0096749B" w:rsidRDefault="00575E57" w:rsidP="00575E57">
            <w:pPr>
              <w:jc w:val="both"/>
              <w:rPr>
                <w:rFonts w:eastAsia="Times New Roman"/>
                <w:sz w:val="18"/>
                <w:szCs w:val="18"/>
              </w:rPr>
            </w:pPr>
            <w:r w:rsidRPr="0096749B">
              <w:rPr>
                <w:rFonts w:eastAsia="Times New Roman"/>
                <w:sz w:val="18"/>
                <w:szCs w:val="18"/>
              </w:rPr>
              <w:t>Encomienda</w:t>
            </w:r>
            <w:r>
              <w:rPr>
                <w:rFonts w:eastAsia="Times New Roman"/>
                <w:sz w:val="18"/>
                <w:szCs w:val="18"/>
              </w:rPr>
              <w:t>s</w:t>
            </w:r>
          </w:p>
        </w:tc>
        <w:tc>
          <w:tcPr>
            <w:tcW w:w="1653" w:type="dxa"/>
            <w:tcBorders>
              <w:top w:val="nil"/>
              <w:left w:val="nil"/>
              <w:bottom w:val="nil"/>
              <w:right w:val="nil"/>
            </w:tcBorders>
            <w:shd w:val="clear" w:color="auto" w:fill="auto"/>
            <w:vAlign w:val="center"/>
          </w:tcPr>
          <w:p w14:paraId="74C5A7EC" w14:textId="77777777" w:rsidR="00575E57" w:rsidRDefault="00575E57" w:rsidP="00575E57">
            <w:pPr>
              <w:jc w:val="right"/>
              <w:rPr>
                <w:sz w:val="18"/>
                <w:szCs w:val="18"/>
              </w:rPr>
            </w:pPr>
            <w:r>
              <w:rPr>
                <w:sz w:val="18"/>
                <w:szCs w:val="18"/>
              </w:rPr>
              <w:t>90.434,00</w:t>
            </w:r>
          </w:p>
        </w:tc>
        <w:tc>
          <w:tcPr>
            <w:tcW w:w="1571" w:type="dxa"/>
            <w:tcBorders>
              <w:top w:val="nil"/>
              <w:left w:val="nil"/>
              <w:bottom w:val="nil"/>
              <w:right w:val="nil"/>
            </w:tcBorders>
            <w:shd w:val="clear" w:color="auto" w:fill="auto"/>
            <w:vAlign w:val="center"/>
          </w:tcPr>
          <w:p w14:paraId="5DC806C3" w14:textId="77777777" w:rsidR="00575E57" w:rsidRDefault="00575E57" w:rsidP="00575E57">
            <w:pPr>
              <w:jc w:val="right"/>
              <w:rPr>
                <w:sz w:val="18"/>
                <w:szCs w:val="18"/>
              </w:rPr>
            </w:pPr>
            <w:r>
              <w:rPr>
                <w:sz w:val="18"/>
                <w:szCs w:val="18"/>
              </w:rPr>
              <w:t>52.934,00</w:t>
            </w:r>
          </w:p>
        </w:tc>
      </w:tr>
      <w:tr w:rsidR="00575E57" w:rsidRPr="0096749B" w14:paraId="72E895A4" w14:textId="77777777" w:rsidTr="00575E57">
        <w:trPr>
          <w:trHeight w:val="255"/>
          <w:jc w:val="center"/>
        </w:trPr>
        <w:tc>
          <w:tcPr>
            <w:tcW w:w="3580" w:type="dxa"/>
            <w:tcBorders>
              <w:top w:val="nil"/>
              <w:left w:val="nil"/>
              <w:bottom w:val="nil"/>
              <w:right w:val="nil"/>
            </w:tcBorders>
            <w:shd w:val="clear" w:color="auto" w:fill="auto"/>
            <w:vAlign w:val="center"/>
            <w:hideMark/>
          </w:tcPr>
          <w:p w14:paraId="0398823A" w14:textId="77777777" w:rsidR="00575E57" w:rsidRPr="0096749B" w:rsidRDefault="00575E57" w:rsidP="00575E57">
            <w:pPr>
              <w:jc w:val="both"/>
              <w:rPr>
                <w:rFonts w:eastAsia="Times New Roman"/>
                <w:sz w:val="18"/>
                <w:szCs w:val="18"/>
              </w:rPr>
            </w:pPr>
            <w:r w:rsidRPr="0096749B">
              <w:rPr>
                <w:rFonts w:eastAsia="Times New Roman"/>
                <w:sz w:val="18"/>
                <w:szCs w:val="18"/>
              </w:rPr>
              <w:t>Subvenciones</w:t>
            </w:r>
          </w:p>
        </w:tc>
        <w:tc>
          <w:tcPr>
            <w:tcW w:w="1653" w:type="dxa"/>
            <w:tcBorders>
              <w:top w:val="nil"/>
              <w:left w:val="nil"/>
              <w:bottom w:val="nil"/>
              <w:right w:val="nil"/>
            </w:tcBorders>
            <w:shd w:val="clear" w:color="auto" w:fill="auto"/>
            <w:vAlign w:val="center"/>
          </w:tcPr>
          <w:p w14:paraId="0CC8A631" w14:textId="77777777" w:rsidR="00575E57" w:rsidRDefault="00575E57" w:rsidP="00575E57">
            <w:pPr>
              <w:jc w:val="right"/>
              <w:rPr>
                <w:sz w:val="18"/>
                <w:szCs w:val="18"/>
              </w:rPr>
            </w:pPr>
            <w:r>
              <w:rPr>
                <w:sz w:val="18"/>
                <w:szCs w:val="18"/>
              </w:rPr>
              <w:t>19.017.958,46</w:t>
            </w:r>
          </w:p>
        </w:tc>
        <w:tc>
          <w:tcPr>
            <w:tcW w:w="1571" w:type="dxa"/>
            <w:tcBorders>
              <w:top w:val="nil"/>
              <w:left w:val="nil"/>
              <w:bottom w:val="nil"/>
              <w:right w:val="nil"/>
            </w:tcBorders>
            <w:shd w:val="clear" w:color="auto" w:fill="auto"/>
            <w:vAlign w:val="center"/>
          </w:tcPr>
          <w:p w14:paraId="089C6558" w14:textId="77777777" w:rsidR="00575E57" w:rsidRDefault="00575E57" w:rsidP="00575E57">
            <w:pPr>
              <w:jc w:val="right"/>
              <w:rPr>
                <w:sz w:val="18"/>
                <w:szCs w:val="18"/>
              </w:rPr>
            </w:pPr>
            <w:r>
              <w:rPr>
                <w:sz w:val="18"/>
                <w:szCs w:val="18"/>
              </w:rPr>
              <w:t>18.192.327,76</w:t>
            </w:r>
          </w:p>
        </w:tc>
      </w:tr>
      <w:tr w:rsidR="00575E57" w:rsidRPr="0096749B" w14:paraId="41C9A774" w14:textId="77777777" w:rsidTr="00575E57">
        <w:trPr>
          <w:trHeight w:val="255"/>
          <w:jc w:val="center"/>
        </w:trPr>
        <w:tc>
          <w:tcPr>
            <w:tcW w:w="3580" w:type="dxa"/>
            <w:tcBorders>
              <w:top w:val="nil"/>
              <w:left w:val="nil"/>
              <w:bottom w:val="single" w:sz="4" w:space="0" w:color="auto"/>
              <w:right w:val="nil"/>
            </w:tcBorders>
            <w:shd w:val="clear" w:color="auto" w:fill="auto"/>
            <w:vAlign w:val="center"/>
            <w:hideMark/>
          </w:tcPr>
          <w:p w14:paraId="5FC1A904" w14:textId="77777777" w:rsidR="00575E57" w:rsidRPr="0096749B" w:rsidRDefault="00575E57" w:rsidP="00575E57">
            <w:pPr>
              <w:jc w:val="both"/>
              <w:rPr>
                <w:rFonts w:eastAsia="Times New Roman"/>
                <w:sz w:val="18"/>
                <w:szCs w:val="18"/>
              </w:rPr>
            </w:pPr>
            <w:r w:rsidRPr="0096749B">
              <w:rPr>
                <w:rFonts w:eastAsia="Times New Roman"/>
                <w:sz w:val="18"/>
                <w:szCs w:val="18"/>
              </w:rPr>
              <w:t>Aportaciones de socios</w:t>
            </w:r>
          </w:p>
        </w:tc>
        <w:tc>
          <w:tcPr>
            <w:tcW w:w="1653" w:type="dxa"/>
            <w:tcBorders>
              <w:top w:val="nil"/>
              <w:left w:val="nil"/>
              <w:bottom w:val="single" w:sz="4" w:space="0" w:color="auto"/>
              <w:right w:val="nil"/>
            </w:tcBorders>
            <w:shd w:val="clear" w:color="auto" w:fill="auto"/>
            <w:vAlign w:val="center"/>
          </w:tcPr>
          <w:p w14:paraId="237DE2C9" w14:textId="77777777" w:rsidR="00575E57" w:rsidRDefault="00575E57" w:rsidP="00575E57">
            <w:pPr>
              <w:jc w:val="right"/>
              <w:rPr>
                <w:sz w:val="18"/>
                <w:szCs w:val="18"/>
              </w:rPr>
            </w:pPr>
            <w:r>
              <w:rPr>
                <w:sz w:val="18"/>
                <w:szCs w:val="18"/>
              </w:rPr>
              <w:t>2.165.867,00</w:t>
            </w:r>
          </w:p>
        </w:tc>
        <w:tc>
          <w:tcPr>
            <w:tcW w:w="1571" w:type="dxa"/>
            <w:tcBorders>
              <w:top w:val="nil"/>
              <w:left w:val="nil"/>
              <w:bottom w:val="single" w:sz="4" w:space="0" w:color="auto"/>
              <w:right w:val="nil"/>
            </w:tcBorders>
            <w:shd w:val="clear" w:color="auto" w:fill="auto"/>
            <w:vAlign w:val="center"/>
          </w:tcPr>
          <w:p w14:paraId="2F71F4D0" w14:textId="77777777" w:rsidR="00575E57" w:rsidRDefault="00575E57" w:rsidP="00575E57">
            <w:pPr>
              <w:jc w:val="right"/>
              <w:rPr>
                <w:sz w:val="18"/>
                <w:szCs w:val="18"/>
              </w:rPr>
            </w:pPr>
            <w:r>
              <w:rPr>
                <w:sz w:val="18"/>
                <w:szCs w:val="18"/>
              </w:rPr>
              <w:t>2.165.867,00</w:t>
            </w:r>
          </w:p>
        </w:tc>
      </w:tr>
      <w:tr w:rsidR="00575E57" w:rsidRPr="0096749B" w14:paraId="552D0D10" w14:textId="77777777" w:rsidTr="00575E57">
        <w:trPr>
          <w:trHeight w:val="255"/>
          <w:jc w:val="center"/>
        </w:trPr>
        <w:tc>
          <w:tcPr>
            <w:tcW w:w="3580" w:type="dxa"/>
            <w:tcBorders>
              <w:top w:val="nil"/>
              <w:left w:val="nil"/>
              <w:bottom w:val="single" w:sz="4" w:space="0" w:color="auto"/>
              <w:right w:val="nil"/>
            </w:tcBorders>
            <w:shd w:val="clear" w:color="auto" w:fill="auto"/>
            <w:vAlign w:val="center"/>
            <w:hideMark/>
          </w:tcPr>
          <w:p w14:paraId="7029E973" w14:textId="77777777" w:rsidR="00575E57" w:rsidRPr="0096749B" w:rsidRDefault="00575E57" w:rsidP="00575E57">
            <w:pPr>
              <w:rPr>
                <w:rFonts w:eastAsia="Times New Roman"/>
                <w:b/>
                <w:bCs/>
                <w:sz w:val="18"/>
                <w:szCs w:val="18"/>
              </w:rPr>
            </w:pPr>
            <w:r w:rsidRPr="0096749B">
              <w:rPr>
                <w:rFonts w:eastAsia="Times New Roman"/>
                <w:b/>
                <w:bCs/>
                <w:sz w:val="18"/>
                <w:szCs w:val="18"/>
              </w:rPr>
              <w:t>Total</w:t>
            </w:r>
          </w:p>
        </w:tc>
        <w:tc>
          <w:tcPr>
            <w:tcW w:w="1653" w:type="dxa"/>
            <w:tcBorders>
              <w:top w:val="nil"/>
              <w:left w:val="nil"/>
              <w:bottom w:val="single" w:sz="4" w:space="0" w:color="auto"/>
              <w:right w:val="nil"/>
            </w:tcBorders>
            <w:shd w:val="clear" w:color="auto" w:fill="auto"/>
            <w:vAlign w:val="center"/>
          </w:tcPr>
          <w:p w14:paraId="12EDD897" w14:textId="77777777" w:rsidR="00575E57" w:rsidRDefault="00575E57" w:rsidP="00575E57">
            <w:pPr>
              <w:jc w:val="right"/>
              <w:rPr>
                <w:b/>
                <w:bCs/>
                <w:sz w:val="18"/>
                <w:szCs w:val="18"/>
              </w:rPr>
            </w:pPr>
            <w:r>
              <w:rPr>
                <w:b/>
                <w:bCs/>
                <w:sz w:val="18"/>
                <w:szCs w:val="18"/>
              </w:rPr>
              <w:t>21.274.259,46</w:t>
            </w:r>
          </w:p>
        </w:tc>
        <w:tc>
          <w:tcPr>
            <w:tcW w:w="1571" w:type="dxa"/>
            <w:tcBorders>
              <w:top w:val="nil"/>
              <w:left w:val="nil"/>
              <w:bottom w:val="single" w:sz="4" w:space="0" w:color="auto"/>
              <w:right w:val="nil"/>
            </w:tcBorders>
            <w:shd w:val="clear" w:color="auto" w:fill="auto"/>
            <w:vAlign w:val="center"/>
          </w:tcPr>
          <w:p w14:paraId="499ADD6A" w14:textId="77777777" w:rsidR="00575E57" w:rsidRDefault="00575E57" w:rsidP="00575E57">
            <w:pPr>
              <w:jc w:val="right"/>
              <w:rPr>
                <w:b/>
                <w:bCs/>
                <w:sz w:val="18"/>
                <w:szCs w:val="18"/>
              </w:rPr>
            </w:pPr>
            <w:r>
              <w:rPr>
                <w:b/>
                <w:bCs/>
                <w:sz w:val="18"/>
                <w:szCs w:val="18"/>
              </w:rPr>
              <w:t>20.411.128,76</w:t>
            </w:r>
          </w:p>
        </w:tc>
      </w:tr>
    </w:tbl>
    <w:p w14:paraId="3C5B0BAF" w14:textId="77777777" w:rsidR="006220A2" w:rsidRPr="00184908" w:rsidRDefault="006220A2" w:rsidP="002109C5">
      <w:pPr>
        <w:keepNext/>
        <w:keepLines/>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84"/>
        </w:tabs>
        <w:spacing w:before="200"/>
        <w:ind w:left="0" w:firstLine="0"/>
        <w:outlineLvl w:val="9"/>
        <w:rPr>
          <w:sz w:val="20"/>
          <w:szCs w:val="22"/>
          <w:u w:val="single"/>
        </w:rPr>
      </w:pPr>
      <w:r w:rsidRPr="00184908">
        <w:rPr>
          <w:sz w:val="20"/>
          <w:szCs w:val="22"/>
          <w:u w:val="single"/>
        </w:rPr>
        <w:t>Otras transacciones con partes vinculadas</w:t>
      </w:r>
    </w:p>
    <w:p w14:paraId="0BDC0F7F" w14:textId="77777777" w:rsidR="006220A2" w:rsidRPr="00184908" w:rsidRDefault="006220A2" w:rsidP="002109C5">
      <w:pPr>
        <w:keepNext/>
        <w:keepLines/>
        <w:widowControl w:val="0"/>
        <w:tabs>
          <w:tab w:val="left" w:pos="567"/>
          <w:tab w:val="left" w:pos="1134"/>
          <w:tab w:val="left" w:pos="1587"/>
        </w:tabs>
        <w:spacing w:before="120" w:after="120"/>
        <w:jc w:val="both"/>
        <w:rPr>
          <w:sz w:val="20"/>
          <w:szCs w:val="22"/>
        </w:rPr>
      </w:pPr>
      <w:r w:rsidRPr="00184908">
        <w:rPr>
          <w:sz w:val="20"/>
          <w:szCs w:val="22"/>
        </w:rPr>
        <w:t>Otras transacciones con partes vinculadas en los ejercicios 201</w:t>
      </w:r>
      <w:r w:rsidR="00136A7F" w:rsidRPr="00184908">
        <w:rPr>
          <w:sz w:val="20"/>
          <w:szCs w:val="22"/>
        </w:rPr>
        <w:t>8</w:t>
      </w:r>
      <w:r w:rsidRPr="00184908">
        <w:rPr>
          <w:sz w:val="20"/>
          <w:szCs w:val="22"/>
        </w:rPr>
        <w:t xml:space="preserve"> y 201</w:t>
      </w:r>
      <w:r w:rsidR="00136A7F" w:rsidRPr="00184908">
        <w:rPr>
          <w:sz w:val="20"/>
          <w:szCs w:val="22"/>
        </w:rPr>
        <w:t>7</w:t>
      </w:r>
      <w:r w:rsidRPr="00184908">
        <w:rPr>
          <w:sz w:val="20"/>
          <w:szCs w:val="22"/>
        </w:rPr>
        <w:t>:</w:t>
      </w:r>
    </w:p>
    <w:tbl>
      <w:tblPr>
        <w:tblW w:w="5000" w:type="pct"/>
        <w:jc w:val="center"/>
        <w:tblCellMar>
          <w:left w:w="70" w:type="dxa"/>
          <w:right w:w="70" w:type="dxa"/>
        </w:tblCellMar>
        <w:tblLook w:val="04A0" w:firstRow="1" w:lastRow="0" w:firstColumn="1" w:lastColumn="0" w:noHBand="0" w:noVBand="1"/>
      </w:tblPr>
      <w:tblGrid>
        <w:gridCol w:w="3216"/>
        <w:gridCol w:w="1486"/>
        <w:gridCol w:w="1263"/>
        <w:gridCol w:w="1538"/>
        <w:gridCol w:w="1418"/>
      </w:tblGrid>
      <w:tr w:rsidR="00E90EEA" w:rsidRPr="00E90EEA" w14:paraId="249A2FC4" w14:textId="77777777" w:rsidTr="00E90EEA">
        <w:trPr>
          <w:trHeight w:val="227"/>
          <w:jc w:val="center"/>
        </w:trPr>
        <w:tc>
          <w:tcPr>
            <w:tcW w:w="1802" w:type="pct"/>
            <w:tcBorders>
              <w:top w:val="single" w:sz="4" w:space="0" w:color="auto"/>
              <w:left w:val="nil"/>
              <w:bottom w:val="nil"/>
              <w:right w:val="nil"/>
            </w:tcBorders>
            <w:shd w:val="clear" w:color="auto" w:fill="auto"/>
            <w:vAlign w:val="center"/>
            <w:hideMark/>
          </w:tcPr>
          <w:p w14:paraId="144B233A" w14:textId="77777777" w:rsidR="00E90EEA" w:rsidRPr="00136A7F" w:rsidRDefault="00E90EEA"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18"/>
                <w:szCs w:val="18"/>
                <w:bdr w:val="none" w:sz="0" w:space="0" w:color="auto"/>
                <w:lang w:eastAsia="es-ES"/>
              </w:rPr>
            </w:pPr>
          </w:p>
        </w:tc>
        <w:tc>
          <w:tcPr>
            <w:tcW w:w="3198" w:type="pct"/>
            <w:gridSpan w:val="4"/>
            <w:tcBorders>
              <w:top w:val="single" w:sz="4" w:space="0" w:color="auto"/>
              <w:left w:val="nil"/>
              <w:bottom w:val="single" w:sz="4" w:space="0" w:color="auto"/>
              <w:right w:val="nil"/>
            </w:tcBorders>
            <w:shd w:val="clear" w:color="auto" w:fill="auto"/>
            <w:vAlign w:val="bottom"/>
            <w:hideMark/>
          </w:tcPr>
          <w:p w14:paraId="2193225E" w14:textId="77777777" w:rsidR="00E90EEA" w:rsidRPr="00136A7F" w:rsidRDefault="00E90EEA"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36A7F">
              <w:rPr>
                <w:rFonts w:eastAsia="Times New Roman"/>
                <w:b/>
                <w:bCs/>
                <w:sz w:val="18"/>
                <w:szCs w:val="18"/>
                <w:bdr w:val="none" w:sz="0" w:space="0" w:color="auto"/>
                <w:lang w:eastAsia="es-ES"/>
              </w:rPr>
              <w:t>Euros</w:t>
            </w:r>
          </w:p>
        </w:tc>
      </w:tr>
      <w:tr w:rsidR="00136A7F" w:rsidRPr="00136A7F" w14:paraId="7C490E19" w14:textId="77777777" w:rsidTr="00E90EEA">
        <w:trPr>
          <w:trHeight w:val="227"/>
          <w:jc w:val="center"/>
        </w:trPr>
        <w:tc>
          <w:tcPr>
            <w:tcW w:w="1802" w:type="pct"/>
            <w:tcBorders>
              <w:top w:val="nil"/>
              <w:left w:val="nil"/>
              <w:bottom w:val="nil"/>
              <w:right w:val="nil"/>
            </w:tcBorders>
            <w:shd w:val="clear" w:color="auto" w:fill="auto"/>
            <w:vAlign w:val="center"/>
            <w:hideMark/>
          </w:tcPr>
          <w:p w14:paraId="4A272DD9" w14:textId="77777777" w:rsidR="00136A7F" w:rsidRPr="00136A7F" w:rsidRDefault="00136A7F"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1541" w:type="pct"/>
            <w:gridSpan w:val="2"/>
            <w:tcBorders>
              <w:top w:val="single" w:sz="4" w:space="0" w:color="auto"/>
              <w:left w:val="nil"/>
              <w:bottom w:val="single" w:sz="4" w:space="0" w:color="auto"/>
              <w:right w:val="nil"/>
            </w:tcBorders>
            <w:shd w:val="clear" w:color="auto" w:fill="auto"/>
            <w:vAlign w:val="bottom"/>
            <w:hideMark/>
          </w:tcPr>
          <w:p w14:paraId="5C16A7C9" w14:textId="77777777" w:rsidR="00136A7F" w:rsidRPr="00136A7F" w:rsidRDefault="00136A7F"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36A7F">
              <w:rPr>
                <w:rFonts w:eastAsia="Times New Roman"/>
                <w:b/>
                <w:bCs/>
                <w:sz w:val="18"/>
                <w:szCs w:val="18"/>
                <w:bdr w:val="none" w:sz="0" w:space="0" w:color="auto"/>
                <w:lang w:eastAsia="es-ES"/>
              </w:rPr>
              <w:t>2018</w:t>
            </w:r>
          </w:p>
        </w:tc>
        <w:tc>
          <w:tcPr>
            <w:tcW w:w="1657" w:type="pct"/>
            <w:gridSpan w:val="2"/>
            <w:tcBorders>
              <w:top w:val="single" w:sz="4" w:space="0" w:color="auto"/>
              <w:left w:val="nil"/>
              <w:bottom w:val="single" w:sz="4" w:space="0" w:color="auto"/>
              <w:right w:val="nil"/>
            </w:tcBorders>
            <w:shd w:val="clear" w:color="auto" w:fill="auto"/>
            <w:vAlign w:val="bottom"/>
            <w:hideMark/>
          </w:tcPr>
          <w:p w14:paraId="6C2FAE92" w14:textId="77777777" w:rsidR="00136A7F" w:rsidRPr="00136A7F" w:rsidRDefault="00136A7F"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36A7F">
              <w:rPr>
                <w:rFonts w:eastAsia="Times New Roman"/>
                <w:b/>
                <w:bCs/>
                <w:sz w:val="18"/>
                <w:szCs w:val="18"/>
                <w:bdr w:val="none" w:sz="0" w:space="0" w:color="auto"/>
                <w:lang w:eastAsia="es-ES"/>
              </w:rPr>
              <w:t>2017</w:t>
            </w:r>
          </w:p>
        </w:tc>
      </w:tr>
      <w:tr w:rsidR="00136A7F" w:rsidRPr="00136A7F" w14:paraId="543234BB" w14:textId="77777777" w:rsidTr="00E90EEA">
        <w:trPr>
          <w:trHeight w:val="227"/>
          <w:jc w:val="center"/>
        </w:trPr>
        <w:tc>
          <w:tcPr>
            <w:tcW w:w="1802" w:type="pct"/>
            <w:tcBorders>
              <w:top w:val="nil"/>
              <w:left w:val="nil"/>
              <w:bottom w:val="single" w:sz="4" w:space="0" w:color="auto"/>
              <w:right w:val="nil"/>
            </w:tcBorders>
            <w:shd w:val="clear" w:color="auto" w:fill="auto"/>
            <w:vAlign w:val="center"/>
            <w:hideMark/>
          </w:tcPr>
          <w:p w14:paraId="19AEC70D" w14:textId="77777777" w:rsidR="00136A7F" w:rsidRPr="00136A7F" w:rsidRDefault="00136A7F"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136A7F">
              <w:rPr>
                <w:rFonts w:eastAsia="Times New Roman"/>
                <w:sz w:val="18"/>
                <w:szCs w:val="18"/>
                <w:bdr w:val="none" w:sz="0" w:space="0" w:color="auto"/>
                <w:lang w:eastAsia="es-ES"/>
              </w:rPr>
              <w:t> </w:t>
            </w:r>
          </w:p>
        </w:tc>
        <w:tc>
          <w:tcPr>
            <w:tcW w:w="833" w:type="pct"/>
            <w:tcBorders>
              <w:top w:val="nil"/>
              <w:left w:val="nil"/>
              <w:bottom w:val="single" w:sz="4" w:space="0" w:color="auto"/>
              <w:right w:val="nil"/>
            </w:tcBorders>
            <w:shd w:val="clear" w:color="auto" w:fill="auto"/>
            <w:vAlign w:val="bottom"/>
            <w:hideMark/>
          </w:tcPr>
          <w:p w14:paraId="6116FBD6" w14:textId="77777777" w:rsidR="00136A7F" w:rsidRPr="00136A7F" w:rsidRDefault="00136A7F"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36A7F">
              <w:rPr>
                <w:rFonts w:eastAsia="Times New Roman"/>
                <w:b/>
                <w:bCs/>
                <w:sz w:val="18"/>
                <w:szCs w:val="18"/>
                <w:bdr w:val="none" w:sz="0" w:space="0" w:color="auto"/>
                <w:lang w:eastAsia="es-ES"/>
              </w:rPr>
              <w:t>Aprov.</w:t>
            </w:r>
          </w:p>
        </w:tc>
        <w:tc>
          <w:tcPr>
            <w:tcW w:w="708" w:type="pct"/>
            <w:tcBorders>
              <w:top w:val="nil"/>
              <w:left w:val="nil"/>
              <w:bottom w:val="single" w:sz="4" w:space="0" w:color="auto"/>
              <w:right w:val="nil"/>
            </w:tcBorders>
            <w:shd w:val="clear" w:color="auto" w:fill="auto"/>
            <w:vAlign w:val="bottom"/>
            <w:hideMark/>
          </w:tcPr>
          <w:p w14:paraId="49C830D6" w14:textId="77777777" w:rsidR="00136A7F" w:rsidRPr="00136A7F" w:rsidRDefault="00136A7F"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36A7F">
              <w:rPr>
                <w:rFonts w:eastAsia="Times New Roman"/>
                <w:b/>
                <w:bCs/>
                <w:sz w:val="18"/>
                <w:szCs w:val="18"/>
                <w:bdr w:val="none" w:sz="0" w:space="0" w:color="auto"/>
                <w:lang w:eastAsia="es-ES"/>
              </w:rPr>
              <w:t>Otros Ingresos</w:t>
            </w:r>
          </w:p>
        </w:tc>
        <w:tc>
          <w:tcPr>
            <w:tcW w:w="862" w:type="pct"/>
            <w:tcBorders>
              <w:top w:val="nil"/>
              <w:left w:val="nil"/>
              <w:bottom w:val="single" w:sz="4" w:space="0" w:color="auto"/>
              <w:right w:val="nil"/>
            </w:tcBorders>
            <w:shd w:val="clear" w:color="auto" w:fill="auto"/>
            <w:vAlign w:val="bottom"/>
            <w:hideMark/>
          </w:tcPr>
          <w:p w14:paraId="20065165" w14:textId="77777777" w:rsidR="00136A7F" w:rsidRPr="00136A7F" w:rsidRDefault="00136A7F"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36A7F">
              <w:rPr>
                <w:rFonts w:eastAsia="Times New Roman"/>
                <w:b/>
                <w:bCs/>
                <w:sz w:val="18"/>
                <w:szCs w:val="18"/>
                <w:bdr w:val="none" w:sz="0" w:space="0" w:color="auto"/>
                <w:lang w:eastAsia="es-ES"/>
              </w:rPr>
              <w:t>Aprov.</w:t>
            </w:r>
          </w:p>
        </w:tc>
        <w:tc>
          <w:tcPr>
            <w:tcW w:w="795" w:type="pct"/>
            <w:tcBorders>
              <w:top w:val="nil"/>
              <w:left w:val="nil"/>
              <w:bottom w:val="single" w:sz="4" w:space="0" w:color="auto"/>
              <w:right w:val="nil"/>
            </w:tcBorders>
            <w:shd w:val="clear" w:color="auto" w:fill="auto"/>
            <w:vAlign w:val="bottom"/>
            <w:hideMark/>
          </w:tcPr>
          <w:p w14:paraId="2D6D4664" w14:textId="77777777" w:rsidR="00136A7F" w:rsidRPr="00136A7F" w:rsidRDefault="00136A7F"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36A7F">
              <w:rPr>
                <w:rFonts w:eastAsia="Times New Roman"/>
                <w:b/>
                <w:bCs/>
                <w:sz w:val="18"/>
                <w:szCs w:val="18"/>
                <w:bdr w:val="none" w:sz="0" w:space="0" w:color="auto"/>
                <w:lang w:eastAsia="es-ES"/>
              </w:rPr>
              <w:t>Otros Ingresos</w:t>
            </w:r>
          </w:p>
        </w:tc>
      </w:tr>
      <w:tr w:rsidR="00136A7F" w:rsidRPr="00136A7F" w14:paraId="5FC300A0" w14:textId="77777777" w:rsidTr="00136A7F">
        <w:trPr>
          <w:trHeight w:val="260"/>
          <w:jc w:val="center"/>
        </w:trPr>
        <w:tc>
          <w:tcPr>
            <w:tcW w:w="1802" w:type="pct"/>
            <w:tcBorders>
              <w:top w:val="nil"/>
              <w:left w:val="nil"/>
              <w:bottom w:val="nil"/>
              <w:right w:val="nil"/>
            </w:tcBorders>
            <w:shd w:val="clear" w:color="auto" w:fill="auto"/>
            <w:vAlign w:val="center"/>
            <w:hideMark/>
          </w:tcPr>
          <w:p w14:paraId="251DD1F0" w14:textId="77777777" w:rsidR="00136A7F" w:rsidRPr="00B10DE7" w:rsidRDefault="00136A7F"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B10DE7">
              <w:rPr>
                <w:rFonts w:eastAsia="Times New Roman"/>
                <w:sz w:val="18"/>
                <w:szCs w:val="18"/>
                <w:bdr w:val="none" w:sz="0" w:space="0" w:color="auto"/>
                <w:lang w:eastAsia="es-ES"/>
              </w:rPr>
              <w:t>Hotel Escuela de Canarias, S.A.</w:t>
            </w:r>
          </w:p>
        </w:tc>
        <w:tc>
          <w:tcPr>
            <w:tcW w:w="833" w:type="pct"/>
            <w:tcBorders>
              <w:top w:val="nil"/>
              <w:left w:val="nil"/>
              <w:bottom w:val="nil"/>
              <w:right w:val="nil"/>
            </w:tcBorders>
            <w:shd w:val="clear" w:color="auto" w:fill="auto"/>
            <w:vAlign w:val="center"/>
            <w:hideMark/>
          </w:tcPr>
          <w:p w14:paraId="040B9C2A" w14:textId="77777777" w:rsidR="00136A7F" w:rsidRPr="00B10DE7" w:rsidRDefault="00136A7F"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B10DE7">
              <w:rPr>
                <w:rFonts w:eastAsia="Times New Roman"/>
                <w:sz w:val="18"/>
                <w:szCs w:val="18"/>
                <w:bdr w:val="none" w:sz="0" w:space="0" w:color="auto"/>
                <w:lang w:eastAsia="es-ES"/>
              </w:rPr>
              <w:t>75,26</w:t>
            </w:r>
          </w:p>
        </w:tc>
        <w:tc>
          <w:tcPr>
            <w:tcW w:w="708" w:type="pct"/>
            <w:tcBorders>
              <w:top w:val="nil"/>
              <w:left w:val="nil"/>
              <w:bottom w:val="nil"/>
              <w:right w:val="nil"/>
            </w:tcBorders>
            <w:shd w:val="clear" w:color="auto" w:fill="auto"/>
            <w:vAlign w:val="center"/>
            <w:hideMark/>
          </w:tcPr>
          <w:p w14:paraId="4C729EAB" w14:textId="77777777" w:rsidR="00136A7F" w:rsidRPr="00B10DE7" w:rsidRDefault="00136A7F"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B10DE7">
              <w:rPr>
                <w:rFonts w:eastAsia="Times New Roman"/>
                <w:sz w:val="18"/>
                <w:szCs w:val="18"/>
                <w:bdr w:val="none" w:sz="0" w:space="0" w:color="auto"/>
                <w:lang w:eastAsia="es-ES"/>
              </w:rPr>
              <w:t xml:space="preserve"> -</w:t>
            </w:r>
          </w:p>
        </w:tc>
        <w:tc>
          <w:tcPr>
            <w:tcW w:w="862" w:type="pct"/>
            <w:tcBorders>
              <w:top w:val="nil"/>
              <w:left w:val="nil"/>
              <w:bottom w:val="nil"/>
              <w:right w:val="nil"/>
            </w:tcBorders>
            <w:shd w:val="clear" w:color="auto" w:fill="auto"/>
            <w:vAlign w:val="center"/>
            <w:hideMark/>
          </w:tcPr>
          <w:p w14:paraId="643DF4CA" w14:textId="77777777" w:rsidR="00136A7F" w:rsidRPr="00136A7F" w:rsidRDefault="00136A7F"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36A7F">
              <w:rPr>
                <w:rFonts w:eastAsia="Times New Roman"/>
                <w:sz w:val="18"/>
                <w:szCs w:val="18"/>
                <w:bdr w:val="none" w:sz="0" w:space="0" w:color="auto"/>
                <w:lang w:eastAsia="es-ES"/>
              </w:rPr>
              <w:t>932,37</w:t>
            </w:r>
          </w:p>
        </w:tc>
        <w:tc>
          <w:tcPr>
            <w:tcW w:w="795" w:type="pct"/>
            <w:tcBorders>
              <w:top w:val="nil"/>
              <w:left w:val="nil"/>
              <w:bottom w:val="nil"/>
              <w:right w:val="nil"/>
            </w:tcBorders>
            <w:shd w:val="clear" w:color="auto" w:fill="auto"/>
            <w:vAlign w:val="center"/>
            <w:hideMark/>
          </w:tcPr>
          <w:p w14:paraId="37E4CE16" w14:textId="77777777" w:rsidR="00136A7F" w:rsidRPr="00136A7F" w:rsidRDefault="00136A7F"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36A7F">
              <w:rPr>
                <w:rFonts w:eastAsia="Times New Roman"/>
                <w:sz w:val="18"/>
                <w:szCs w:val="18"/>
                <w:bdr w:val="none" w:sz="0" w:space="0" w:color="auto"/>
                <w:lang w:eastAsia="es-ES"/>
              </w:rPr>
              <w:t xml:space="preserve"> -</w:t>
            </w:r>
          </w:p>
        </w:tc>
      </w:tr>
      <w:tr w:rsidR="00136A7F" w:rsidRPr="00136A7F" w14:paraId="4953B9EE" w14:textId="77777777" w:rsidTr="00136A7F">
        <w:trPr>
          <w:trHeight w:val="240"/>
          <w:jc w:val="center"/>
        </w:trPr>
        <w:tc>
          <w:tcPr>
            <w:tcW w:w="1802" w:type="pct"/>
            <w:tcBorders>
              <w:top w:val="nil"/>
              <w:left w:val="nil"/>
              <w:bottom w:val="nil"/>
              <w:right w:val="nil"/>
            </w:tcBorders>
            <w:shd w:val="clear" w:color="auto" w:fill="auto"/>
            <w:vAlign w:val="center"/>
            <w:hideMark/>
          </w:tcPr>
          <w:p w14:paraId="56FBE3C6" w14:textId="77777777" w:rsidR="00136A7F" w:rsidRPr="00B10DE7" w:rsidRDefault="00136A7F"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B10DE7">
              <w:rPr>
                <w:rFonts w:eastAsia="Times New Roman"/>
                <w:sz w:val="18"/>
                <w:szCs w:val="18"/>
                <w:bdr w:val="none" w:sz="0" w:space="0" w:color="auto"/>
                <w:lang w:eastAsia="es-ES"/>
              </w:rPr>
              <w:t>Televisión Pública de Canarias S.A.</w:t>
            </w:r>
          </w:p>
        </w:tc>
        <w:tc>
          <w:tcPr>
            <w:tcW w:w="833" w:type="pct"/>
            <w:tcBorders>
              <w:top w:val="nil"/>
              <w:left w:val="nil"/>
              <w:bottom w:val="nil"/>
              <w:right w:val="nil"/>
            </w:tcBorders>
            <w:shd w:val="clear" w:color="auto" w:fill="auto"/>
            <w:vAlign w:val="center"/>
            <w:hideMark/>
          </w:tcPr>
          <w:p w14:paraId="185E011E" w14:textId="77777777" w:rsidR="00136A7F" w:rsidRPr="00B10DE7" w:rsidRDefault="00136A7F"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B10DE7">
              <w:rPr>
                <w:rFonts w:eastAsia="Times New Roman"/>
                <w:sz w:val="18"/>
                <w:szCs w:val="18"/>
                <w:bdr w:val="none" w:sz="0" w:space="0" w:color="auto"/>
                <w:lang w:eastAsia="es-ES"/>
              </w:rPr>
              <w:t>9.630,00</w:t>
            </w:r>
          </w:p>
        </w:tc>
        <w:tc>
          <w:tcPr>
            <w:tcW w:w="708" w:type="pct"/>
            <w:tcBorders>
              <w:top w:val="nil"/>
              <w:left w:val="nil"/>
              <w:bottom w:val="nil"/>
              <w:right w:val="nil"/>
            </w:tcBorders>
            <w:shd w:val="clear" w:color="auto" w:fill="auto"/>
            <w:vAlign w:val="center"/>
            <w:hideMark/>
          </w:tcPr>
          <w:p w14:paraId="695D9BBC" w14:textId="77777777" w:rsidR="00136A7F" w:rsidRPr="00B10DE7" w:rsidRDefault="00136A7F"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B10DE7">
              <w:rPr>
                <w:rFonts w:eastAsia="Times New Roman"/>
                <w:sz w:val="18"/>
                <w:szCs w:val="18"/>
                <w:bdr w:val="none" w:sz="0" w:space="0" w:color="auto"/>
                <w:lang w:eastAsia="es-ES"/>
              </w:rPr>
              <w:t xml:space="preserve"> -</w:t>
            </w:r>
          </w:p>
        </w:tc>
        <w:tc>
          <w:tcPr>
            <w:tcW w:w="862" w:type="pct"/>
            <w:tcBorders>
              <w:top w:val="nil"/>
              <w:left w:val="nil"/>
              <w:bottom w:val="nil"/>
              <w:right w:val="nil"/>
            </w:tcBorders>
            <w:shd w:val="clear" w:color="auto" w:fill="auto"/>
            <w:vAlign w:val="center"/>
            <w:hideMark/>
          </w:tcPr>
          <w:p w14:paraId="472C7235" w14:textId="77777777" w:rsidR="00136A7F" w:rsidRPr="00136A7F" w:rsidRDefault="00136A7F"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36A7F">
              <w:rPr>
                <w:rFonts w:eastAsia="Times New Roman"/>
                <w:sz w:val="18"/>
                <w:szCs w:val="18"/>
                <w:bdr w:val="none" w:sz="0" w:space="0" w:color="auto"/>
                <w:lang w:eastAsia="es-ES"/>
              </w:rPr>
              <w:t>19.185,10</w:t>
            </w:r>
          </w:p>
        </w:tc>
        <w:tc>
          <w:tcPr>
            <w:tcW w:w="795" w:type="pct"/>
            <w:tcBorders>
              <w:top w:val="nil"/>
              <w:left w:val="nil"/>
              <w:bottom w:val="nil"/>
              <w:right w:val="nil"/>
            </w:tcBorders>
            <w:shd w:val="clear" w:color="auto" w:fill="auto"/>
            <w:vAlign w:val="center"/>
            <w:hideMark/>
          </w:tcPr>
          <w:p w14:paraId="0F263F36" w14:textId="77777777" w:rsidR="00136A7F" w:rsidRPr="00136A7F" w:rsidRDefault="00136A7F"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36A7F">
              <w:rPr>
                <w:rFonts w:eastAsia="Times New Roman"/>
                <w:sz w:val="18"/>
                <w:szCs w:val="18"/>
                <w:bdr w:val="none" w:sz="0" w:space="0" w:color="auto"/>
                <w:lang w:eastAsia="es-ES"/>
              </w:rPr>
              <w:t xml:space="preserve"> -</w:t>
            </w:r>
          </w:p>
        </w:tc>
      </w:tr>
      <w:tr w:rsidR="00173DFA" w:rsidRPr="00136A7F" w14:paraId="5BB920FE" w14:textId="77777777" w:rsidTr="00136A7F">
        <w:trPr>
          <w:trHeight w:val="240"/>
          <w:jc w:val="center"/>
        </w:trPr>
        <w:tc>
          <w:tcPr>
            <w:tcW w:w="1802" w:type="pct"/>
            <w:tcBorders>
              <w:top w:val="nil"/>
              <w:left w:val="nil"/>
              <w:bottom w:val="nil"/>
              <w:right w:val="nil"/>
            </w:tcBorders>
            <w:shd w:val="clear" w:color="auto" w:fill="auto"/>
            <w:vAlign w:val="center"/>
          </w:tcPr>
          <w:p w14:paraId="2C10CBF5" w14:textId="77777777" w:rsidR="00173DFA" w:rsidRPr="00B10DE7" w:rsidRDefault="00173DFA"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B10DE7">
              <w:rPr>
                <w:rFonts w:eastAsia="Times New Roman"/>
                <w:sz w:val="18"/>
                <w:szCs w:val="18"/>
                <w:bdr w:val="none" w:sz="0" w:space="0" w:color="auto"/>
                <w:lang w:eastAsia="es-ES"/>
              </w:rPr>
              <w:t xml:space="preserve">Gestión del Medio Rural de Canarias </w:t>
            </w:r>
          </w:p>
        </w:tc>
        <w:tc>
          <w:tcPr>
            <w:tcW w:w="833" w:type="pct"/>
            <w:tcBorders>
              <w:top w:val="nil"/>
              <w:left w:val="nil"/>
              <w:bottom w:val="nil"/>
              <w:right w:val="nil"/>
            </w:tcBorders>
            <w:shd w:val="clear" w:color="auto" w:fill="auto"/>
            <w:vAlign w:val="center"/>
          </w:tcPr>
          <w:p w14:paraId="1B6D5072" w14:textId="77777777" w:rsidR="00173DFA" w:rsidRPr="00B10DE7" w:rsidRDefault="00A25CEC"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B10DE7">
              <w:rPr>
                <w:rFonts w:eastAsia="Times New Roman"/>
                <w:sz w:val="18"/>
                <w:szCs w:val="18"/>
                <w:bdr w:val="none" w:sz="0" w:space="0" w:color="auto"/>
                <w:lang w:eastAsia="es-ES"/>
              </w:rPr>
              <w:t>386,00</w:t>
            </w:r>
          </w:p>
        </w:tc>
        <w:tc>
          <w:tcPr>
            <w:tcW w:w="708" w:type="pct"/>
            <w:tcBorders>
              <w:top w:val="nil"/>
              <w:left w:val="nil"/>
              <w:bottom w:val="nil"/>
              <w:right w:val="nil"/>
            </w:tcBorders>
            <w:shd w:val="clear" w:color="auto" w:fill="auto"/>
            <w:vAlign w:val="center"/>
          </w:tcPr>
          <w:p w14:paraId="4BB3E21B" w14:textId="77777777" w:rsidR="00173DFA" w:rsidRPr="00B10DE7" w:rsidRDefault="00A25CEC"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B10DE7">
              <w:rPr>
                <w:rFonts w:eastAsia="Times New Roman"/>
                <w:sz w:val="18"/>
                <w:szCs w:val="18"/>
                <w:bdr w:val="none" w:sz="0" w:space="0" w:color="auto"/>
                <w:lang w:eastAsia="es-ES"/>
              </w:rPr>
              <w:t>-</w:t>
            </w:r>
          </w:p>
        </w:tc>
        <w:tc>
          <w:tcPr>
            <w:tcW w:w="862" w:type="pct"/>
            <w:tcBorders>
              <w:top w:val="nil"/>
              <w:left w:val="nil"/>
              <w:bottom w:val="nil"/>
              <w:right w:val="nil"/>
            </w:tcBorders>
            <w:shd w:val="clear" w:color="auto" w:fill="auto"/>
            <w:vAlign w:val="center"/>
          </w:tcPr>
          <w:p w14:paraId="4EF60498" w14:textId="77777777" w:rsidR="00173DFA" w:rsidRPr="00136A7F" w:rsidRDefault="00A25CEC"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rFonts w:eastAsia="Times New Roman"/>
                <w:sz w:val="18"/>
                <w:szCs w:val="18"/>
                <w:bdr w:val="none" w:sz="0" w:space="0" w:color="auto"/>
                <w:lang w:eastAsia="es-ES"/>
              </w:rPr>
              <w:t>-</w:t>
            </w:r>
          </w:p>
        </w:tc>
        <w:tc>
          <w:tcPr>
            <w:tcW w:w="795" w:type="pct"/>
            <w:tcBorders>
              <w:top w:val="nil"/>
              <w:left w:val="nil"/>
              <w:bottom w:val="nil"/>
              <w:right w:val="nil"/>
            </w:tcBorders>
            <w:shd w:val="clear" w:color="auto" w:fill="auto"/>
            <w:vAlign w:val="center"/>
          </w:tcPr>
          <w:p w14:paraId="4F1B0C71" w14:textId="77777777" w:rsidR="00173DFA" w:rsidRPr="00136A7F" w:rsidRDefault="00A25CEC"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rFonts w:eastAsia="Times New Roman"/>
                <w:sz w:val="18"/>
                <w:szCs w:val="18"/>
                <w:bdr w:val="none" w:sz="0" w:space="0" w:color="auto"/>
                <w:lang w:eastAsia="es-ES"/>
              </w:rPr>
              <w:t>-</w:t>
            </w:r>
          </w:p>
        </w:tc>
      </w:tr>
      <w:tr w:rsidR="00136A7F" w:rsidRPr="00136A7F" w14:paraId="691DDA7A" w14:textId="77777777" w:rsidTr="00136A7F">
        <w:trPr>
          <w:trHeight w:val="230"/>
          <w:jc w:val="center"/>
        </w:trPr>
        <w:tc>
          <w:tcPr>
            <w:tcW w:w="1802" w:type="pct"/>
            <w:tcBorders>
              <w:top w:val="nil"/>
              <w:left w:val="nil"/>
              <w:bottom w:val="nil"/>
              <w:right w:val="nil"/>
            </w:tcBorders>
            <w:shd w:val="clear" w:color="auto" w:fill="auto"/>
            <w:vAlign w:val="center"/>
            <w:hideMark/>
          </w:tcPr>
          <w:p w14:paraId="68339739" w14:textId="77777777" w:rsidR="00136A7F" w:rsidRPr="00B10DE7" w:rsidRDefault="00136A7F"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B10DE7">
              <w:rPr>
                <w:rFonts w:eastAsia="Times New Roman"/>
                <w:sz w:val="18"/>
                <w:szCs w:val="18"/>
                <w:bdr w:val="none" w:sz="0" w:space="0" w:color="auto"/>
                <w:lang w:eastAsia="es-ES"/>
              </w:rPr>
              <w:t>Gobierno de Canarias</w:t>
            </w:r>
          </w:p>
        </w:tc>
        <w:tc>
          <w:tcPr>
            <w:tcW w:w="833" w:type="pct"/>
            <w:tcBorders>
              <w:top w:val="nil"/>
              <w:left w:val="nil"/>
              <w:bottom w:val="nil"/>
              <w:right w:val="nil"/>
            </w:tcBorders>
            <w:shd w:val="clear" w:color="auto" w:fill="auto"/>
            <w:vAlign w:val="center"/>
            <w:hideMark/>
          </w:tcPr>
          <w:p w14:paraId="1E3D5594" w14:textId="77777777" w:rsidR="00136A7F" w:rsidRPr="00B10DE7" w:rsidRDefault="00136A7F"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B10DE7">
              <w:rPr>
                <w:rFonts w:eastAsia="Times New Roman"/>
                <w:sz w:val="18"/>
                <w:szCs w:val="18"/>
                <w:bdr w:val="none" w:sz="0" w:space="0" w:color="auto"/>
                <w:lang w:eastAsia="es-ES"/>
              </w:rPr>
              <w:t xml:space="preserve"> -</w:t>
            </w:r>
          </w:p>
        </w:tc>
        <w:tc>
          <w:tcPr>
            <w:tcW w:w="708" w:type="pct"/>
            <w:tcBorders>
              <w:top w:val="nil"/>
              <w:left w:val="nil"/>
              <w:bottom w:val="nil"/>
              <w:right w:val="nil"/>
            </w:tcBorders>
            <w:shd w:val="clear" w:color="auto" w:fill="auto"/>
            <w:vAlign w:val="center"/>
            <w:hideMark/>
          </w:tcPr>
          <w:p w14:paraId="3208C983" w14:textId="77777777" w:rsidR="00136A7F" w:rsidRPr="00B10DE7" w:rsidRDefault="00136A7F"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B10DE7">
              <w:rPr>
                <w:rFonts w:eastAsia="Times New Roman"/>
                <w:sz w:val="18"/>
                <w:szCs w:val="18"/>
                <w:bdr w:val="none" w:sz="0" w:space="0" w:color="auto"/>
                <w:lang w:eastAsia="es-ES"/>
              </w:rPr>
              <w:t xml:space="preserve"> -</w:t>
            </w:r>
          </w:p>
        </w:tc>
        <w:tc>
          <w:tcPr>
            <w:tcW w:w="862" w:type="pct"/>
            <w:tcBorders>
              <w:top w:val="nil"/>
              <w:left w:val="nil"/>
              <w:bottom w:val="nil"/>
              <w:right w:val="nil"/>
            </w:tcBorders>
            <w:shd w:val="clear" w:color="auto" w:fill="auto"/>
            <w:vAlign w:val="center"/>
            <w:hideMark/>
          </w:tcPr>
          <w:p w14:paraId="162769A7" w14:textId="77777777" w:rsidR="00136A7F" w:rsidRPr="00136A7F" w:rsidRDefault="00136A7F"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36A7F">
              <w:rPr>
                <w:rFonts w:eastAsia="Times New Roman"/>
                <w:sz w:val="18"/>
                <w:szCs w:val="18"/>
                <w:bdr w:val="none" w:sz="0" w:space="0" w:color="auto"/>
                <w:lang w:eastAsia="es-ES"/>
              </w:rPr>
              <w:t xml:space="preserve"> -</w:t>
            </w:r>
          </w:p>
        </w:tc>
        <w:tc>
          <w:tcPr>
            <w:tcW w:w="795" w:type="pct"/>
            <w:tcBorders>
              <w:top w:val="nil"/>
              <w:left w:val="nil"/>
              <w:bottom w:val="nil"/>
              <w:right w:val="nil"/>
            </w:tcBorders>
            <w:shd w:val="clear" w:color="auto" w:fill="auto"/>
            <w:vAlign w:val="center"/>
            <w:hideMark/>
          </w:tcPr>
          <w:p w14:paraId="010CF4F4" w14:textId="77777777" w:rsidR="00136A7F" w:rsidRPr="00136A7F" w:rsidRDefault="00136A7F"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36A7F">
              <w:rPr>
                <w:rFonts w:eastAsia="Times New Roman"/>
                <w:sz w:val="18"/>
                <w:szCs w:val="18"/>
                <w:bdr w:val="none" w:sz="0" w:space="0" w:color="auto"/>
                <w:lang w:eastAsia="es-ES"/>
              </w:rPr>
              <w:t>7.146,80</w:t>
            </w:r>
          </w:p>
        </w:tc>
      </w:tr>
      <w:tr w:rsidR="00136A7F" w:rsidRPr="00136A7F" w14:paraId="314D2E86" w14:textId="77777777" w:rsidTr="00136A7F">
        <w:trPr>
          <w:trHeight w:val="230"/>
          <w:jc w:val="center"/>
        </w:trPr>
        <w:tc>
          <w:tcPr>
            <w:tcW w:w="1802" w:type="pct"/>
            <w:tcBorders>
              <w:top w:val="nil"/>
              <w:left w:val="nil"/>
              <w:bottom w:val="single" w:sz="4" w:space="0" w:color="auto"/>
              <w:right w:val="nil"/>
            </w:tcBorders>
            <w:shd w:val="clear" w:color="auto" w:fill="auto"/>
            <w:noWrap/>
            <w:vAlign w:val="center"/>
            <w:hideMark/>
          </w:tcPr>
          <w:p w14:paraId="3953701C" w14:textId="77777777" w:rsidR="00136A7F" w:rsidRPr="00B10DE7" w:rsidRDefault="00136A7F"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B10DE7">
              <w:rPr>
                <w:rFonts w:eastAsia="Times New Roman"/>
                <w:sz w:val="18"/>
                <w:szCs w:val="18"/>
                <w:bdr w:val="none" w:sz="0" w:space="0" w:color="auto"/>
                <w:lang w:eastAsia="es-ES"/>
              </w:rPr>
              <w:t>Canarias Cultura en Red</w:t>
            </w:r>
            <w:r w:rsidR="00A25CEC" w:rsidRPr="00B10DE7">
              <w:rPr>
                <w:rFonts w:eastAsia="Times New Roman"/>
                <w:sz w:val="18"/>
                <w:szCs w:val="18"/>
                <w:bdr w:val="none" w:sz="0" w:space="0" w:color="auto"/>
                <w:lang w:eastAsia="es-ES"/>
              </w:rPr>
              <w:t xml:space="preserve"> S.A.</w:t>
            </w:r>
          </w:p>
        </w:tc>
        <w:tc>
          <w:tcPr>
            <w:tcW w:w="833" w:type="pct"/>
            <w:tcBorders>
              <w:top w:val="nil"/>
              <w:left w:val="nil"/>
              <w:bottom w:val="nil"/>
              <w:right w:val="nil"/>
            </w:tcBorders>
            <w:shd w:val="clear" w:color="auto" w:fill="auto"/>
            <w:vAlign w:val="center"/>
            <w:hideMark/>
          </w:tcPr>
          <w:p w14:paraId="5100B5CB" w14:textId="77777777" w:rsidR="00136A7F" w:rsidRPr="00B10DE7" w:rsidRDefault="00136A7F"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B10DE7">
              <w:rPr>
                <w:rFonts w:eastAsia="Times New Roman"/>
                <w:sz w:val="18"/>
                <w:szCs w:val="18"/>
                <w:bdr w:val="none" w:sz="0" w:space="0" w:color="auto"/>
                <w:lang w:eastAsia="es-ES"/>
              </w:rPr>
              <w:t xml:space="preserve"> -</w:t>
            </w:r>
          </w:p>
        </w:tc>
        <w:tc>
          <w:tcPr>
            <w:tcW w:w="708" w:type="pct"/>
            <w:tcBorders>
              <w:top w:val="nil"/>
              <w:left w:val="nil"/>
              <w:bottom w:val="nil"/>
              <w:right w:val="nil"/>
            </w:tcBorders>
            <w:shd w:val="clear" w:color="auto" w:fill="auto"/>
            <w:vAlign w:val="center"/>
            <w:hideMark/>
          </w:tcPr>
          <w:p w14:paraId="234AFB7F" w14:textId="77777777" w:rsidR="00136A7F" w:rsidRPr="00B10DE7" w:rsidRDefault="00136A7F"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B10DE7">
              <w:rPr>
                <w:rFonts w:eastAsia="Times New Roman"/>
                <w:sz w:val="18"/>
                <w:szCs w:val="18"/>
                <w:bdr w:val="none" w:sz="0" w:space="0" w:color="auto"/>
                <w:lang w:eastAsia="es-ES"/>
              </w:rPr>
              <w:t>2.810,69</w:t>
            </w:r>
          </w:p>
        </w:tc>
        <w:tc>
          <w:tcPr>
            <w:tcW w:w="862" w:type="pct"/>
            <w:tcBorders>
              <w:top w:val="nil"/>
              <w:left w:val="nil"/>
              <w:bottom w:val="single" w:sz="4" w:space="0" w:color="auto"/>
              <w:right w:val="nil"/>
            </w:tcBorders>
            <w:shd w:val="clear" w:color="auto" w:fill="auto"/>
            <w:vAlign w:val="center"/>
            <w:hideMark/>
          </w:tcPr>
          <w:p w14:paraId="0E9F0D4F" w14:textId="77777777" w:rsidR="00136A7F" w:rsidRPr="00136A7F" w:rsidRDefault="00136A7F"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36A7F">
              <w:rPr>
                <w:rFonts w:eastAsia="Times New Roman"/>
                <w:sz w:val="18"/>
                <w:szCs w:val="18"/>
                <w:bdr w:val="none" w:sz="0" w:space="0" w:color="auto"/>
                <w:lang w:eastAsia="es-ES"/>
              </w:rPr>
              <w:t xml:space="preserve"> -</w:t>
            </w:r>
          </w:p>
        </w:tc>
        <w:tc>
          <w:tcPr>
            <w:tcW w:w="795" w:type="pct"/>
            <w:tcBorders>
              <w:top w:val="nil"/>
              <w:left w:val="nil"/>
              <w:bottom w:val="single" w:sz="4" w:space="0" w:color="auto"/>
              <w:right w:val="nil"/>
            </w:tcBorders>
            <w:shd w:val="clear" w:color="auto" w:fill="auto"/>
            <w:vAlign w:val="center"/>
            <w:hideMark/>
          </w:tcPr>
          <w:p w14:paraId="06CE3ED5" w14:textId="77777777" w:rsidR="00136A7F" w:rsidRPr="00136A7F" w:rsidRDefault="00136A7F"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36A7F">
              <w:rPr>
                <w:rFonts w:eastAsia="Times New Roman"/>
                <w:sz w:val="18"/>
                <w:szCs w:val="18"/>
                <w:bdr w:val="none" w:sz="0" w:space="0" w:color="auto"/>
                <w:lang w:eastAsia="es-ES"/>
              </w:rPr>
              <w:t>3.818,85</w:t>
            </w:r>
          </w:p>
        </w:tc>
      </w:tr>
      <w:tr w:rsidR="00136A7F" w:rsidRPr="00136A7F" w14:paraId="602205F6" w14:textId="77777777" w:rsidTr="00136A7F">
        <w:trPr>
          <w:trHeight w:val="230"/>
          <w:jc w:val="center"/>
        </w:trPr>
        <w:tc>
          <w:tcPr>
            <w:tcW w:w="1802" w:type="pct"/>
            <w:tcBorders>
              <w:top w:val="nil"/>
              <w:left w:val="nil"/>
              <w:bottom w:val="single" w:sz="4" w:space="0" w:color="auto"/>
              <w:right w:val="nil"/>
            </w:tcBorders>
            <w:shd w:val="clear" w:color="auto" w:fill="auto"/>
            <w:vAlign w:val="center"/>
            <w:hideMark/>
          </w:tcPr>
          <w:p w14:paraId="78FE868B" w14:textId="77777777" w:rsidR="00136A7F" w:rsidRPr="00B10DE7" w:rsidRDefault="00136A7F" w:rsidP="00136A7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B10DE7">
              <w:rPr>
                <w:rFonts w:eastAsia="Times New Roman"/>
                <w:b/>
                <w:bCs/>
                <w:sz w:val="18"/>
                <w:szCs w:val="18"/>
                <w:bdr w:val="none" w:sz="0" w:space="0" w:color="auto"/>
                <w:lang w:eastAsia="es-ES"/>
              </w:rPr>
              <w:t>Total</w:t>
            </w:r>
          </w:p>
        </w:tc>
        <w:tc>
          <w:tcPr>
            <w:tcW w:w="833" w:type="pct"/>
            <w:tcBorders>
              <w:top w:val="single" w:sz="4" w:space="0" w:color="auto"/>
              <w:left w:val="nil"/>
              <w:bottom w:val="single" w:sz="4" w:space="0" w:color="auto"/>
              <w:right w:val="nil"/>
            </w:tcBorders>
            <w:shd w:val="clear" w:color="auto" w:fill="auto"/>
            <w:vAlign w:val="center"/>
            <w:hideMark/>
          </w:tcPr>
          <w:p w14:paraId="577C87B8" w14:textId="77777777" w:rsidR="00136A7F" w:rsidRPr="00B10DE7" w:rsidRDefault="00A25CEC" w:rsidP="00136A7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B10DE7">
              <w:rPr>
                <w:rFonts w:eastAsia="Times New Roman"/>
                <w:b/>
                <w:bCs/>
                <w:sz w:val="18"/>
                <w:szCs w:val="18"/>
                <w:bdr w:val="none" w:sz="0" w:space="0" w:color="auto"/>
                <w:lang w:eastAsia="es-ES"/>
              </w:rPr>
              <w:t>10.091,26</w:t>
            </w:r>
          </w:p>
        </w:tc>
        <w:tc>
          <w:tcPr>
            <w:tcW w:w="708" w:type="pct"/>
            <w:tcBorders>
              <w:top w:val="single" w:sz="4" w:space="0" w:color="auto"/>
              <w:left w:val="nil"/>
              <w:bottom w:val="single" w:sz="4" w:space="0" w:color="auto"/>
              <w:right w:val="nil"/>
            </w:tcBorders>
            <w:shd w:val="clear" w:color="auto" w:fill="auto"/>
            <w:vAlign w:val="center"/>
            <w:hideMark/>
          </w:tcPr>
          <w:p w14:paraId="5F6F762F" w14:textId="77777777" w:rsidR="00136A7F" w:rsidRPr="00B10DE7" w:rsidRDefault="00136A7F" w:rsidP="00136A7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B10DE7">
              <w:rPr>
                <w:rFonts w:eastAsia="Times New Roman"/>
                <w:b/>
                <w:bCs/>
                <w:sz w:val="18"/>
                <w:szCs w:val="18"/>
                <w:bdr w:val="none" w:sz="0" w:space="0" w:color="auto"/>
                <w:lang w:eastAsia="es-ES"/>
              </w:rPr>
              <w:t>2.810,69</w:t>
            </w:r>
          </w:p>
        </w:tc>
        <w:tc>
          <w:tcPr>
            <w:tcW w:w="862" w:type="pct"/>
            <w:tcBorders>
              <w:top w:val="nil"/>
              <w:left w:val="nil"/>
              <w:bottom w:val="single" w:sz="4" w:space="0" w:color="auto"/>
              <w:right w:val="nil"/>
            </w:tcBorders>
            <w:shd w:val="clear" w:color="auto" w:fill="auto"/>
            <w:vAlign w:val="center"/>
            <w:hideMark/>
          </w:tcPr>
          <w:p w14:paraId="5215C8D5" w14:textId="77777777" w:rsidR="00136A7F" w:rsidRPr="00136A7F" w:rsidRDefault="00136A7F" w:rsidP="00136A7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136A7F">
              <w:rPr>
                <w:rFonts w:eastAsia="Times New Roman"/>
                <w:b/>
                <w:bCs/>
                <w:sz w:val="18"/>
                <w:szCs w:val="18"/>
                <w:bdr w:val="none" w:sz="0" w:space="0" w:color="auto"/>
                <w:lang w:eastAsia="es-ES"/>
              </w:rPr>
              <w:t>20.117,47</w:t>
            </w:r>
          </w:p>
        </w:tc>
        <w:tc>
          <w:tcPr>
            <w:tcW w:w="795" w:type="pct"/>
            <w:tcBorders>
              <w:top w:val="nil"/>
              <w:left w:val="nil"/>
              <w:bottom w:val="single" w:sz="4" w:space="0" w:color="auto"/>
              <w:right w:val="nil"/>
            </w:tcBorders>
            <w:shd w:val="clear" w:color="auto" w:fill="auto"/>
            <w:vAlign w:val="center"/>
            <w:hideMark/>
          </w:tcPr>
          <w:p w14:paraId="28C67277" w14:textId="77777777" w:rsidR="00136A7F" w:rsidRPr="00136A7F" w:rsidRDefault="00136A7F" w:rsidP="00136A7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136A7F">
              <w:rPr>
                <w:rFonts w:eastAsia="Times New Roman"/>
                <w:b/>
                <w:bCs/>
                <w:sz w:val="18"/>
                <w:szCs w:val="18"/>
                <w:bdr w:val="none" w:sz="0" w:space="0" w:color="auto"/>
                <w:lang w:eastAsia="es-ES"/>
              </w:rPr>
              <w:t>10.965,65</w:t>
            </w:r>
          </w:p>
        </w:tc>
      </w:tr>
    </w:tbl>
    <w:p w14:paraId="144B9A31" w14:textId="77777777" w:rsidR="006220A2" w:rsidRPr="00B91626" w:rsidRDefault="006220A2" w:rsidP="006220A2">
      <w:pPr>
        <w:keepNext/>
        <w:keepLines/>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84"/>
        </w:tabs>
        <w:spacing w:before="200"/>
        <w:ind w:left="0" w:firstLine="0"/>
        <w:outlineLvl w:val="9"/>
        <w:rPr>
          <w:sz w:val="20"/>
          <w:szCs w:val="22"/>
          <w:u w:val="single"/>
        </w:rPr>
      </w:pPr>
      <w:r w:rsidRPr="00B91626">
        <w:rPr>
          <w:sz w:val="20"/>
          <w:szCs w:val="22"/>
          <w:u w:val="single"/>
        </w:rPr>
        <w:t>Contratos firmados con su Accionista Único</w:t>
      </w:r>
    </w:p>
    <w:p w14:paraId="33670BE3" w14:textId="77777777" w:rsidR="006220A2" w:rsidRPr="00B91626" w:rsidRDefault="006220A2" w:rsidP="006220A2">
      <w:pPr>
        <w:keepNext/>
        <w:keepLines/>
        <w:widowControl w:val="0"/>
        <w:spacing w:before="120" w:after="120"/>
        <w:jc w:val="both"/>
        <w:rPr>
          <w:sz w:val="20"/>
          <w:szCs w:val="22"/>
        </w:rPr>
      </w:pPr>
      <w:r w:rsidRPr="00B91626">
        <w:rPr>
          <w:sz w:val="20"/>
          <w:szCs w:val="22"/>
        </w:rPr>
        <w:t>La Sociedad tiene las siguientes encomiendas firmadas afectas al ejercicio 201</w:t>
      </w:r>
      <w:r w:rsidR="00184908" w:rsidRPr="00B91626">
        <w:rPr>
          <w:sz w:val="20"/>
          <w:szCs w:val="22"/>
        </w:rPr>
        <w:t>8</w:t>
      </w:r>
      <w:r w:rsidRPr="00B91626">
        <w:rPr>
          <w:sz w:val="20"/>
          <w:szCs w:val="22"/>
        </w:rPr>
        <w:t xml:space="preserve"> con la Consejería de Turismo, Cultura y Deportes: </w:t>
      </w:r>
    </w:p>
    <w:tbl>
      <w:tblPr>
        <w:tblW w:w="5000" w:type="pct"/>
        <w:jc w:val="center"/>
        <w:tblCellMar>
          <w:left w:w="70" w:type="dxa"/>
          <w:right w:w="70" w:type="dxa"/>
        </w:tblCellMar>
        <w:tblLook w:val="01E0" w:firstRow="1" w:lastRow="1" w:firstColumn="1" w:lastColumn="1" w:noHBand="0" w:noVBand="0"/>
      </w:tblPr>
      <w:tblGrid>
        <w:gridCol w:w="6049"/>
        <w:gridCol w:w="1584"/>
        <w:gridCol w:w="1288"/>
      </w:tblGrid>
      <w:tr w:rsidR="006220A2" w:rsidRPr="00B91626" w14:paraId="0834B39F" w14:textId="77777777" w:rsidTr="00841182">
        <w:trPr>
          <w:trHeight w:val="283"/>
          <w:jc w:val="center"/>
        </w:trPr>
        <w:tc>
          <w:tcPr>
            <w:tcW w:w="3390" w:type="pct"/>
            <w:tcBorders>
              <w:top w:val="single" w:sz="4" w:space="0" w:color="auto"/>
              <w:left w:val="nil"/>
              <w:bottom w:val="single" w:sz="4" w:space="0" w:color="auto"/>
              <w:right w:val="nil"/>
            </w:tcBorders>
            <w:shd w:val="clear" w:color="auto" w:fill="auto"/>
            <w:vAlign w:val="bottom"/>
            <w:hideMark/>
          </w:tcPr>
          <w:p w14:paraId="133FE540" w14:textId="77777777" w:rsidR="006220A2" w:rsidRPr="00B91626" w:rsidRDefault="006220A2" w:rsidP="00852114">
            <w:pPr>
              <w:keepNext/>
              <w:keepLines/>
              <w:jc w:val="center"/>
              <w:rPr>
                <w:rFonts w:eastAsia="Times New Roman"/>
                <w:sz w:val="18"/>
                <w:szCs w:val="18"/>
              </w:rPr>
            </w:pPr>
          </w:p>
        </w:tc>
        <w:tc>
          <w:tcPr>
            <w:tcW w:w="888" w:type="pct"/>
            <w:tcBorders>
              <w:top w:val="single" w:sz="4" w:space="0" w:color="auto"/>
              <w:left w:val="nil"/>
              <w:bottom w:val="single" w:sz="4" w:space="0" w:color="auto"/>
              <w:right w:val="nil"/>
            </w:tcBorders>
            <w:shd w:val="clear" w:color="auto" w:fill="auto"/>
            <w:vAlign w:val="bottom"/>
            <w:hideMark/>
          </w:tcPr>
          <w:p w14:paraId="154A7D4D" w14:textId="77777777" w:rsidR="006220A2" w:rsidRPr="00B91626" w:rsidRDefault="006220A2" w:rsidP="00852114">
            <w:pPr>
              <w:keepNext/>
              <w:keepLines/>
              <w:jc w:val="center"/>
              <w:rPr>
                <w:rFonts w:eastAsia="Times New Roman"/>
                <w:b/>
                <w:bCs/>
                <w:sz w:val="18"/>
                <w:szCs w:val="18"/>
              </w:rPr>
            </w:pPr>
            <w:r w:rsidRPr="00B91626">
              <w:rPr>
                <w:rFonts w:eastAsia="Times New Roman"/>
                <w:b/>
                <w:bCs/>
                <w:sz w:val="18"/>
                <w:szCs w:val="18"/>
              </w:rPr>
              <w:t>Importe</w:t>
            </w:r>
          </w:p>
        </w:tc>
        <w:tc>
          <w:tcPr>
            <w:tcW w:w="722" w:type="pct"/>
            <w:tcBorders>
              <w:top w:val="single" w:sz="4" w:space="0" w:color="auto"/>
              <w:left w:val="nil"/>
              <w:bottom w:val="single" w:sz="4" w:space="0" w:color="auto"/>
              <w:right w:val="nil"/>
            </w:tcBorders>
            <w:shd w:val="clear" w:color="auto" w:fill="auto"/>
            <w:vAlign w:val="bottom"/>
            <w:hideMark/>
          </w:tcPr>
          <w:p w14:paraId="65B5BD86" w14:textId="77777777" w:rsidR="006220A2" w:rsidRPr="00B91626" w:rsidRDefault="006220A2" w:rsidP="00852114">
            <w:pPr>
              <w:keepNext/>
              <w:keepLines/>
              <w:jc w:val="center"/>
              <w:rPr>
                <w:rFonts w:eastAsia="Times New Roman"/>
                <w:b/>
                <w:bCs/>
                <w:sz w:val="18"/>
                <w:szCs w:val="18"/>
              </w:rPr>
            </w:pPr>
            <w:r w:rsidRPr="00B91626">
              <w:rPr>
                <w:rFonts w:eastAsia="Times New Roman"/>
                <w:b/>
                <w:bCs/>
                <w:sz w:val="18"/>
                <w:szCs w:val="18"/>
              </w:rPr>
              <w:t>Periodo</w:t>
            </w:r>
          </w:p>
        </w:tc>
      </w:tr>
      <w:tr w:rsidR="006220A2" w:rsidRPr="00B91626" w14:paraId="5CF600A7" w14:textId="77777777" w:rsidTr="00841182">
        <w:trPr>
          <w:trHeight w:val="255"/>
          <w:jc w:val="center"/>
        </w:trPr>
        <w:tc>
          <w:tcPr>
            <w:tcW w:w="3390" w:type="pct"/>
            <w:tcBorders>
              <w:top w:val="nil"/>
              <w:left w:val="nil"/>
              <w:bottom w:val="single" w:sz="4" w:space="0" w:color="auto"/>
              <w:right w:val="nil"/>
            </w:tcBorders>
            <w:shd w:val="clear" w:color="auto" w:fill="auto"/>
            <w:vAlign w:val="center"/>
            <w:hideMark/>
          </w:tcPr>
          <w:p w14:paraId="68DB8A7D" w14:textId="77777777" w:rsidR="006220A2" w:rsidRPr="00B91626" w:rsidRDefault="006220A2" w:rsidP="00841182">
            <w:pPr>
              <w:keepNext/>
              <w:keepLines/>
              <w:rPr>
                <w:rFonts w:eastAsia="Times New Roman"/>
                <w:sz w:val="18"/>
                <w:szCs w:val="18"/>
              </w:rPr>
            </w:pPr>
            <w:r w:rsidRPr="00B91626">
              <w:rPr>
                <w:rFonts w:eastAsia="Times New Roman"/>
                <w:sz w:val="18"/>
                <w:szCs w:val="18"/>
              </w:rPr>
              <w:t xml:space="preserve">Para el </w:t>
            </w:r>
            <w:r w:rsidR="00A25CEC">
              <w:rPr>
                <w:rFonts w:eastAsia="Times New Roman"/>
                <w:sz w:val="18"/>
                <w:szCs w:val="18"/>
              </w:rPr>
              <w:t xml:space="preserve">proyecto de información tecnológica management office del destino turístico </w:t>
            </w:r>
            <w:r w:rsidRPr="00B91626">
              <w:rPr>
                <w:rFonts w:eastAsia="Times New Roman"/>
                <w:sz w:val="18"/>
                <w:szCs w:val="18"/>
              </w:rPr>
              <w:t xml:space="preserve">Islas Canarias </w:t>
            </w:r>
          </w:p>
        </w:tc>
        <w:tc>
          <w:tcPr>
            <w:tcW w:w="888" w:type="pct"/>
            <w:tcBorders>
              <w:top w:val="nil"/>
              <w:left w:val="nil"/>
              <w:bottom w:val="single" w:sz="4" w:space="0" w:color="auto"/>
              <w:right w:val="nil"/>
            </w:tcBorders>
            <w:shd w:val="clear" w:color="auto" w:fill="auto"/>
            <w:vAlign w:val="center"/>
            <w:hideMark/>
          </w:tcPr>
          <w:p w14:paraId="495CD24C" w14:textId="77777777" w:rsidR="006220A2" w:rsidRPr="00B91626" w:rsidRDefault="006220A2" w:rsidP="00841182">
            <w:pPr>
              <w:keepNext/>
              <w:keepLines/>
              <w:jc w:val="right"/>
              <w:rPr>
                <w:rFonts w:eastAsia="Times New Roman"/>
                <w:sz w:val="18"/>
                <w:szCs w:val="18"/>
              </w:rPr>
            </w:pPr>
            <w:r w:rsidRPr="00B91626">
              <w:rPr>
                <w:rFonts w:eastAsia="Times New Roman"/>
                <w:sz w:val="18"/>
                <w:szCs w:val="18"/>
              </w:rPr>
              <w:t>40.434,00</w:t>
            </w:r>
          </w:p>
        </w:tc>
        <w:tc>
          <w:tcPr>
            <w:tcW w:w="722" w:type="pct"/>
            <w:tcBorders>
              <w:top w:val="nil"/>
              <w:left w:val="nil"/>
              <w:bottom w:val="single" w:sz="4" w:space="0" w:color="auto"/>
              <w:right w:val="nil"/>
            </w:tcBorders>
            <w:shd w:val="clear" w:color="auto" w:fill="auto"/>
            <w:vAlign w:val="center"/>
            <w:hideMark/>
          </w:tcPr>
          <w:p w14:paraId="08FC953D" w14:textId="77777777" w:rsidR="006220A2" w:rsidRPr="00B91626" w:rsidRDefault="00184908" w:rsidP="00852114">
            <w:pPr>
              <w:keepNext/>
              <w:keepLines/>
              <w:jc w:val="center"/>
              <w:rPr>
                <w:rFonts w:eastAsia="Times New Roman"/>
                <w:sz w:val="18"/>
                <w:szCs w:val="18"/>
              </w:rPr>
            </w:pPr>
            <w:r w:rsidRPr="00B91626">
              <w:rPr>
                <w:rFonts w:eastAsia="Times New Roman"/>
                <w:sz w:val="18"/>
                <w:szCs w:val="18"/>
              </w:rPr>
              <w:t>2018</w:t>
            </w:r>
          </w:p>
        </w:tc>
      </w:tr>
      <w:tr w:rsidR="006220A2" w:rsidRPr="00B91626" w14:paraId="6F47E541" w14:textId="77777777" w:rsidTr="00841182">
        <w:trPr>
          <w:trHeight w:val="255"/>
          <w:jc w:val="center"/>
        </w:trPr>
        <w:tc>
          <w:tcPr>
            <w:tcW w:w="3390" w:type="pct"/>
            <w:tcBorders>
              <w:top w:val="single" w:sz="4" w:space="0" w:color="auto"/>
              <w:left w:val="nil"/>
              <w:bottom w:val="single" w:sz="4" w:space="0" w:color="auto"/>
              <w:right w:val="nil"/>
            </w:tcBorders>
            <w:shd w:val="clear" w:color="auto" w:fill="auto"/>
            <w:vAlign w:val="bottom"/>
          </w:tcPr>
          <w:p w14:paraId="6483E90C" w14:textId="77777777" w:rsidR="006220A2" w:rsidRPr="00B91626" w:rsidRDefault="006220A2" w:rsidP="00841182">
            <w:pPr>
              <w:rPr>
                <w:sz w:val="18"/>
                <w:szCs w:val="18"/>
              </w:rPr>
            </w:pPr>
            <w:r w:rsidRPr="00B91626">
              <w:rPr>
                <w:sz w:val="18"/>
                <w:szCs w:val="18"/>
              </w:rPr>
              <w:t>Para la fase de inicio y puesta en marcha de un sistema de información turística sobre los diferentes perfiles de turistas que visitan las Islas Canarias</w:t>
            </w:r>
          </w:p>
        </w:tc>
        <w:tc>
          <w:tcPr>
            <w:tcW w:w="888" w:type="pct"/>
            <w:tcBorders>
              <w:top w:val="single" w:sz="4" w:space="0" w:color="auto"/>
              <w:left w:val="nil"/>
              <w:bottom w:val="single" w:sz="4" w:space="0" w:color="auto"/>
              <w:right w:val="nil"/>
            </w:tcBorders>
            <w:shd w:val="clear" w:color="auto" w:fill="auto"/>
            <w:vAlign w:val="center"/>
          </w:tcPr>
          <w:p w14:paraId="33905E28" w14:textId="77777777" w:rsidR="006220A2" w:rsidRPr="00B91626" w:rsidRDefault="00184908" w:rsidP="00841182">
            <w:pPr>
              <w:jc w:val="right"/>
              <w:rPr>
                <w:sz w:val="18"/>
                <w:szCs w:val="18"/>
              </w:rPr>
            </w:pPr>
            <w:r w:rsidRPr="00B91626">
              <w:rPr>
                <w:sz w:val="18"/>
                <w:szCs w:val="18"/>
              </w:rPr>
              <w:t>50.0</w:t>
            </w:r>
            <w:r w:rsidR="006220A2" w:rsidRPr="00B91626">
              <w:rPr>
                <w:sz w:val="18"/>
                <w:szCs w:val="18"/>
              </w:rPr>
              <w:t>00,00</w:t>
            </w:r>
          </w:p>
        </w:tc>
        <w:tc>
          <w:tcPr>
            <w:tcW w:w="722" w:type="pct"/>
            <w:tcBorders>
              <w:top w:val="single" w:sz="4" w:space="0" w:color="auto"/>
              <w:left w:val="nil"/>
              <w:bottom w:val="single" w:sz="4" w:space="0" w:color="auto"/>
              <w:right w:val="nil"/>
            </w:tcBorders>
            <w:shd w:val="clear" w:color="auto" w:fill="auto"/>
            <w:vAlign w:val="center"/>
          </w:tcPr>
          <w:p w14:paraId="4478F47B" w14:textId="77777777" w:rsidR="006220A2" w:rsidRPr="00B91626" w:rsidRDefault="00184908" w:rsidP="00852114">
            <w:pPr>
              <w:ind w:left="78" w:right="37"/>
              <w:jc w:val="center"/>
              <w:rPr>
                <w:sz w:val="18"/>
                <w:szCs w:val="18"/>
              </w:rPr>
            </w:pPr>
            <w:r w:rsidRPr="00B91626">
              <w:rPr>
                <w:sz w:val="18"/>
                <w:szCs w:val="18"/>
              </w:rPr>
              <w:t>2018</w:t>
            </w:r>
          </w:p>
        </w:tc>
      </w:tr>
    </w:tbl>
    <w:p w14:paraId="3432CEE6" w14:textId="77777777" w:rsidR="006220A2" w:rsidRPr="00B91626" w:rsidRDefault="006220A2" w:rsidP="006220A2">
      <w:pPr>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0"/>
          <w:tab w:val="num" w:pos="284"/>
          <w:tab w:val="num" w:pos="644"/>
        </w:tabs>
        <w:spacing w:before="200"/>
        <w:ind w:left="0" w:firstLine="0"/>
        <w:outlineLvl w:val="9"/>
        <w:rPr>
          <w:sz w:val="20"/>
          <w:szCs w:val="22"/>
          <w:u w:val="single"/>
        </w:rPr>
      </w:pPr>
      <w:r w:rsidRPr="00B91626">
        <w:rPr>
          <w:sz w:val="20"/>
          <w:szCs w:val="22"/>
          <w:u w:val="single"/>
        </w:rPr>
        <w:t>Retribución al Consejo de Administración y Alta Dirección</w:t>
      </w:r>
    </w:p>
    <w:p w14:paraId="1C3810C5" w14:textId="77777777" w:rsidR="006220A2" w:rsidRPr="00B91626" w:rsidRDefault="006220A2" w:rsidP="006220A2">
      <w:pPr>
        <w:widowControl w:val="0"/>
        <w:tabs>
          <w:tab w:val="left" w:pos="567"/>
          <w:tab w:val="left" w:pos="1134"/>
          <w:tab w:val="left" w:pos="1587"/>
        </w:tabs>
        <w:spacing w:before="120"/>
        <w:jc w:val="both"/>
        <w:rPr>
          <w:sz w:val="20"/>
          <w:szCs w:val="22"/>
        </w:rPr>
      </w:pPr>
      <w:r w:rsidRPr="00B91626">
        <w:rPr>
          <w:sz w:val="20"/>
          <w:szCs w:val="22"/>
        </w:rPr>
        <w:t>No se han satisfecho retribuciones, durante el ejercicio 201</w:t>
      </w:r>
      <w:r w:rsidR="00184908" w:rsidRPr="00B91626">
        <w:rPr>
          <w:sz w:val="20"/>
          <w:szCs w:val="22"/>
        </w:rPr>
        <w:t>8</w:t>
      </w:r>
      <w:r w:rsidRPr="00B91626">
        <w:rPr>
          <w:sz w:val="20"/>
          <w:szCs w:val="22"/>
        </w:rPr>
        <w:t xml:space="preserve"> y 201</w:t>
      </w:r>
      <w:r w:rsidR="00184908" w:rsidRPr="00B91626">
        <w:rPr>
          <w:sz w:val="20"/>
          <w:szCs w:val="22"/>
        </w:rPr>
        <w:t>7</w:t>
      </w:r>
      <w:r w:rsidRPr="00B91626">
        <w:rPr>
          <w:sz w:val="20"/>
          <w:szCs w:val="22"/>
        </w:rPr>
        <w:t xml:space="preserve"> a los Administradores de la Sociedad. Las retribuciones por Alta Dirección ascienden </w:t>
      </w:r>
      <w:r w:rsidRPr="00B10DE7">
        <w:rPr>
          <w:sz w:val="20"/>
          <w:szCs w:val="22"/>
        </w:rPr>
        <w:t xml:space="preserve">a </w:t>
      </w:r>
      <w:r w:rsidR="00A25CEC" w:rsidRPr="00B10DE7">
        <w:rPr>
          <w:sz w:val="20"/>
          <w:szCs w:val="22"/>
        </w:rPr>
        <w:t>60.287,94</w:t>
      </w:r>
      <w:r w:rsidRPr="00B10DE7">
        <w:rPr>
          <w:sz w:val="20"/>
          <w:szCs w:val="22"/>
        </w:rPr>
        <w:t xml:space="preserve"> euros (</w:t>
      </w:r>
      <w:r w:rsidR="00184908" w:rsidRPr="00B10DE7">
        <w:rPr>
          <w:sz w:val="20"/>
          <w:szCs w:val="22"/>
        </w:rPr>
        <w:t>59.323,89</w:t>
      </w:r>
      <w:r w:rsidRPr="00B10DE7">
        <w:rPr>
          <w:sz w:val="20"/>
          <w:szCs w:val="22"/>
        </w:rPr>
        <w:t xml:space="preserve"> euros en 201</w:t>
      </w:r>
      <w:r w:rsidR="009E1CF7" w:rsidRPr="00B10DE7">
        <w:rPr>
          <w:sz w:val="20"/>
          <w:szCs w:val="22"/>
        </w:rPr>
        <w:t>7</w:t>
      </w:r>
      <w:r w:rsidRPr="00B10DE7">
        <w:rPr>
          <w:sz w:val="20"/>
          <w:szCs w:val="22"/>
        </w:rPr>
        <w:t>).</w:t>
      </w:r>
    </w:p>
    <w:p w14:paraId="2DE8066C" w14:textId="77777777" w:rsidR="006220A2" w:rsidRPr="00C875CD" w:rsidRDefault="006220A2" w:rsidP="006220A2">
      <w:pPr>
        <w:widowControl w:val="0"/>
        <w:tabs>
          <w:tab w:val="left" w:pos="567"/>
          <w:tab w:val="left" w:pos="1134"/>
          <w:tab w:val="left" w:pos="1587"/>
        </w:tabs>
        <w:spacing w:before="120"/>
        <w:jc w:val="both"/>
        <w:rPr>
          <w:sz w:val="20"/>
          <w:szCs w:val="22"/>
        </w:rPr>
      </w:pPr>
      <w:r w:rsidRPr="00B91626">
        <w:rPr>
          <w:sz w:val="20"/>
          <w:szCs w:val="22"/>
        </w:rPr>
        <w:t>En el deber de evitar situaciones de conflicto con el interés de la Sociedad, durante el ejercicio los administradores que han ocupado cargos en el Consejo de Administración han cumplido con las obligaciones previstas en el artículo 228 del texto refundido de la Ley de Sociedades de Capital. Asimismo, tanto ellos como las personas a ellos vinculadas, se han abstenido de incurrir en los supuestos de conflicto de interés previstos en el artículo 229 de dicha ley, excepto en los casos en que haya sido obtenida la correspondiente autorización.</w:t>
      </w:r>
    </w:p>
    <w:p w14:paraId="394B2132" w14:textId="77777777" w:rsidR="006220A2" w:rsidRDefault="006220A2" w:rsidP="006220A2">
      <w:pPr>
        <w:rPr>
          <w:sz w:val="20"/>
          <w:szCs w:val="22"/>
          <w:u w:val="single"/>
        </w:rPr>
      </w:pPr>
    </w:p>
    <w:p w14:paraId="12454B57" w14:textId="77777777" w:rsidR="002109C5" w:rsidRPr="00952392" w:rsidRDefault="002109C5" w:rsidP="006220A2">
      <w:pPr>
        <w:rPr>
          <w:sz w:val="20"/>
          <w:szCs w:val="22"/>
          <w:u w:val="single"/>
        </w:rPr>
      </w:pPr>
    </w:p>
    <w:p w14:paraId="076809B9" w14:textId="77777777" w:rsidR="006220A2" w:rsidRPr="00070E05" w:rsidRDefault="006220A2" w:rsidP="006220A2">
      <w:pPr>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lear" w:pos="644"/>
        </w:tabs>
        <w:ind w:left="284" w:hanging="284"/>
        <w:outlineLvl w:val="9"/>
        <w:rPr>
          <w:b/>
          <w:snapToGrid w:val="0"/>
          <w:sz w:val="22"/>
          <w:szCs w:val="22"/>
        </w:rPr>
      </w:pPr>
      <w:r>
        <w:rPr>
          <w:b/>
          <w:snapToGrid w:val="0"/>
          <w:sz w:val="22"/>
          <w:szCs w:val="22"/>
        </w:rPr>
        <w:t xml:space="preserve"> </w:t>
      </w:r>
      <w:r w:rsidRPr="00070E05">
        <w:rPr>
          <w:b/>
          <w:snapToGrid w:val="0"/>
          <w:sz w:val="22"/>
          <w:szCs w:val="22"/>
        </w:rPr>
        <w:t>Otra información</w:t>
      </w:r>
    </w:p>
    <w:p w14:paraId="3D49ABC4" w14:textId="77777777" w:rsidR="006220A2" w:rsidRDefault="006220A2" w:rsidP="006220A2">
      <w:pPr>
        <w:widowControl w:val="0"/>
        <w:spacing w:before="120" w:after="120"/>
        <w:jc w:val="both"/>
        <w:rPr>
          <w:snapToGrid w:val="0"/>
          <w:sz w:val="20"/>
        </w:rPr>
      </w:pPr>
      <w:r w:rsidRPr="00952392">
        <w:rPr>
          <w:snapToGrid w:val="0"/>
          <w:sz w:val="20"/>
        </w:rPr>
        <w:t>El número medio de empleados en el curso del ejercicio distribuido por categorías y sexo es el siguiente:</w:t>
      </w:r>
    </w:p>
    <w:tbl>
      <w:tblPr>
        <w:tblW w:w="6804" w:type="dxa"/>
        <w:jc w:val="center"/>
        <w:tblCellMar>
          <w:left w:w="70" w:type="dxa"/>
          <w:right w:w="70" w:type="dxa"/>
        </w:tblCellMar>
        <w:tblLook w:val="04A0" w:firstRow="1" w:lastRow="0" w:firstColumn="1" w:lastColumn="0" w:noHBand="0" w:noVBand="1"/>
      </w:tblPr>
      <w:tblGrid>
        <w:gridCol w:w="2780"/>
        <w:gridCol w:w="1136"/>
        <w:gridCol w:w="876"/>
        <w:gridCol w:w="1136"/>
        <w:gridCol w:w="876"/>
      </w:tblGrid>
      <w:tr w:rsidR="006220A2" w:rsidRPr="00E56C4D" w14:paraId="39B9516B" w14:textId="77777777" w:rsidTr="00852114">
        <w:trPr>
          <w:trHeight w:val="227"/>
          <w:jc w:val="center"/>
        </w:trPr>
        <w:tc>
          <w:tcPr>
            <w:tcW w:w="2780" w:type="dxa"/>
            <w:tcBorders>
              <w:top w:val="single" w:sz="4" w:space="0" w:color="auto"/>
              <w:left w:val="nil"/>
              <w:bottom w:val="nil"/>
              <w:right w:val="nil"/>
            </w:tcBorders>
            <w:shd w:val="clear" w:color="auto" w:fill="auto"/>
            <w:vAlign w:val="bottom"/>
            <w:hideMark/>
          </w:tcPr>
          <w:p w14:paraId="4E4F4276" w14:textId="77777777" w:rsidR="006220A2" w:rsidRPr="00565412" w:rsidRDefault="006220A2" w:rsidP="00852114">
            <w:pPr>
              <w:jc w:val="center"/>
              <w:rPr>
                <w:rFonts w:eastAsia="Times New Roman"/>
                <w:sz w:val="18"/>
                <w:szCs w:val="18"/>
              </w:rPr>
            </w:pPr>
          </w:p>
        </w:tc>
        <w:tc>
          <w:tcPr>
            <w:tcW w:w="2012" w:type="dxa"/>
            <w:gridSpan w:val="2"/>
            <w:tcBorders>
              <w:top w:val="single" w:sz="4" w:space="0" w:color="auto"/>
              <w:left w:val="nil"/>
              <w:bottom w:val="single" w:sz="4" w:space="0" w:color="auto"/>
              <w:right w:val="nil"/>
            </w:tcBorders>
            <w:shd w:val="clear" w:color="auto" w:fill="auto"/>
            <w:vAlign w:val="bottom"/>
            <w:hideMark/>
          </w:tcPr>
          <w:p w14:paraId="51B594EA" w14:textId="77777777" w:rsidR="006220A2" w:rsidRPr="00565412" w:rsidRDefault="00AF19D8" w:rsidP="00852114">
            <w:pPr>
              <w:jc w:val="center"/>
              <w:rPr>
                <w:rFonts w:eastAsia="Times New Roman"/>
                <w:b/>
                <w:bCs/>
                <w:sz w:val="18"/>
                <w:szCs w:val="18"/>
              </w:rPr>
            </w:pPr>
            <w:r>
              <w:rPr>
                <w:rFonts w:eastAsia="Times New Roman"/>
                <w:b/>
                <w:bCs/>
                <w:sz w:val="18"/>
                <w:szCs w:val="18"/>
              </w:rPr>
              <w:t>2018</w:t>
            </w:r>
          </w:p>
        </w:tc>
        <w:tc>
          <w:tcPr>
            <w:tcW w:w="2012" w:type="dxa"/>
            <w:gridSpan w:val="2"/>
            <w:tcBorders>
              <w:top w:val="single" w:sz="4" w:space="0" w:color="auto"/>
              <w:left w:val="nil"/>
              <w:bottom w:val="single" w:sz="4" w:space="0" w:color="auto"/>
              <w:right w:val="nil"/>
            </w:tcBorders>
            <w:shd w:val="clear" w:color="auto" w:fill="auto"/>
            <w:vAlign w:val="bottom"/>
            <w:hideMark/>
          </w:tcPr>
          <w:p w14:paraId="3E1EAC00" w14:textId="77777777" w:rsidR="006220A2" w:rsidRPr="00565412" w:rsidRDefault="00AF19D8" w:rsidP="00852114">
            <w:pPr>
              <w:jc w:val="center"/>
              <w:rPr>
                <w:rFonts w:eastAsia="Times New Roman"/>
                <w:b/>
                <w:bCs/>
                <w:sz w:val="18"/>
                <w:szCs w:val="18"/>
              </w:rPr>
            </w:pPr>
            <w:r>
              <w:rPr>
                <w:rFonts w:eastAsia="Times New Roman"/>
                <w:b/>
                <w:bCs/>
                <w:sz w:val="18"/>
                <w:szCs w:val="18"/>
              </w:rPr>
              <w:t>2017</w:t>
            </w:r>
          </w:p>
        </w:tc>
      </w:tr>
      <w:tr w:rsidR="006220A2" w:rsidRPr="00E56C4D" w14:paraId="7395D120" w14:textId="77777777" w:rsidTr="00852114">
        <w:trPr>
          <w:trHeight w:val="227"/>
          <w:jc w:val="center"/>
        </w:trPr>
        <w:tc>
          <w:tcPr>
            <w:tcW w:w="2780" w:type="dxa"/>
            <w:tcBorders>
              <w:top w:val="nil"/>
              <w:left w:val="nil"/>
              <w:bottom w:val="single" w:sz="4" w:space="0" w:color="auto"/>
              <w:right w:val="nil"/>
            </w:tcBorders>
            <w:shd w:val="clear" w:color="auto" w:fill="auto"/>
            <w:vAlign w:val="bottom"/>
            <w:hideMark/>
          </w:tcPr>
          <w:p w14:paraId="15755269" w14:textId="77777777" w:rsidR="006220A2" w:rsidRPr="00565412" w:rsidRDefault="006220A2" w:rsidP="00852114">
            <w:pPr>
              <w:jc w:val="center"/>
              <w:rPr>
                <w:rFonts w:eastAsia="Times New Roman"/>
                <w:b/>
                <w:bCs/>
                <w:sz w:val="18"/>
                <w:szCs w:val="18"/>
              </w:rPr>
            </w:pPr>
            <w:r w:rsidRPr="00565412">
              <w:rPr>
                <w:rFonts w:eastAsia="Times New Roman"/>
                <w:b/>
                <w:bCs/>
                <w:sz w:val="18"/>
                <w:szCs w:val="18"/>
              </w:rPr>
              <w:t>Categoría</w:t>
            </w:r>
          </w:p>
        </w:tc>
        <w:tc>
          <w:tcPr>
            <w:tcW w:w="1136" w:type="dxa"/>
            <w:tcBorders>
              <w:top w:val="nil"/>
              <w:left w:val="nil"/>
              <w:bottom w:val="single" w:sz="4" w:space="0" w:color="auto"/>
              <w:right w:val="nil"/>
            </w:tcBorders>
            <w:shd w:val="clear" w:color="auto" w:fill="auto"/>
            <w:vAlign w:val="bottom"/>
            <w:hideMark/>
          </w:tcPr>
          <w:p w14:paraId="50E74622" w14:textId="77777777" w:rsidR="006220A2" w:rsidRPr="00565412" w:rsidRDefault="006220A2" w:rsidP="00852114">
            <w:pPr>
              <w:jc w:val="center"/>
              <w:rPr>
                <w:rFonts w:eastAsia="Times New Roman"/>
                <w:b/>
                <w:bCs/>
                <w:sz w:val="18"/>
                <w:szCs w:val="18"/>
              </w:rPr>
            </w:pPr>
            <w:r w:rsidRPr="00565412">
              <w:rPr>
                <w:rFonts w:eastAsia="Times New Roman"/>
                <w:b/>
                <w:bCs/>
                <w:sz w:val="18"/>
                <w:szCs w:val="18"/>
              </w:rPr>
              <w:t>Hombres</w:t>
            </w:r>
          </w:p>
        </w:tc>
        <w:tc>
          <w:tcPr>
            <w:tcW w:w="876" w:type="dxa"/>
            <w:tcBorders>
              <w:top w:val="nil"/>
              <w:left w:val="nil"/>
              <w:bottom w:val="single" w:sz="4" w:space="0" w:color="auto"/>
              <w:right w:val="nil"/>
            </w:tcBorders>
            <w:shd w:val="clear" w:color="auto" w:fill="auto"/>
            <w:vAlign w:val="bottom"/>
            <w:hideMark/>
          </w:tcPr>
          <w:p w14:paraId="537A64D6" w14:textId="77777777" w:rsidR="006220A2" w:rsidRPr="00565412" w:rsidRDefault="006220A2" w:rsidP="00852114">
            <w:pPr>
              <w:jc w:val="center"/>
              <w:rPr>
                <w:rFonts w:eastAsia="Times New Roman"/>
                <w:b/>
                <w:bCs/>
                <w:sz w:val="18"/>
                <w:szCs w:val="18"/>
              </w:rPr>
            </w:pPr>
            <w:r w:rsidRPr="00565412">
              <w:rPr>
                <w:rFonts w:eastAsia="Times New Roman"/>
                <w:b/>
                <w:bCs/>
                <w:sz w:val="18"/>
                <w:szCs w:val="18"/>
              </w:rPr>
              <w:t>Mujeres</w:t>
            </w:r>
          </w:p>
        </w:tc>
        <w:tc>
          <w:tcPr>
            <w:tcW w:w="1136" w:type="dxa"/>
            <w:tcBorders>
              <w:top w:val="nil"/>
              <w:left w:val="nil"/>
              <w:bottom w:val="single" w:sz="4" w:space="0" w:color="auto"/>
              <w:right w:val="nil"/>
            </w:tcBorders>
            <w:shd w:val="clear" w:color="auto" w:fill="auto"/>
            <w:vAlign w:val="bottom"/>
            <w:hideMark/>
          </w:tcPr>
          <w:p w14:paraId="197B4175" w14:textId="77777777" w:rsidR="006220A2" w:rsidRPr="00565412" w:rsidRDefault="006220A2" w:rsidP="00852114">
            <w:pPr>
              <w:jc w:val="center"/>
              <w:rPr>
                <w:rFonts w:eastAsia="Times New Roman"/>
                <w:b/>
                <w:bCs/>
                <w:sz w:val="18"/>
                <w:szCs w:val="18"/>
              </w:rPr>
            </w:pPr>
            <w:r w:rsidRPr="00565412">
              <w:rPr>
                <w:rFonts w:eastAsia="Times New Roman"/>
                <w:b/>
                <w:bCs/>
                <w:sz w:val="18"/>
                <w:szCs w:val="18"/>
              </w:rPr>
              <w:t>Hombres</w:t>
            </w:r>
          </w:p>
        </w:tc>
        <w:tc>
          <w:tcPr>
            <w:tcW w:w="876" w:type="dxa"/>
            <w:tcBorders>
              <w:top w:val="nil"/>
              <w:left w:val="nil"/>
              <w:bottom w:val="single" w:sz="4" w:space="0" w:color="auto"/>
              <w:right w:val="nil"/>
            </w:tcBorders>
            <w:shd w:val="clear" w:color="auto" w:fill="auto"/>
            <w:vAlign w:val="bottom"/>
            <w:hideMark/>
          </w:tcPr>
          <w:p w14:paraId="288AE592" w14:textId="77777777" w:rsidR="006220A2" w:rsidRPr="00565412" w:rsidRDefault="006220A2" w:rsidP="00852114">
            <w:pPr>
              <w:jc w:val="center"/>
              <w:rPr>
                <w:rFonts w:eastAsia="Times New Roman"/>
                <w:b/>
                <w:bCs/>
                <w:sz w:val="18"/>
                <w:szCs w:val="18"/>
              </w:rPr>
            </w:pPr>
            <w:r w:rsidRPr="00565412">
              <w:rPr>
                <w:rFonts w:eastAsia="Times New Roman"/>
                <w:b/>
                <w:bCs/>
                <w:sz w:val="18"/>
                <w:szCs w:val="18"/>
              </w:rPr>
              <w:t>Mujeres</w:t>
            </w:r>
          </w:p>
        </w:tc>
      </w:tr>
      <w:tr w:rsidR="009E1CF7" w:rsidRPr="00E56C4D" w14:paraId="7FB3C171" w14:textId="77777777" w:rsidTr="00AF19D8">
        <w:trPr>
          <w:trHeight w:val="255"/>
          <w:jc w:val="center"/>
        </w:trPr>
        <w:tc>
          <w:tcPr>
            <w:tcW w:w="2780" w:type="dxa"/>
            <w:tcBorders>
              <w:top w:val="nil"/>
              <w:left w:val="nil"/>
              <w:bottom w:val="nil"/>
              <w:right w:val="nil"/>
            </w:tcBorders>
            <w:shd w:val="clear" w:color="auto" w:fill="auto"/>
            <w:vAlign w:val="center"/>
            <w:hideMark/>
          </w:tcPr>
          <w:p w14:paraId="5584B694" w14:textId="77777777" w:rsidR="009E1CF7" w:rsidRPr="00565412" w:rsidRDefault="009E1CF7" w:rsidP="009E1CF7">
            <w:pPr>
              <w:rPr>
                <w:rFonts w:eastAsia="Times New Roman"/>
                <w:sz w:val="18"/>
                <w:szCs w:val="18"/>
              </w:rPr>
            </w:pPr>
            <w:r w:rsidRPr="00565412">
              <w:rPr>
                <w:rFonts w:eastAsia="Times New Roman"/>
                <w:sz w:val="18"/>
                <w:szCs w:val="18"/>
              </w:rPr>
              <w:t>Directivos</w:t>
            </w:r>
          </w:p>
        </w:tc>
        <w:tc>
          <w:tcPr>
            <w:tcW w:w="1136" w:type="dxa"/>
            <w:tcBorders>
              <w:top w:val="nil"/>
              <w:left w:val="nil"/>
              <w:bottom w:val="nil"/>
              <w:right w:val="nil"/>
            </w:tcBorders>
            <w:shd w:val="clear" w:color="auto" w:fill="auto"/>
            <w:vAlign w:val="center"/>
          </w:tcPr>
          <w:p w14:paraId="5F5D32A4" w14:textId="77777777" w:rsidR="009E1CF7" w:rsidRPr="00FE5650" w:rsidRDefault="009E1CF7" w:rsidP="009E1CF7">
            <w:pPr>
              <w:jc w:val="center"/>
              <w:rPr>
                <w:sz w:val="18"/>
                <w:szCs w:val="18"/>
              </w:rPr>
            </w:pPr>
            <w:r>
              <w:rPr>
                <w:sz w:val="18"/>
                <w:szCs w:val="18"/>
              </w:rPr>
              <w:t>1</w:t>
            </w:r>
          </w:p>
        </w:tc>
        <w:tc>
          <w:tcPr>
            <w:tcW w:w="876" w:type="dxa"/>
            <w:tcBorders>
              <w:top w:val="nil"/>
              <w:left w:val="nil"/>
              <w:bottom w:val="nil"/>
              <w:right w:val="nil"/>
            </w:tcBorders>
            <w:shd w:val="clear" w:color="auto" w:fill="auto"/>
            <w:vAlign w:val="center"/>
          </w:tcPr>
          <w:p w14:paraId="156CA67B" w14:textId="77777777" w:rsidR="009E1CF7" w:rsidRDefault="009E1CF7" w:rsidP="009E1CF7">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Pr>
                <w:sz w:val="18"/>
                <w:szCs w:val="18"/>
              </w:rPr>
              <w:t>4</w:t>
            </w:r>
          </w:p>
        </w:tc>
        <w:tc>
          <w:tcPr>
            <w:tcW w:w="1136" w:type="dxa"/>
            <w:tcBorders>
              <w:top w:val="nil"/>
              <w:left w:val="nil"/>
              <w:bottom w:val="nil"/>
              <w:right w:val="nil"/>
            </w:tcBorders>
            <w:shd w:val="clear" w:color="auto" w:fill="auto"/>
            <w:vAlign w:val="center"/>
          </w:tcPr>
          <w:p w14:paraId="043B7B8D" w14:textId="77777777" w:rsidR="009E1CF7" w:rsidRPr="00565412" w:rsidRDefault="009E1CF7" w:rsidP="009E1CF7">
            <w:pPr>
              <w:jc w:val="center"/>
              <w:rPr>
                <w:rFonts w:eastAsia="Times New Roman"/>
                <w:sz w:val="18"/>
                <w:szCs w:val="18"/>
              </w:rPr>
            </w:pPr>
            <w:r>
              <w:rPr>
                <w:rFonts w:eastAsia="Times New Roman"/>
                <w:sz w:val="18"/>
                <w:szCs w:val="18"/>
              </w:rPr>
              <w:t>1</w:t>
            </w:r>
          </w:p>
        </w:tc>
        <w:tc>
          <w:tcPr>
            <w:tcW w:w="876" w:type="dxa"/>
            <w:tcBorders>
              <w:top w:val="nil"/>
              <w:left w:val="nil"/>
              <w:bottom w:val="nil"/>
              <w:right w:val="nil"/>
            </w:tcBorders>
            <w:shd w:val="clear" w:color="auto" w:fill="auto"/>
            <w:vAlign w:val="center"/>
          </w:tcPr>
          <w:p w14:paraId="78FF92E8" w14:textId="77777777" w:rsidR="009E1CF7" w:rsidRPr="00565412" w:rsidRDefault="009E1CF7" w:rsidP="009E1CF7">
            <w:pPr>
              <w:jc w:val="center"/>
              <w:rPr>
                <w:rFonts w:eastAsia="Times New Roman"/>
                <w:sz w:val="18"/>
                <w:szCs w:val="18"/>
              </w:rPr>
            </w:pPr>
            <w:r>
              <w:rPr>
                <w:rFonts w:eastAsia="Times New Roman"/>
                <w:sz w:val="18"/>
                <w:szCs w:val="18"/>
              </w:rPr>
              <w:t>4</w:t>
            </w:r>
          </w:p>
        </w:tc>
      </w:tr>
      <w:tr w:rsidR="009E1CF7" w:rsidRPr="00E56C4D" w14:paraId="7982519F" w14:textId="77777777" w:rsidTr="00AF19D8">
        <w:trPr>
          <w:trHeight w:val="255"/>
          <w:jc w:val="center"/>
        </w:trPr>
        <w:tc>
          <w:tcPr>
            <w:tcW w:w="2780" w:type="dxa"/>
            <w:tcBorders>
              <w:top w:val="nil"/>
              <w:left w:val="nil"/>
              <w:bottom w:val="nil"/>
              <w:right w:val="nil"/>
            </w:tcBorders>
            <w:shd w:val="clear" w:color="auto" w:fill="auto"/>
            <w:vAlign w:val="center"/>
            <w:hideMark/>
          </w:tcPr>
          <w:p w14:paraId="2E11134C" w14:textId="77777777" w:rsidR="009E1CF7" w:rsidRPr="00565412" w:rsidRDefault="009E1CF7" w:rsidP="009E1CF7">
            <w:pPr>
              <w:rPr>
                <w:rFonts w:eastAsia="Times New Roman"/>
                <w:sz w:val="18"/>
                <w:szCs w:val="18"/>
              </w:rPr>
            </w:pPr>
            <w:r w:rsidRPr="00565412">
              <w:rPr>
                <w:rFonts w:eastAsia="Times New Roman"/>
                <w:sz w:val="18"/>
                <w:szCs w:val="18"/>
              </w:rPr>
              <w:t>Técnicos superiores</w:t>
            </w:r>
          </w:p>
        </w:tc>
        <w:tc>
          <w:tcPr>
            <w:tcW w:w="1136" w:type="dxa"/>
            <w:tcBorders>
              <w:top w:val="nil"/>
              <w:left w:val="nil"/>
              <w:bottom w:val="nil"/>
              <w:right w:val="nil"/>
            </w:tcBorders>
            <w:shd w:val="clear" w:color="auto" w:fill="auto"/>
            <w:vAlign w:val="center"/>
          </w:tcPr>
          <w:p w14:paraId="601E1F34" w14:textId="77777777" w:rsidR="009E1CF7" w:rsidRDefault="009E1CF7" w:rsidP="009E1CF7">
            <w:pPr>
              <w:jc w:val="center"/>
              <w:rPr>
                <w:sz w:val="18"/>
                <w:szCs w:val="18"/>
              </w:rPr>
            </w:pPr>
            <w:r>
              <w:rPr>
                <w:sz w:val="18"/>
                <w:szCs w:val="18"/>
              </w:rPr>
              <w:t>5</w:t>
            </w:r>
          </w:p>
        </w:tc>
        <w:tc>
          <w:tcPr>
            <w:tcW w:w="876" w:type="dxa"/>
            <w:tcBorders>
              <w:top w:val="nil"/>
              <w:left w:val="nil"/>
              <w:bottom w:val="nil"/>
              <w:right w:val="nil"/>
            </w:tcBorders>
            <w:shd w:val="clear" w:color="auto" w:fill="auto"/>
            <w:vAlign w:val="center"/>
          </w:tcPr>
          <w:p w14:paraId="7E9FEA80" w14:textId="77777777" w:rsidR="009E1CF7" w:rsidRDefault="009E1CF7" w:rsidP="009E1CF7">
            <w:pPr>
              <w:jc w:val="center"/>
              <w:rPr>
                <w:sz w:val="18"/>
                <w:szCs w:val="18"/>
              </w:rPr>
            </w:pPr>
            <w:r>
              <w:rPr>
                <w:sz w:val="18"/>
                <w:szCs w:val="18"/>
              </w:rPr>
              <w:t>8</w:t>
            </w:r>
          </w:p>
        </w:tc>
        <w:tc>
          <w:tcPr>
            <w:tcW w:w="1136" w:type="dxa"/>
            <w:tcBorders>
              <w:top w:val="nil"/>
              <w:left w:val="nil"/>
              <w:bottom w:val="nil"/>
              <w:right w:val="nil"/>
            </w:tcBorders>
            <w:shd w:val="clear" w:color="auto" w:fill="auto"/>
            <w:vAlign w:val="center"/>
          </w:tcPr>
          <w:p w14:paraId="57F41DD2" w14:textId="77777777" w:rsidR="009E1CF7" w:rsidRPr="00565412" w:rsidRDefault="009E1CF7" w:rsidP="009E1CF7">
            <w:pPr>
              <w:jc w:val="center"/>
              <w:rPr>
                <w:rFonts w:eastAsia="Times New Roman"/>
                <w:sz w:val="18"/>
                <w:szCs w:val="18"/>
              </w:rPr>
            </w:pPr>
            <w:r>
              <w:rPr>
                <w:rFonts w:eastAsia="Times New Roman"/>
                <w:sz w:val="18"/>
                <w:szCs w:val="18"/>
              </w:rPr>
              <w:t>6</w:t>
            </w:r>
          </w:p>
        </w:tc>
        <w:tc>
          <w:tcPr>
            <w:tcW w:w="876" w:type="dxa"/>
            <w:tcBorders>
              <w:top w:val="nil"/>
              <w:left w:val="nil"/>
              <w:bottom w:val="nil"/>
              <w:right w:val="nil"/>
            </w:tcBorders>
            <w:shd w:val="clear" w:color="auto" w:fill="auto"/>
            <w:vAlign w:val="center"/>
          </w:tcPr>
          <w:p w14:paraId="4B28DBBA" w14:textId="77777777" w:rsidR="009E1CF7" w:rsidRPr="00565412" w:rsidRDefault="009E1CF7" w:rsidP="009E1CF7">
            <w:pPr>
              <w:jc w:val="center"/>
              <w:rPr>
                <w:rFonts w:eastAsia="Times New Roman"/>
                <w:sz w:val="18"/>
                <w:szCs w:val="18"/>
              </w:rPr>
            </w:pPr>
            <w:r>
              <w:rPr>
                <w:rFonts w:eastAsia="Times New Roman"/>
                <w:sz w:val="18"/>
                <w:szCs w:val="18"/>
              </w:rPr>
              <w:t>7</w:t>
            </w:r>
          </w:p>
        </w:tc>
      </w:tr>
      <w:tr w:rsidR="009E1CF7" w:rsidRPr="00E56C4D" w14:paraId="58879504" w14:textId="77777777" w:rsidTr="00AF19D8">
        <w:trPr>
          <w:trHeight w:val="255"/>
          <w:jc w:val="center"/>
        </w:trPr>
        <w:tc>
          <w:tcPr>
            <w:tcW w:w="2780" w:type="dxa"/>
            <w:tcBorders>
              <w:top w:val="nil"/>
              <w:left w:val="nil"/>
              <w:bottom w:val="nil"/>
              <w:right w:val="nil"/>
            </w:tcBorders>
            <w:shd w:val="clear" w:color="auto" w:fill="auto"/>
            <w:vAlign w:val="center"/>
            <w:hideMark/>
          </w:tcPr>
          <w:p w14:paraId="178245E9" w14:textId="77777777" w:rsidR="009E1CF7" w:rsidRPr="00565412" w:rsidRDefault="009E1CF7" w:rsidP="009E1CF7">
            <w:pPr>
              <w:rPr>
                <w:rFonts w:eastAsia="Times New Roman"/>
                <w:sz w:val="18"/>
                <w:szCs w:val="18"/>
              </w:rPr>
            </w:pPr>
            <w:r w:rsidRPr="00565412">
              <w:rPr>
                <w:rFonts w:eastAsia="Times New Roman"/>
                <w:sz w:val="18"/>
                <w:szCs w:val="18"/>
              </w:rPr>
              <w:t>Técnicos medios</w:t>
            </w:r>
          </w:p>
        </w:tc>
        <w:tc>
          <w:tcPr>
            <w:tcW w:w="1136" w:type="dxa"/>
            <w:tcBorders>
              <w:top w:val="nil"/>
              <w:left w:val="nil"/>
              <w:bottom w:val="nil"/>
              <w:right w:val="nil"/>
            </w:tcBorders>
            <w:shd w:val="clear" w:color="auto" w:fill="auto"/>
            <w:vAlign w:val="center"/>
          </w:tcPr>
          <w:p w14:paraId="7BC0CCF0" w14:textId="77777777" w:rsidR="009E1CF7" w:rsidRDefault="009E1CF7" w:rsidP="009E1CF7">
            <w:pPr>
              <w:jc w:val="center"/>
              <w:rPr>
                <w:sz w:val="18"/>
                <w:szCs w:val="18"/>
              </w:rPr>
            </w:pPr>
            <w:r>
              <w:rPr>
                <w:sz w:val="18"/>
                <w:szCs w:val="18"/>
              </w:rPr>
              <w:t>2</w:t>
            </w:r>
          </w:p>
        </w:tc>
        <w:tc>
          <w:tcPr>
            <w:tcW w:w="876" w:type="dxa"/>
            <w:tcBorders>
              <w:top w:val="nil"/>
              <w:left w:val="nil"/>
              <w:bottom w:val="nil"/>
              <w:right w:val="nil"/>
            </w:tcBorders>
            <w:shd w:val="clear" w:color="auto" w:fill="auto"/>
            <w:vAlign w:val="center"/>
          </w:tcPr>
          <w:p w14:paraId="2E831677" w14:textId="77777777" w:rsidR="009E1CF7" w:rsidRDefault="009E1CF7" w:rsidP="009E1CF7">
            <w:pPr>
              <w:jc w:val="center"/>
              <w:rPr>
                <w:sz w:val="18"/>
                <w:szCs w:val="18"/>
              </w:rPr>
            </w:pPr>
            <w:r>
              <w:rPr>
                <w:sz w:val="18"/>
                <w:szCs w:val="18"/>
              </w:rPr>
              <w:t>2</w:t>
            </w:r>
          </w:p>
        </w:tc>
        <w:tc>
          <w:tcPr>
            <w:tcW w:w="1136" w:type="dxa"/>
            <w:tcBorders>
              <w:top w:val="nil"/>
              <w:left w:val="nil"/>
              <w:bottom w:val="nil"/>
              <w:right w:val="nil"/>
            </w:tcBorders>
            <w:shd w:val="clear" w:color="auto" w:fill="auto"/>
            <w:vAlign w:val="center"/>
          </w:tcPr>
          <w:p w14:paraId="76018FB2" w14:textId="77777777" w:rsidR="009E1CF7" w:rsidRPr="00565412" w:rsidRDefault="009E1CF7" w:rsidP="009E1CF7">
            <w:pPr>
              <w:jc w:val="center"/>
              <w:rPr>
                <w:rFonts w:eastAsia="Times New Roman"/>
                <w:sz w:val="18"/>
                <w:szCs w:val="18"/>
              </w:rPr>
            </w:pPr>
            <w:r>
              <w:rPr>
                <w:rFonts w:eastAsia="Times New Roman"/>
                <w:sz w:val="18"/>
                <w:szCs w:val="18"/>
              </w:rPr>
              <w:t>2</w:t>
            </w:r>
          </w:p>
        </w:tc>
        <w:tc>
          <w:tcPr>
            <w:tcW w:w="876" w:type="dxa"/>
            <w:tcBorders>
              <w:top w:val="nil"/>
              <w:left w:val="nil"/>
              <w:bottom w:val="nil"/>
              <w:right w:val="nil"/>
            </w:tcBorders>
            <w:shd w:val="clear" w:color="auto" w:fill="auto"/>
            <w:vAlign w:val="center"/>
          </w:tcPr>
          <w:p w14:paraId="34F28FE8" w14:textId="77777777" w:rsidR="009E1CF7" w:rsidRPr="00565412" w:rsidRDefault="009E1CF7" w:rsidP="009E1CF7">
            <w:pPr>
              <w:jc w:val="center"/>
              <w:rPr>
                <w:rFonts w:eastAsia="Times New Roman"/>
                <w:sz w:val="18"/>
                <w:szCs w:val="18"/>
              </w:rPr>
            </w:pPr>
            <w:r>
              <w:rPr>
                <w:rFonts w:eastAsia="Times New Roman"/>
                <w:sz w:val="18"/>
                <w:szCs w:val="18"/>
              </w:rPr>
              <w:t>2</w:t>
            </w:r>
          </w:p>
        </w:tc>
      </w:tr>
      <w:tr w:rsidR="009E1CF7" w:rsidRPr="00E56C4D" w14:paraId="104B6C4F" w14:textId="77777777" w:rsidTr="00AF19D8">
        <w:trPr>
          <w:trHeight w:val="255"/>
          <w:jc w:val="center"/>
        </w:trPr>
        <w:tc>
          <w:tcPr>
            <w:tcW w:w="2780" w:type="dxa"/>
            <w:tcBorders>
              <w:top w:val="nil"/>
              <w:left w:val="nil"/>
              <w:bottom w:val="nil"/>
              <w:right w:val="nil"/>
            </w:tcBorders>
            <w:shd w:val="clear" w:color="auto" w:fill="auto"/>
            <w:vAlign w:val="center"/>
            <w:hideMark/>
          </w:tcPr>
          <w:p w14:paraId="646C9D35" w14:textId="77777777" w:rsidR="009E1CF7" w:rsidRPr="00565412" w:rsidRDefault="009E1CF7" w:rsidP="009E1CF7">
            <w:pPr>
              <w:rPr>
                <w:rFonts w:eastAsia="Times New Roman"/>
                <w:sz w:val="18"/>
                <w:szCs w:val="18"/>
              </w:rPr>
            </w:pPr>
            <w:r w:rsidRPr="00565412">
              <w:rPr>
                <w:rFonts w:eastAsia="Times New Roman"/>
                <w:sz w:val="18"/>
                <w:szCs w:val="18"/>
              </w:rPr>
              <w:t>Administrativos/Coordinadores</w:t>
            </w:r>
          </w:p>
        </w:tc>
        <w:tc>
          <w:tcPr>
            <w:tcW w:w="1136" w:type="dxa"/>
            <w:tcBorders>
              <w:top w:val="nil"/>
              <w:left w:val="nil"/>
              <w:bottom w:val="nil"/>
              <w:right w:val="nil"/>
            </w:tcBorders>
            <w:shd w:val="clear" w:color="auto" w:fill="auto"/>
            <w:vAlign w:val="center"/>
          </w:tcPr>
          <w:p w14:paraId="35D7E387" w14:textId="77777777" w:rsidR="009E1CF7" w:rsidRDefault="009E1CF7" w:rsidP="009E1CF7">
            <w:pPr>
              <w:jc w:val="center"/>
              <w:rPr>
                <w:sz w:val="18"/>
                <w:szCs w:val="18"/>
              </w:rPr>
            </w:pPr>
            <w:r>
              <w:rPr>
                <w:sz w:val="18"/>
                <w:szCs w:val="18"/>
              </w:rPr>
              <w:t>2</w:t>
            </w:r>
          </w:p>
        </w:tc>
        <w:tc>
          <w:tcPr>
            <w:tcW w:w="876" w:type="dxa"/>
            <w:tcBorders>
              <w:top w:val="nil"/>
              <w:left w:val="nil"/>
              <w:bottom w:val="nil"/>
              <w:right w:val="nil"/>
            </w:tcBorders>
            <w:shd w:val="clear" w:color="auto" w:fill="auto"/>
            <w:vAlign w:val="center"/>
          </w:tcPr>
          <w:p w14:paraId="364093C0" w14:textId="77777777" w:rsidR="009E1CF7" w:rsidRDefault="009E1CF7" w:rsidP="009E1CF7">
            <w:pPr>
              <w:jc w:val="center"/>
              <w:rPr>
                <w:sz w:val="18"/>
                <w:szCs w:val="18"/>
              </w:rPr>
            </w:pPr>
            <w:r>
              <w:rPr>
                <w:sz w:val="18"/>
                <w:szCs w:val="18"/>
              </w:rPr>
              <w:t>19</w:t>
            </w:r>
          </w:p>
        </w:tc>
        <w:tc>
          <w:tcPr>
            <w:tcW w:w="1136" w:type="dxa"/>
            <w:tcBorders>
              <w:top w:val="nil"/>
              <w:left w:val="nil"/>
              <w:bottom w:val="nil"/>
              <w:right w:val="nil"/>
            </w:tcBorders>
            <w:shd w:val="clear" w:color="auto" w:fill="auto"/>
            <w:vAlign w:val="center"/>
          </w:tcPr>
          <w:p w14:paraId="66710131" w14:textId="77777777" w:rsidR="009E1CF7" w:rsidRPr="00565412" w:rsidRDefault="009E1CF7" w:rsidP="009E1CF7">
            <w:pPr>
              <w:jc w:val="center"/>
              <w:rPr>
                <w:rFonts w:eastAsia="Times New Roman"/>
                <w:sz w:val="18"/>
                <w:szCs w:val="18"/>
              </w:rPr>
            </w:pPr>
            <w:r>
              <w:rPr>
                <w:rFonts w:eastAsia="Times New Roman"/>
                <w:sz w:val="18"/>
                <w:szCs w:val="18"/>
              </w:rPr>
              <w:t>2</w:t>
            </w:r>
          </w:p>
        </w:tc>
        <w:tc>
          <w:tcPr>
            <w:tcW w:w="876" w:type="dxa"/>
            <w:tcBorders>
              <w:top w:val="nil"/>
              <w:left w:val="nil"/>
              <w:bottom w:val="nil"/>
              <w:right w:val="nil"/>
            </w:tcBorders>
            <w:shd w:val="clear" w:color="auto" w:fill="auto"/>
            <w:vAlign w:val="center"/>
          </w:tcPr>
          <w:p w14:paraId="1847A9D7" w14:textId="77777777" w:rsidR="009E1CF7" w:rsidRPr="00565412" w:rsidRDefault="009E1CF7" w:rsidP="009E1CF7">
            <w:pPr>
              <w:jc w:val="center"/>
              <w:rPr>
                <w:rFonts w:eastAsia="Times New Roman"/>
                <w:sz w:val="18"/>
                <w:szCs w:val="18"/>
              </w:rPr>
            </w:pPr>
            <w:r>
              <w:rPr>
                <w:rFonts w:eastAsia="Times New Roman"/>
                <w:sz w:val="18"/>
                <w:szCs w:val="18"/>
              </w:rPr>
              <w:t>17</w:t>
            </w:r>
          </w:p>
        </w:tc>
      </w:tr>
      <w:tr w:rsidR="009E1CF7" w:rsidRPr="00E56C4D" w14:paraId="720DAFF1" w14:textId="77777777" w:rsidTr="00AF19D8">
        <w:trPr>
          <w:trHeight w:val="255"/>
          <w:jc w:val="center"/>
        </w:trPr>
        <w:tc>
          <w:tcPr>
            <w:tcW w:w="2780" w:type="dxa"/>
            <w:tcBorders>
              <w:top w:val="nil"/>
              <w:left w:val="nil"/>
              <w:bottom w:val="single" w:sz="4" w:space="0" w:color="auto"/>
              <w:right w:val="nil"/>
            </w:tcBorders>
            <w:shd w:val="clear" w:color="auto" w:fill="auto"/>
            <w:vAlign w:val="center"/>
            <w:hideMark/>
          </w:tcPr>
          <w:p w14:paraId="3886C5F3" w14:textId="77777777" w:rsidR="009E1CF7" w:rsidRPr="00565412" w:rsidRDefault="009E1CF7" w:rsidP="009E1CF7">
            <w:pPr>
              <w:rPr>
                <w:rFonts w:eastAsia="Times New Roman"/>
                <w:sz w:val="18"/>
                <w:szCs w:val="18"/>
              </w:rPr>
            </w:pPr>
            <w:r w:rsidRPr="00565412">
              <w:rPr>
                <w:rFonts w:eastAsia="Times New Roman"/>
                <w:sz w:val="18"/>
                <w:szCs w:val="18"/>
              </w:rPr>
              <w:t>Otros</w:t>
            </w:r>
          </w:p>
        </w:tc>
        <w:tc>
          <w:tcPr>
            <w:tcW w:w="1136" w:type="dxa"/>
            <w:tcBorders>
              <w:top w:val="nil"/>
              <w:left w:val="nil"/>
              <w:bottom w:val="single" w:sz="4" w:space="0" w:color="auto"/>
              <w:right w:val="nil"/>
            </w:tcBorders>
            <w:shd w:val="clear" w:color="auto" w:fill="auto"/>
            <w:vAlign w:val="center"/>
          </w:tcPr>
          <w:p w14:paraId="2564DE69" w14:textId="77777777" w:rsidR="009E1CF7" w:rsidRDefault="009E1CF7" w:rsidP="009E1CF7">
            <w:pPr>
              <w:jc w:val="center"/>
              <w:rPr>
                <w:sz w:val="18"/>
                <w:szCs w:val="18"/>
              </w:rPr>
            </w:pPr>
            <w:r>
              <w:rPr>
                <w:sz w:val="18"/>
                <w:szCs w:val="18"/>
              </w:rPr>
              <w:t>0</w:t>
            </w:r>
          </w:p>
        </w:tc>
        <w:tc>
          <w:tcPr>
            <w:tcW w:w="876" w:type="dxa"/>
            <w:tcBorders>
              <w:top w:val="nil"/>
              <w:left w:val="nil"/>
              <w:bottom w:val="single" w:sz="4" w:space="0" w:color="auto"/>
              <w:right w:val="nil"/>
            </w:tcBorders>
            <w:shd w:val="clear" w:color="auto" w:fill="auto"/>
            <w:vAlign w:val="center"/>
          </w:tcPr>
          <w:p w14:paraId="29B52189" w14:textId="77777777" w:rsidR="009E1CF7" w:rsidRDefault="009E1CF7" w:rsidP="009E1CF7">
            <w:pPr>
              <w:jc w:val="center"/>
              <w:rPr>
                <w:sz w:val="18"/>
                <w:szCs w:val="18"/>
              </w:rPr>
            </w:pPr>
            <w:r>
              <w:rPr>
                <w:sz w:val="18"/>
                <w:szCs w:val="18"/>
              </w:rPr>
              <w:t>1</w:t>
            </w:r>
          </w:p>
        </w:tc>
        <w:tc>
          <w:tcPr>
            <w:tcW w:w="1136" w:type="dxa"/>
            <w:tcBorders>
              <w:top w:val="nil"/>
              <w:left w:val="nil"/>
              <w:bottom w:val="single" w:sz="4" w:space="0" w:color="auto"/>
              <w:right w:val="nil"/>
            </w:tcBorders>
            <w:shd w:val="clear" w:color="auto" w:fill="auto"/>
            <w:vAlign w:val="center"/>
          </w:tcPr>
          <w:p w14:paraId="24D451DF" w14:textId="77777777" w:rsidR="009E1CF7" w:rsidRPr="00565412" w:rsidRDefault="009E1CF7" w:rsidP="009E1CF7">
            <w:pPr>
              <w:jc w:val="center"/>
              <w:rPr>
                <w:rFonts w:eastAsia="Times New Roman"/>
                <w:sz w:val="18"/>
                <w:szCs w:val="18"/>
              </w:rPr>
            </w:pPr>
            <w:r>
              <w:rPr>
                <w:rFonts w:eastAsia="Times New Roman"/>
                <w:sz w:val="18"/>
                <w:szCs w:val="18"/>
              </w:rPr>
              <w:t>-</w:t>
            </w:r>
          </w:p>
        </w:tc>
        <w:tc>
          <w:tcPr>
            <w:tcW w:w="876" w:type="dxa"/>
            <w:tcBorders>
              <w:top w:val="nil"/>
              <w:left w:val="nil"/>
              <w:bottom w:val="single" w:sz="4" w:space="0" w:color="auto"/>
              <w:right w:val="nil"/>
            </w:tcBorders>
            <w:shd w:val="clear" w:color="auto" w:fill="auto"/>
            <w:vAlign w:val="center"/>
          </w:tcPr>
          <w:p w14:paraId="0055AE55" w14:textId="77777777" w:rsidR="009E1CF7" w:rsidRPr="00565412" w:rsidRDefault="009E1CF7" w:rsidP="009E1CF7">
            <w:pPr>
              <w:jc w:val="center"/>
              <w:rPr>
                <w:rFonts w:eastAsia="Times New Roman"/>
                <w:sz w:val="18"/>
                <w:szCs w:val="18"/>
              </w:rPr>
            </w:pPr>
            <w:r>
              <w:rPr>
                <w:rFonts w:eastAsia="Times New Roman"/>
                <w:sz w:val="18"/>
                <w:szCs w:val="18"/>
              </w:rPr>
              <w:t>1</w:t>
            </w:r>
          </w:p>
        </w:tc>
      </w:tr>
      <w:tr w:rsidR="009E1CF7" w:rsidRPr="00E56C4D" w14:paraId="5A9AD1C0" w14:textId="77777777" w:rsidTr="00AF19D8">
        <w:trPr>
          <w:trHeight w:val="255"/>
          <w:jc w:val="center"/>
        </w:trPr>
        <w:tc>
          <w:tcPr>
            <w:tcW w:w="2780" w:type="dxa"/>
            <w:tcBorders>
              <w:top w:val="nil"/>
              <w:left w:val="nil"/>
              <w:bottom w:val="single" w:sz="4" w:space="0" w:color="auto"/>
              <w:right w:val="nil"/>
            </w:tcBorders>
            <w:shd w:val="clear" w:color="auto" w:fill="auto"/>
            <w:vAlign w:val="center"/>
            <w:hideMark/>
          </w:tcPr>
          <w:p w14:paraId="1223B22E" w14:textId="77777777" w:rsidR="009E1CF7" w:rsidRPr="00C21ABC" w:rsidRDefault="009E1CF7" w:rsidP="009E1CF7">
            <w:pPr>
              <w:rPr>
                <w:rFonts w:eastAsia="Times New Roman"/>
                <w:b/>
                <w:sz w:val="18"/>
                <w:szCs w:val="18"/>
              </w:rPr>
            </w:pPr>
            <w:r w:rsidRPr="00565412">
              <w:rPr>
                <w:rFonts w:eastAsia="Times New Roman"/>
                <w:sz w:val="18"/>
                <w:szCs w:val="18"/>
              </w:rPr>
              <w:t> </w:t>
            </w:r>
            <w:r w:rsidRPr="00C21ABC">
              <w:rPr>
                <w:rFonts w:eastAsia="Times New Roman"/>
                <w:b/>
                <w:sz w:val="18"/>
                <w:szCs w:val="18"/>
              </w:rPr>
              <w:t>Total</w:t>
            </w:r>
          </w:p>
        </w:tc>
        <w:tc>
          <w:tcPr>
            <w:tcW w:w="1136" w:type="dxa"/>
            <w:tcBorders>
              <w:top w:val="nil"/>
              <w:left w:val="nil"/>
              <w:bottom w:val="single" w:sz="4" w:space="0" w:color="auto"/>
              <w:right w:val="nil"/>
            </w:tcBorders>
            <w:shd w:val="clear" w:color="auto" w:fill="auto"/>
            <w:vAlign w:val="center"/>
          </w:tcPr>
          <w:p w14:paraId="7E7759B6" w14:textId="77777777" w:rsidR="009E1CF7" w:rsidRDefault="009E1CF7" w:rsidP="009E1CF7">
            <w:pPr>
              <w:jc w:val="center"/>
              <w:rPr>
                <w:b/>
                <w:bCs/>
                <w:sz w:val="18"/>
                <w:szCs w:val="18"/>
              </w:rPr>
            </w:pPr>
            <w:r>
              <w:rPr>
                <w:b/>
                <w:bCs/>
                <w:sz w:val="18"/>
                <w:szCs w:val="18"/>
              </w:rPr>
              <w:t>10</w:t>
            </w:r>
          </w:p>
        </w:tc>
        <w:tc>
          <w:tcPr>
            <w:tcW w:w="876" w:type="dxa"/>
            <w:tcBorders>
              <w:top w:val="nil"/>
              <w:left w:val="nil"/>
              <w:bottom w:val="single" w:sz="4" w:space="0" w:color="auto"/>
              <w:right w:val="nil"/>
            </w:tcBorders>
            <w:shd w:val="clear" w:color="auto" w:fill="auto"/>
            <w:vAlign w:val="center"/>
          </w:tcPr>
          <w:p w14:paraId="43B99480" w14:textId="77777777" w:rsidR="009E1CF7" w:rsidRDefault="009E1CF7" w:rsidP="009E1CF7">
            <w:pPr>
              <w:jc w:val="center"/>
              <w:rPr>
                <w:b/>
                <w:bCs/>
                <w:sz w:val="18"/>
                <w:szCs w:val="18"/>
              </w:rPr>
            </w:pPr>
            <w:r>
              <w:rPr>
                <w:b/>
                <w:bCs/>
                <w:sz w:val="18"/>
                <w:szCs w:val="18"/>
              </w:rPr>
              <w:t>34</w:t>
            </w:r>
          </w:p>
        </w:tc>
        <w:tc>
          <w:tcPr>
            <w:tcW w:w="1136" w:type="dxa"/>
            <w:tcBorders>
              <w:top w:val="nil"/>
              <w:left w:val="nil"/>
              <w:bottom w:val="single" w:sz="4" w:space="0" w:color="auto"/>
              <w:right w:val="nil"/>
            </w:tcBorders>
            <w:shd w:val="clear" w:color="auto" w:fill="auto"/>
            <w:vAlign w:val="center"/>
          </w:tcPr>
          <w:p w14:paraId="4182D63B" w14:textId="77777777" w:rsidR="009E1CF7" w:rsidRPr="00565412" w:rsidRDefault="009E1CF7" w:rsidP="009E1CF7">
            <w:pPr>
              <w:jc w:val="center"/>
              <w:rPr>
                <w:rFonts w:eastAsia="Times New Roman"/>
                <w:b/>
                <w:bCs/>
                <w:sz w:val="18"/>
                <w:szCs w:val="18"/>
              </w:rPr>
            </w:pPr>
            <w:r>
              <w:rPr>
                <w:rFonts w:eastAsia="Times New Roman"/>
                <w:b/>
                <w:bCs/>
                <w:sz w:val="18"/>
                <w:szCs w:val="18"/>
              </w:rPr>
              <w:t>11</w:t>
            </w:r>
          </w:p>
        </w:tc>
        <w:tc>
          <w:tcPr>
            <w:tcW w:w="876" w:type="dxa"/>
            <w:tcBorders>
              <w:top w:val="nil"/>
              <w:left w:val="nil"/>
              <w:bottom w:val="single" w:sz="4" w:space="0" w:color="auto"/>
              <w:right w:val="nil"/>
            </w:tcBorders>
            <w:shd w:val="clear" w:color="auto" w:fill="auto"/>
            <w:vAlign w:val="center"/>
          </w:tcPr>
          <w:p w14:paraId="53616635" w14:textId="77777777" w:rsidR="009E1CF7" w:rsidRPr="00565412" w:rsidRDefault="009E1CF7" w:rsidP="009E1CF7">
            <w:pPr>
              <w:jc w:val="center"/>
              <w:rPr>
                <w:rFonts w:eastAsia="Times New Roman"/>
                <w:b/>
                <w:bCs/>
                <w:sz w:val="18"/>
                <w:szCs w:val="18"/>
              </w:rPr>
            </w:pPr>
            <w:r>
              <w:rPr>
                <w:rFonts w:eastAsia="Times New Roman"/>
                <w:b/>
                <w:bCs/>
                <w:sz w:val="18"/>
                <w:szCs w:val="18"/>
              </w:rPr>
              <w:t>31</w:t>
            </w:r>
          </w:p>
        </w:tc>
      </w:tr>
    </w:tbl>
    <w:p w14:paraId="006D8C12" w14:textId="77777777" w:rsidR="006220A2" w:rsidRDefault="006220A2" w:rsidP="006220A2">
      <w:pPr>
        <w:widowControl w:val="0"/>
        <w:tabs>
          <w:tab w:val="left" w:pos="567"/>
          <w:tab w:val="left" w:pos="1134"/>
          <w:tab w:val="left" w:pos="1587"/>
        </w:tabs>
        <w:spacing w:before="120"/>
        <w:jc w:val="both"/>
        <w:rPr>
          <w:sz w:val="20"/>
        </w:rPr>
      </w:pPr>
      <w:r w:rsidRPr="00952392">
        <w:rPr>
          <w:sz w:val="20"/>
        </w:rPr>
        <w:t>El total de empleados medios del ejercicio 201</w:t>
      </w:r>
      <w:r w:rsidR="00AF19D8">
        <w:rPr>
          <w:sz w:val="20"/>
        </w:rPr>
        <w:t>8</w:t>
      </w:r>
      <w:r w:rsidRPr="00952392">
        <w:rPr>
          <w:sz w:val="20"/>
        </w:rPr>
        <w:t xml:space="preserve"> ascendió </w:t>
      </w:r>
      <w:r w:rsidR="009E1CF7">
        <w:rPr>
          <w:sz w:val="20"/>
        </w:rPr>
        <w:t>a 44</w:t>
      </w:r>
      <w:r w:rsidRPr="0011020F">
        <w:rPr>
          <w:sz w:val="20"/>
        </w:rPr>
        <w:t xml:space="preserve"> (42</w:t>
      </w:r>
      <w:r w:rsidR="00AF19D8">
        <w:rPr>
          <w:sz w:val="20"/>
        </w:rPr>
        <w:t xml:space="preserve"> en 2017</w:t>
      </w:r>
      <w:r w:rsidRPr="0099326D">
        <w:rPr>
          <w:sz w:val="20"/>
        </w:rPr>
        <w:t>).</w:t>
      </w:r>
      <w:r w:rsidRPr="00952392">
        <w:rPr>
          <w:sz w:val="20"/>
        </w:rPr>
        <w:t xml:space="preserve"> </w:t>
      </w:r>
    </w:p>
    <w:p w14:paraId="05A32F70" w14:textId="77777777" w:rsidR="006220A2" w:rsidRDefault="006220A2" w:rsidP="006220A2">
      <w:pPr>
        <w:widowControl w:val="0"/>
        <w:tabs>
          <w:tab w:val="left" w:pos="567"/>
          <w:tab w:val="left" w:pos="1134"/>
          <w:tab w:val="left" w:pos="1587"/>
        </w:tabs>
        <w:spacing w:before="120"/>
        <w:jc w:val="both"/>
        <w:rPr>
          <w:sz w:val="20"/>
        </w:rPr>
      </w:pPr>
    </w:p>
    <w:p w14:paraId="605F8533" w14:textId="77777777" w:rsidR="006220A2" w:rsidRPr="00842010" w:rsidRDefault="006220A2" w:rsidP="006220A2">
      <w:pPr>
        <w:pStyle w:val="Textoindependiente"/>
        <w:keepNext/>
        <w:keepLines/>
        <w:spacing w:before="120" w:after="120"/>
        <w:rPr>
          <w:rFonts w:ascii="Arial" w:eastAsia="Times" w:hAnsi="Arial" w:cs="Arial"/>
          <w:i w:val="0"/>
          <w:snapToGrid/>
          <w:color w:val="auto"/>
          <w:sz w:val="20"/>
          <w:lang w:val="es-ES_tradnl"/>
        </w:rPr>
      </w:pPr>
      <w:r w:rsidRPr="00842010">
        <w:rPr>
          <w:rFonts w:ascii="Arial" w:eastAsia="Times" w:hAnsi="Arial" w:cs="Arial"/>
          <w:i w:val="0"/>
          <w:snapToGrid/>
          <w:color w:val="auto"/>
          <w:sz w:val="20"/>
          <w:lang w:val="es-ES_tradnl"/>
        </w:rPr>
        <w:t xml:space="preserve">Incluidas en el cuadro anterior, el desglose de las personas empleadas en el curso del ejercicio con discapacidad mayor o igual del 33% por categorías, es el siguiente: </w:t>
      </w:r>
    </w:p>
    <w:tbl>
      <w:tblPr>
        <w:tblW w:w="6804" w:type="dxa"/>
        <w:jc w:val="center"/>
        <w:tblCellMar>
          <w:left w:w="70" w:type="dxa"/>
          <w:right w:w="70" w:type="dxa"/>
        </w:tblCellMar>
        <w:tblLook w:val="04A0" w:firstRow="1" w:lastRow="0" w:firstColumn="1" w:lastColumn="0" w:noHBand="0" w:noVBand="1"/>
      </w:tblPr>
      <w:tblGrid>
        <w:gridCol w:w="3858"/>
        <w:gridCol w:w="1473"/>
        <w:gridCol w:w="1473"/>
      </w:tblGrid>
      <w:tr w:rsidR="006220A2" w:rsidRPr="00842010" w14:paraId="2E25851D" w14:textId="77777777" w:rsidTr="00852114">
        <w:trPr>
          <w:trHeight w:val="240"/>
          <w:jc w:val="center"/>
        </w:trPr>
        <w:tc>
          <w:tcPr>
            <w:tcW w:w="3880" w:type="dxa"/>
            <w:tcBorders>
              <w:top w:val="single" w:sz="4" w:space="0" w:color="auto"/>
              <w:left w:val="nil"/>
              <w:bottom w:val="single" w:sz="4" w:space="0" w:color="auto"/>
              <w:right w:val="nil"/>
            </w:tcBorders>
            <w:shd w:val="clear" w:color="auto" w:fill="auto"/>
            <w:vAlign w:val="bottom"/>
            <w:hideMark/>
          </w:tcPr>
          <w:p w14:paraId="4B85CCA0" w14:textId="77777777" w:rsidR="006220A2" w:rsidRPr="00842010" w:rsidRDefault="006220A2" w:rsidP="00852114">
            <w:pPr>
              <w:keepNext/>
              <w:keepLines/>
              <w:jc w:val="center"/>
              <w:rPr>
                <w:rFonts w:eastAsia="Times New Roman"/>
                <w:b/>
                <w:bCs/>
                <w:sz w:val="18"/>
                <w:szCs w:val="18"/>
              </w:rPr>
            </w:pPr>
            <w:r w:rsidRPr="00842010">
              <w:rPr>
                <w:rFonts w:eastAsia="Times New Roman"/>
                <w:b/>
                <w:bCs/>
                <w:sz w:val="18"/>
                <w:szCs w:val="18"/>
              </w:rPr>
              <w:t>Categoría</w:t>
            </w:r>
          </w:p>
        </w:tc>
        <w:tc>
          <w:tcPr>
            <w:tcW w:w="1480" w:type="dxa"/>
            <w:tcBorders>
              <w:top w:val="single" w:sz="4" w:space="0" w:color="auto"/>
              <w:left w:val="nil"/>
              <w:bottom w:val="single" w:sz="4" w:space="0" w:color="auto"/>
              <w:right w:val="nil"/>
            </w:tcBorders>
            <w:shd w:val="clear" w:color="auto" w:fill="auto"/>
            <w:vAlign w:val="bottom"/>
            <w:hideMark/>
          </w:tcPr>
          <w:p w14:paraId="67080192" w14:textId="77777777" w:rsidR="006220A2" w:rsidRPr="00842010" w:rsidRDefault="006220A2" w:rsidP="00852114">
            <w:pPr>
              <w:keepNext/>
              <w:keepLines/>
              <w:jc w:val="center"/>
              <w:rPr>
                <w:rFonts w:eastAsia="Times New Roman"/>
                <w:b/>
                <w:bCs/>
                <w:sz w:val="18"/>
                <w:szCs w:val="18"/>
              </w:rPr>
            </w:pPr>
            <w:r w:rsidRPr="00842010">
              <w:rPr>
                <w:rFonts w:eastAsia="Times New Roman"/>
                <w:b/>
                <w:bCs/>
                <w:sz w:val="18"/>
                <w:szCs w:val="18"/>
              </w:rPr>
              <w:t>20</w:t>
            </w:r>
            <w:r w:rsidR="001B79CB">
              <w:rPr>
                <w:rFonts w:eastAsia="Times New Roman"/>
                <w:b/>
                <w:bCs/>
                <w:sz w:val="18"/>
                <w:szCs w:val="18"/>
              </w:rPr>
              <w:t>18</w:t>
            </w:r>
          </w:p>
        </w:tc>
        <w:tc>
          <w:tcPr>
            <w:tcW w:w="1480" w:type="dxa"/>
            <w:tcBorders>
              <w:top w:val="single" w:sz="4" w:space="0" w:color="auto"/>
              <w:left w:val="nil"/>
              <w:bottom w:val="single" w:sz="4" w:space="0" w:color="auto"/>
              <w:right w:val="nil"/>
            </w:tcBorders>
            <w:shd w:val="clear" w:color="auto" w:fill="auto"/>
            <w:vAlign w:val="bottom"/>
            <w:hideMark/>
          </w:tcPr>
          <w:p w14:paraId="39312A03" w14:textId="77777777" w:rsidR="006220A2" w:rsidRPr="00842010" w:rsidRDefault="001B79CB" w:rsidP="00852114">
            <w:pPr>
              <w:keepNext/>
              <w:keepLines/>
              <w:jc w:val="center"/>
              <w:rPr>
                <w:rFonts w:eastAsia="Times New Roman"/>
                <w:b/>
                <w:bCs/>
                <w:sz w:val="18"/>
                <w:szCs w:val="18"/>
              </w:rPr>
            </w:pPr>
            <w:r>
              <w:rPr>
                <w:rFonts w:eastAsia="Times New Roman"/>
                <w:b/>
                <w:bCs/>
                <w:sz w:val="18"/>
                <w:szCs w:val="18"/>
              </w:rPr>
              <w:t>2017</w:t>
            </w:r>
          </w:p>
        </w:tc>
      </w:tr>
      <w:tr w:rsidR="006220A2" w:rsidRPr="00842010" w14:paraId="29F74B68" w14:textId="77777777" w:rsidTr="00852114">
        <w:trPr>
          <w:trHeight w:val="255"/>
          <w:jc w:val="center"/>
        </w:trPr>
        <w:tc>
          <w:tcPr>
            <w:tcW w:w="3880" w:type="dxa"/>
            <w:tcBorders>
              <w:top w:val="nil"/>
              <w:left w:val="nil"/>
              <w:bottom w:val="nil"/>
              <w:right w:val="nil"/>
            </w:tcBorders>
            <w:shd w:val="clear" w:color="auto" w:fill="auto"/>
            <w:vAlign w:val="center"/>
            <w:hideMark/>
          </w:tcPr>
          <w:p w14:paraId="70708312" w14:textId="77777777" w:rsidR="006220A2" w:rsidRPr="00842010" w:rsidRDefault="006220A2" w:rsidP="00852114">
            <w:pPr>
              <w:keepNext/>
              <w:keepLines/>
              <w:rPr>
                <w:rFonts w:eastAsia="Times New Roman"/>
                <w:sz w:val="18"/>
                <w:szCs w:val="18"/>
              </w:rPr>
            </w:pPr>
            <w:r w:rsidRPr="00842010">
              <w:rPr>
                <w:rFonts w:eastAsia="Times New Roman"/>
                <w:sz w:val="18"/>
                <w:szCs w:val="18"/>
              </w:rPr>
              <w:t>Técnicos medios</w:t>
            </w:r>
          </w:p>
        </w:tc>
        <w:tc>
          <w:tcPr>
            <w:tcW w:w="1480" w:type="dxa"/>
            <w:tcBorders>
              <w:top w:val="nil"/>
              <w:left w:val="nil"/>
              <w:bottom w:val="nil"/>
              <w:right w:val="nil"/>
            </w:tcBorders>
            <w:shd w:val="clear" w:color="auto" w:fill="auto"/>
            <w:vAlign w:val="center"/>
            <w:hideMark/>
          </w:tcPr>
          <w:p w14:paraId="27614C11" w14:textId="77777777" w:rsidR="006220A2" w:rsidRPr="00842010" w:rsidRDefault="006220A2" w:rsidP="00852114">
            <w:pPr>
              <w:keepNext/>
              <w:keepLines/>
              <w:jc w:val="center"/>
              <w:rPr>
                <w:rFonts w:eastAsia="Times New Roman"/>
                <w:sz w:val="18"/>
                <w:szCs w:val="18"/>
              </w:rPr>
            </w:pPr>
            <w:r w:rsidRPr="00842010">
              <w:rPr>
                <w:rFonts w:eastAsia="Times New Roman"/>
                <w:sz w:val="18"/>
                <w:szCs w:val="18"/>
              </w:rPr>
              <w:t>1</w:t>
            </w:r>
          </w:p>
        </w:tc>
        <w:tc>
          <w:tcPr>
            <w:tcW w:w="1480" w:type="dxa"/>
            <w:tcBorders>
              <w:top w:val="nil"/>
              <w:left w:val="nil"/>
              <w:bottom w:val="nil"/>
              <w:right w:val="nil"/>
            </w:tcBorders>
            <w:shd w:val="clear" w:color="auto" w:fill="auto"/>
            <w:vAlign w:val="center"/>
            <w:hideMark/>
          </w:tcPr>
          <w:p w14:paraId="5AAFEBD6" w14:textId="77777777" w:rsidR="006220A2" w:rsidRPr="00842010" w:rsidRDefault="006220A2" w:rsidP="00852114">
            <w:pPr>
              <w:keepNext/>
              <w:keepLines/>
              <w:jc w:val="center"/>
              <w:rPr>
                <w:rFonts w:eastAsia="Times New Roman"/>
                <w:sz w:val="18"/>
                <w:szCs w:val="18"/>
              </w:rPr>
            </w:pPr>
            <w:r w:rsidRPr="00842010">
              <w:rPr>
                <w:rFonts w:eastAsia="Times New Roman"/>
                <w:sz w:val="18"/>
                <w:szCs w:val="18"/>
              </w:rPr>
              <w:t>1</w:t>
            </w:r>
          </w:p>
        </w:tc>
      </w:tr>
      <w:tr w:rsidR="006220A2" w:rsidRPr="00842010" w14:paraId="40436667" w14:textId="77777777" w:rsidTr="00852114">
        <w:trPr>
          <w:trHeight w:val="255"/>
          <w:jc w:val="center"/>
        </w:trPr>
        <w:tc>
          <w:tcPr>
            <w:tcW w:w="3880" w:type="dxa"/>
            <w:tcBorders>
              <w:top w:val="single" w:sz="4" w:space="0" w:color="auto"/>
              <w:left w:val="nil"/>
              <w:bottom w:val="single" w:sz="4" w:space="0" w:color="auto"/>
              <w:right w:val="nil"/>
            </w:tcBorders>
            <w:shd w:val="clear" w:color="auto" w:fill="auto"/>
            <w:vAlign w:val="center"/>
            <w:hideMark/>
          </w:tcPr>
          <w:p w14:paraId="0F14A662" w14:textId="77777777" w:rsidR="006220A2" w:rsidRPr="00842010" w:rsidRDefault="006220A2" w:rsidP="00852114">
            <w:pPr>
              <w:rPr>
                <w:rFonts w:eastAsia="Times New Roman"/>
                <w:b/>
                <w:sz w:val="18"/>
                <w:szCs w:val="18"/>
              </w:rPr>
            </w:pPr>
            <w:r w:rsidRPr="00842010">
              <w:rPr>
                <w:rFonts w:eastAsia="Times New Roman"/>
                <w:sz w:val="18"/>
                <w:szCs w:val="18"/>
              </w:rPr>
              <w:t> </w:t>
            </w:r>
            <w:r w:rsidRPr="00842010">
              <w:rPr>
                <w:rFonts w:eastAsia="Times New Roman"/>
                <w:b/>
                <w:sz w:val="18"/>
                <w:szCs w:val="18"/>
              </w:rPr>
              <w:t>Total</w:t>
            </w:r>
          </w:p>
        </w:tc>
        <w:tc>
          <w:tcPr>
            <w:tcW w:w="1480" w:type="dxa"/>
            <w:tcBorders>
              <w:top w:val="single" w:sz="4" w:space="0" w:color="auto"/>
              <w:left w:val="nil"/>
              <w:bottom w:val="single" w:sz="4" w:space="0" w:color="auto"/>
              <w:right w:val="nil"/>
            </w:tcBorders>
            <w:shd w:val="clear" w:color="auto" w:fill="auto"/>
            <w:vAlign w:val="center"/>
            <w:hideMark/>
          </w:tcPr>
          <w:p w14:paraId="263FA9A9" w14:textId="77777777" w:rsidR="006220A2" w:rsidRPr="00842010" w:rsidRDefault="006220A2" w:rsidP="00852114">
            <w:pPr>
              <w:jc w:val="center"/>
              <w:rPr>
                <w:rFonts w:eastAsia="Times New Roman"/>
                <w:b/>
                <w:bCs/>
                <w:sz w:val="18"/>
                <w:szCs w:val="18"/>
              </w:rPr>
            </w:pPr>
            <w:r w:rsidRPr="00842010">
              <w:rPr>
                <w:rFonts w:eastAsia="Times New Roman"/>
                <w:b/>
                <w:bCs/>
                <w:sz w:val="18"/>
                <w:szCs w:val="18"/>
              </w:rPr>
              <w:t>1</w:t>
            </w:r>
          </w:p>
        </w:tc>
        <w:tc>
          <w:tcPr>
            <w:tcW w:w="1480" w:type="dxa"/>
            <w:tcBorders>
              <w:top w:val="single" w:sz="4" w:space="0" w:color="auto"/>
              <w:left w:val="nil"/>
              <w:bottom w:val="single" w:sz="4" w:space="0" w:color="auto"/>
              <w:right w:val="nil"/>
            </w:tcBorders>
            <w:shd w:val="clear" w:color="auto" w:fill="auto"/>
            <w:vAlign w:val="center"/>
            <w:hideMark/>
          </w:tcPr>
          <w:p w14:paraId="735C8ABD" w14:textId="77777777" w:rsidR="006220A2" w:rsidRPr="00842010" w:rsidRDefault="006220A2" w:rsidP="00852114">
            <w:pPr>
              <w:jc w:val="center"/>
              <w:rPr>
                <w:rFonts w:eastAsia="Times New Roman"/>
                <w:b/>
                <w:bCs/>
                <w:sz w:val="18"/>
                <w:szCs w:val="18"/>
              </w:rPr>
            </w:pPr>
            <w:r w:rsidRPr="00842010">
              <w:rPr>
                <w:rFonts w:eastAsia="Times New Roman"/>
                <w:b/>
                <w:bCs/>
                <w:sz w:val="18"/>
                <w:szCs w:val="18"/>
              </w:rPr>
              <w:t>1</w:t>
            </w:r>
          </w:p>
        </w:tc>
      </w:tr>
    </w:tbl>
    <w:p w14:paraId="74BC4D10" w14:textId="77777777" w:rsidR="006220A2" w:rsidRPr="00842010" w:rsidRDefault="006220A2" w:rsidP="006220A2">
      <w:pPr>
        <w:pStyle w:val="Textoindependiente"/>
        <w:rPr>
          <w:rFonts w:ascii="Arial" w:eastAsia="Times" w:hAnsi="Arial" w:cs="Arial"/>
          <w:i w:val="0"/>
          <w:snapToGrid/>
          <w:color w:val="auto"/>
          <w:sz w:val="20"/>
          <w:lang w:val="es-ES_tradnl"/>
        </w:rPr>
      </w:pPr>
    </w:p>
    <w:p w14:paraId="76E5623C" w14:textId="77777777" w:rsidR="006220A2" w:rsidRDefault="006220A2" w:rsidP="006220A2">
      <w:pPr>
        <w:keepNext/>
        <w:keepLines/>
        <w:widowControl w:val="0"/>
        <w:spacing w:before="120" w:after="120"/>
        <w:jc w:val="both"/>
        <w:rPr>
          <w:snapToGrid w:val="0"/>
          <w:sz w:val="20"/>
        </w:rPr>
      </w:pPr>
      <w:r w:rsidRPr="00842010">
        <w:rPr>
          <w:sz w:val="20"/>
        </w:rPr>
        <w:t>El númer</w:t>
      </w:r>
      <w:r w:rsidRPr="00952392">
        <w:rPr>
          <w:snapToGrid w:val="0"/>
          <w:sz w:val="20"/>
        </w:rPr>
        <w:t>o</w:t>
      </w:r>
      <w:r>
        <w:rPr>
          <w:snapToGrid w:val="0"/>
          <w:sz w:val="20"/>
        </w:rPr>
        <w:t xml:space="preserve"> de empleados al cierre</w:t>
      </w:r>
      <w:r w:rsidRPr="00952392">
        <w:rPr>
          <w:snapToGrid w:val="0"/>
          <w:sz w:val="20"/>
        </w:rPr>
        <w:t xml:space="preserve"> del ejercicio </w:t>
      </w:r>
      <w:r>
        <w:rPr>
          <w:snapToGrid w:val="0"/>
          <w:sz w:val="20"/>
        </w:rPr>
        <w:t xml:space="preserve">en curso </w:t>
      </w:r>
      <w:r w:rsidRPr="00952392">
        <w:rPr>
          <w:snapToGrid w:val="0"/>
          <w:sz w:val="20"/>
        </w:rPr>
        <w:t>distribuido por categorías y sexo es el siguiente:</w:t>
      </w:r>
    </w:p>
    <w:tbl>
      <w:tblPr>
        <w:tblW w:w="7102" w:type="dxa"/>
        <w:jc w:val="center"/>
        <w:tblCellMar>
          <w:left w:w="70" w:type="dxa"/>
          <w:right w:w="70" w:type="dxa"/>
        </w:tblCellMar>
        <w:tblLook w:val="04A0" w:firstRow="1" w:lastRow="0" w:firstColumn="1" w:lastColumn="0" w:noHBand="0" w:noVBand="1"/>
      </w:tblPr>
      <w:tblGrid>
        <w:gridCol w:w="2902"/>
        <w:gridCol w:w="1186"/>
        <w:gridCol w:w="914"/>
        <w:gridCol w:w="1186"/>
        <w:gridCol w:w="914"/>
      </w:tblGrid>
      <w:tr w:rsidR="00A75530" w:rsidRPr="00E56C4D" w14:paraId="4F34B420" w14:textId="77777777" w:rsidTr="001B79CB">
        <w:trPr>
          <w:trHeight w:val="234"/>
          <w:jc w:val="center"/>
        </w:trPr>
        <w:tc>
          <w:tcPr>
            <w:tcW w:w="2902" w:type="dxa"/>
            <w:tcBorders>
              <w:top w:val="single" w:sz="4" w:space="0" w:color="auto"/>
              <w:left w:val="nil"/>
              <w:bottom w:val="nil"/>
              <w:right w:val="nil"/>
            </w:tcBorders>
            <w:shd w:val="clear" w:color="auto" w:fill="auto"/>
            <w:vAlign w:val="bottom"/>
            <w:hideMark/>
          </w:tcPr>
          <w:p w14:paraId="58F688B6" w14:textId="77777777" w:rsidR="00A75530" w:rsidRPr="00565412" w:rsidRDefault="00A75530" w:rsidP="00A75530">
            <w:pPr>
              <w:keepNext/>
              <w:keepLines/>
              <w:jc w:val="center"/>
              <w:rPr>
                <w:rFonts w:eastAsia="Times New Roman"/>
                <w:sz w:val="18"/>
                <w:szCs w:val="18"/>
              </w:rPr>
            </w:pPr>
          </w:p>
        </w:tc>
        <w:tc>
          <w:tcPr>
            <w:tcW w:w="2100" w:type="dxa"/>
            <w:gridSpan w:val="2"/>
            <w:tcBorders>
              <w:top w:val="single" w:sz="4" w:space="0" w:color="auto"/>
              <w:left w:val="nil"/>
              <w:bottom w:val="single" w:sz="4" w:space="0" w:color="auto"/>
              <w:right w:val="nil"/>
            </w:tcBorders>
            <w:shd w:val="clear" w:color="auto" w:fill="auto"/>
            <w:vAlign w:val="bottom"/>
            <w:hideMark/>
          </w:tcPr>
          <w:p w14:paraId="04E7A422" w14:textId="77777777" w:rsidR="00A75530" w:rsidRPr="00915C40" w:rsidRDefault="00A75530" w:rsidP="00A75530">
            <w:pPr>
              <w:keepNext/>
              <w:keepLines/>
              <w:jc w:val="center"/>
              <w:rPr>
                <w:rFonts w:eastAsia="Times New Roman"/>
                <w:b/>
                <w:bCs/>
                <w:sz w:val="18"/>
                <w:szCs w:val="18"/>
              </w:rPr>
            </w:pPr>
            <w:r>
              <w:rPr>
                <w:rFonts w:eastAsia="Times New Roman"/>
                <w:b/>
                <w:bCs/>
                <w:sz w:val="18"/>
                <w:szCs w:val="18"/>
              </w:rPr>
              <w:t>31/12/2018</w:t>
            </w:r>
          </w:p>
        </w:tc>
        <w:tc>
          <w:tcPr>
            <w:tcW w:w="2100" w:type="dxa"/>
            <w:gridSpan w:val="2"/>
            <w:tcBorders>
              <w:top w:val="single" w:sz="4" w:space="0" w:color="auto"/>
              <w:left w:val="nil"/>
              <w:bottom w:val="single" w:sz="4" w:space="0" w:color="auto"/>
              <w:right w:val="nil"/>
            </w:tcBorders>
            <w:shd w:val="clear" w:color="auto" w:fill="auto"/>
            <w:vAlign w:val="bottom"/>
            <w:hideMark/>
          </w:tcPr>
          <w:p w14:paraId="4590630D" w14:textId="77777777" w:rsidR="00A75530" w:rsidRPr="00915C40" w:rsidRDefault="00A75530" w:rsidP="00A75530">
            <w:pPr>
              <w:keepNext/>
              <w:keepLines/>
              <w:jc w:val="center"/>
              <w:rPr>
                <w:rFonts w:eastAsia="Times New Roman"/>
                <w:b/>
                <w:bCs/>
                <w:sz w:val="18"/>
                <w:szCs w:val="18"/>
              </w:rPr>
            </w:pPr>
            <w:r>
              <w:rPr>
                <w:rFonts w:eastAsia="Times New Roman"/>
                <w:b/>
                <w:bCs/>
                <w:sz w:val="18"/>
                <w:szCs w:val="18"/>
              </w:rPr>
              <w:t>31/12/2017</w:t>
            </w:r>
          </w:p>
        </w:tc>
      </w:tr>
      <w:tr w:rsidR="006220A2" w:rsidRPr="00E56C4D" w14:paraId="72895545" w14:textId="77777777" w:rsidTr="001B79CB">
        <w:trPr>
          <w:trHeight w:val="234"/>
          <w:jc w:val="center"/>
        </w:trPr>
        <w:tc>
          <w:tcPr>
            <w:tcW w:w="2902" w:type="dxa"/>
            <w:tcBorders>
              <w:top w:val="nil"/>
              <w:left w:val="nil"/>
              <w:bottom w:val="single" w:sz="4" w:space="0" w:color="auto"/>
              <w:right w:val="nil"/>
            </w:tcBorders>
            <w:shd w:val="clear" w:color="auto" w:fill="auto"/>
            <w:vAlign w:val="bottom"/>
            <w:hideMark/>
          </w:tcPr>
          <w:p w14:paraId="33EF17A0" w14:textId="77777777" w:rsidR="006220A2" w:rsidRPr="00565412" w:rsidRDefault="006220A2" w:rsidP="00852114">
            <w:pPr>
              <w:keepNext/>
              <w:keepLines/>
              <w:jc w:val="center"/>
              <w:rPr>
                <w:rFonts w:eastAsia="Times New Roman"/>
                <w:b/>
                <w:bCs/>
                <w:sz w:val="18"/>
                <w:szCs w:val="18"/>
              </w:rPr>
            </w:pPr>
            <w:r w:rsidRPr="00565412">
              <w:rPr>
                <w:rFonts w:eastAsia="Times New Roman"/>
                <w:b/>
                <w:bCs/>
                <w:sz w:val="18"/>
                <w:szCs w:val="18"/>
              </w:rPr>
              <w:t>Categoría</w:t>
            </w:r>
          </w:p>
        </w:tc>
        <w:tc>
          <w:tcPr>
            <w:tcW w:w="1186" w:type="dxa"/>
            <w:tcBorders>
              <w:top w:val="nil"/>
              <w:left w:val="nil"/>
              <w:bottom w:val="single" w:sz="4" w:space="0" w:color="auto"/>
              <w:right w:val="nil"/>
            </w:tcBorders>
            <w:shd w:val="clear" w:color="auto" w:fill="auto"/>
            <w:vAlign w:val="bottom"/>
            <w:hideMark/>
          </w:tcPr>
          <w:p w14:paraId="766A3375" w14:textId="77777777" w:rsidR="006220A2" w:rsidRPr="00565412" w:rsidRDefault="006220A2" w:rsidP="00852114">
            <w:pPr>
              <w:keepNext/>
              <w:keepLines/>
              <w:jc w:val="center"/>
              <w:rPr>
                <w:rFonts w:eastAsia="Times New Roman"/>
                <w:b/>
                <w:bCs/>
                <w:sz w:val="18"/>
                <w:szCs w:val="18"/>
              </w:rPr>
            </w:pPr>
            <w:r w:rsidRPr="00565412">
              <w:rPr>
                <w:rFonts w:eastAsia="Times New Roman"/>
                <w:b/>
                <w:bCs/>
                <w:sz w:val="18"/>
                <w:szCs w:val="18"/>
              </w:rPr>
              <w:t>Hombres</w:t>
            </w:r>
          </w:p>
        </w:tc>
        <w:tc>
          <w:tcPr>
            <w:tcW w:w="914" w:type="dxa"/>
            <w:tcBorders>
              <w:top w:val="nil"/>
              <w:left w:val="nil"/>
              <w:bottom w:val="single" w:sz="4" w:space="0" w:color="auto"/>
              <w:right w:val="nil"/>
            </w:tcBorders>
            <w:shd w:val="clear" w:color="auto" w:fill="auto"/>
            <w:vAlign w:val="bottom"/>
            <w:hideMark/>
          </w:tcPr>
          <w:p w14:paraId="634503A4" w14:textId="77777777" w:rsidR="006220A2" w:rsidRPr="00565412" w:rsidRDefault="006220A2" w:rsidP="00852114">
            <w:pPr>
              <w:keepNext/>
              <w:keepLines/>
              <w:jc w:val="center"/>
              <w:rPr>
                <w:rFonts w:eastAsia="Times New Roman"/>
                <w:b/>
                <w:bCs/>
                <w:sz w:val="18"/>
                <w:szCs w:val="18"/>
              </w:rPr>
            </w:pPr>
            <w:r w:rsidRPr="00565412">
              <w:rPr>
                <w:rFonts w:eastAsia="Times New Roman"/>
                <w:b/>
                <w:bCs/>
                <w:sz w:val="18"/>
                <w:szCs w:val="18"/>
              </w:rPr>
              <w:t>Mujeres</w:t>
            </w:r>
          </w:p>
        </w:tc>
        <w:tc>
          <w:tcPr>
            <w:tcW w:w="1186" w:type="dxa"/>
            <w:tcBorders>
              <w:top w:val="nil"/>
              <w:left w:val="nil"/>
              <w:bottom w:val="single" w:sz="4" w:space="0" w:color="auto"/>
              <w:right w:val="nil"/>
            </w:tcBorders>
            <w:shd w:val="clear" w:color="auto" w:fill="auto"/>
            <w:vAlign w:val="bottom"/>
            <w:hideMark/>
          </w:tcPr>
          <w:p w14:paraId="69A99965" w14:textId="77777777" w:rsidR="006220A2" w:rsidRPr="00565412" w:rsidRDefault="006220A2" w:rsidP="00852114">
            <w:pPr>
              <w:keepNext/>
              <w:keepLines/>
              <w:jc w:val="center"/>
              <w:rPr>
                <w:rFonts w:eastAsia="Times New Roman"/>
                <w:b/>
                <w:bCs/>
                <w:sz w:val="18"/>
                <w:szCs w:val="18"/>
              </w:rPr>
            </w:pPr>
            <w:r w:rsidRPr="00565412">
              <w:rPr>
                <w:rFonts w:eastAsia="Times New Roman"/>
                <w:b/>
                <w:bCs/>
                <w:sz w:val="18"/>
                <w:szCs w:val="18"/>
              </w:rPr>
              <w:t>Hombres</w:t>
            </w:r>
          </w:p>
        </w:tc>
        <w:tc>
          <w:tcPr>
            <w:tcW w:w="914" w:type="dxa"/>
            <w:tcBorders>
              <w:top w:val="nil"/>
              <w:left w:val="nil"/>
              <w:bottom w:val="single" w:sz="4" w:space="0" w:color="auto"/>
              <w:right w:val="nil"/>
            </w:tcBorders>
            <w:shd w:val="clear" w:color="auto" w:fill="auto"/>
            <w:vAlign w:val="bottom"/>
            <w:hideMark/>
          </w:tcPr>
          <w:p w14:paraId="2A6EAA55" w14:textId="77777777" w:rsidR="006220A2" w:rsidRPr="00565412" w:rsidRDefault="006220A2" w:rsidP="00852114">
            <w:pPr>
              <w:keepNext/>
              <w:keepLines/>
              <w:jc w:val="center"/>
              <w:rPr>
                <w:rFonts w:eastAsia="Times New Roman"/>
                <w:b/>
                <w:bCs/>
                <w:sz w:val="18"/>
                <w:szCs w:val="18"/>
              </w:rPr>
            </w:pPr>
            <w:r w:rsidRPr="00565412">
              <w:rPr>
                <w:rFonts w:eastAsia="Times New Roman"/>
                <w:b/>
                <w:bCs/>
                <w:sz w:val="18"/>
                <w:szCs w:val="18"/>
              </w:rPr>
              <w:t>Mujeres</w:t>
            </w:r>
          </w:p>
        </w:tc>
      </w:tr>
      <w:tr w:rsidR="00792C0E" w:rsidRPr="00E56C4D" w14:paraId="0D2FAB1D" w14:textId="77777777" w:rsidTr="00792C0E">
        <w:trPr>
          <w:trHeight w:val="263"/>
          <w:jc w:val="center"/>
        </w:trPr>
        <w:tc>
          <w:tcPr>
            <w:tcW w:w="2902" w:type="dxa"/>
            <w:tcBorders>
              <w:top w:val="nil"/>
              <w:left w:val="nil"/>
              <w:bottom w:val="nil"/>
              <w:right w:val="nil"/>
            </w:tcBorders>
            <w:shd w:val="clear" w:color="auto" w:fill="auto"/>
            <w:vAlign w:val="center"/>
            <w:hideMark/>
          </w:tcPr>
          <w:p w14:paraId="19992278" w14:textId="77777777" w:rsidR="00792C0E" w:rsidRPr="00565412" w:rsidRDefault="00792C0E" w:rsidP="00792C0E">
            <w:pPr>
              <w:keepNext/>
              <w:keepLines/>
              <w:rPr>
                <w:rFonts w:eastAsia="Times New Roman"/>
                <w:sz w:val="18"/>
                <w:szCs w:val="18"/>
              </w:rPr>
            </w:pPr>
            <w:r w:rsidRPr="00565412">
              <w:rPr>
                <w:rFonts w:eastAsia="Times New Roman"/>
                <w:sz w:val="18"/>
                <w:szCs w:val="18"/>
              </w:rPr>
              <w:t>Directivos</w:t>
            </w:r>
          </w:p>
        </w:tc>
        <w:tc>
          <w:tcPr>
            <w:tcW w:w="1186" w:type="dxa"/>
            <w:tcBorders>
              <w:top w:val="nil"/>
              <w:left w:val="nil"/>
              <w:bottom w:val="nil"/>
              <w:right w:val="nil"/>
            </w:tcBorders>
            <w:shd w:val="clear" w:color="auto" w:fill="auto"/>
            <w:vAlign w:val="center"/>
          </w:tcPr>
          <w:p w14:paraId="22CC0660" w14:textId="77777777" w:rsidR="00792C0E" w:rsidRDefault="00792C0E" w:rsidP="00792C0E">
            <w:pPr>
              <w:jc w:val="center"/>
              <w:rPr>
                <w:sz w:val="18"/>
                <w:szCs w:val="18"/>
              </w:rPr>
            </w:pPr>
            <w:r>
              <w:rPr>
                <w:sz w:val="18"/>
                <w:szCs w:val="18"/>
              </w:rPr>
              <w:t>1</w:t>
            </w:r>
          </w:p>
        </w:tc>
        <w:tc>
          <w:tcPr>
            <w:tcW w:w="914" w:type="dxa"/>
            <w:tcBorders>
              <w:top w:val="nil"/>
              <w:left w:val="nil"/>
              <w:bottom w:val="nil"/>
              <w:right w:val="nil"/>
            </w:tcBorders>
            <w:shd w:val="clear" w:color="auto" w:fill="auto"/>
            <w:vAlign w:val="center"/>
          </w:tcPr>
          <w:p w14:paraId="081D4DDF" w14:textId="77777777" w:rsidR="00792C0E" w:rsidRDefault="00792C0E" w:rsidP="00792C0E">
            <w:pPr>
              <w:jc w:val="center"/>
              <w:rPr>
                <w:sz w:val="18"/>
                <w:szCs w:val="18"/>
              </w:rPr>
            </w:pPr>
            <w:r>
              <w:rPr>
                <w:sz w:val="18"/>
                <w:szCs w:val="18"/>
              </w:rPr>
              <w:t>4</w:t>
            </w:r>
          </w:p>
        </w:tc>
        <w:tc>
          <w:tcPr>
            <w:tcW w:w="1186" w:type="dxa"/>
            <w:tcBorders>
              <w:top w:val="nil"/>
              <w:left w:val="nil"/>
              <w:bottom w:val="nil"/>
              <w:right w:val="nil"/>
            </w:tcBorders>
            <w:shd w:val="clear" w:color="auto" w:fill="auto"/>
            <w:vAlign w:val="center"/>
          </w:tcPr>
          <w:p w14:paraId="674111F1" w14:textId="77777777" w:rsidR="00792C0E" w:rsidRDefault="00792C0E" w:rsidP="00792C0E">
            <w:pPr>
              <w:jc w:val="center"/>
              <w:rPr>
                <w:sz w:val="18"/>
                <w:szCs w:val="18"/>
              </w:rPr>
            </w:pPr>
            <w:r>
              <w:rPr>
                <w:sz w:val="18"/>
                <w:szCs w:val="18"/>
              </w:rPr>
              <w:t>1</w:t>
            </w:r>
          </w:p>
        </w:tc>
        <w:tc>
          <w:tcPr>
            <w:tcW w:w="914" w:type="dxa"/>
            <w:tcBorders>
              <w:top w:val="nil"/>
              <w:left w:val="nil"/>
              <w:bottom w:val="nil"/>
              <w:right w:val="nil"/>
            </w:tcBorders>
            <w:shd w:val="clear" w:color="auto" w:fill="auto"/>
            <w:vAlign w:val="center"/>
          </w:tcPr>
          <w:p w14:paraId="465A31A7" w14:textId="77777777" w:rsidR="00792C0E" w:rsidRDefault="00792C0E" w:rsidP="00792C0E">
            <w:pPr>
              <w:jc w:val="center"/>
              <w:rPr>
                <w:sz w:val="18"/>
                <w:szCs w:val="18"/>
              </w:rPr>
            </w:pPr>
            <w:r>
              <w:rPr>
                <w:sz w:val="18"/>
                <w:szCs w:val="18"/>
              </w:rPr>
              <w:t>4</w:t>
            </w:r>
          </w:p>
        </w:tc>
      </w:tr>
      <w:tr w:rsidR="00792C0E" w:rsidRPr="00E56C4D" w14:paraId="0FB2E534" w14:textId="77777777" w:rsidTr="00792C0E">
        <w:trPr>
          <w:trHeight w:val="263"/>
          <w:jc w:val="center"/>
        </w:trPr>
        <w:tc>
          <w:tcPr>
            <w:tcW w:w="2902" w:type="dxa"/>
            <w:tcBorders>
              <w:top w:val="nil"/>
              <w:left w:val="nil"/>
              <w:bottom w:val="nil"/>
              <w:right w:val="nil"/>
            </w:tcBorders>
            <w:shd w:val="clear" w:color="auto" w:fill="auto"/>
            <w:vAlign w:val="center"/>
            <w:hideMark/>
          </w:tcPr>
          <w:p w14:paraId="78C42A09" w14:textId="77777777" w:rsidR="00792C0E" w:rsidRPr="00565412" w:rsidRDefault="00792C0E" w:rsidP="00792C0E">
            <w:pPr>
              <w:keepNext/>
              <w:keepLines/>
              <w:rPr>
                <w:rFonts w:eastAsia="Times New Roman"/>
                <w:sz w:val="18"/>
                <w:szCs w:val="18"/>
              </w:rPr>
            </w:pPr>
            <w:r w:rsidRPr="00565412">
              <w:rPr>
                <w:rFonts w:eastAsia="Times New Roman"/>
                <w:sz w:val="18"/>
                <w:szCs w:val="18"/>
              </w:rPr>
              <w:t>Técnicos superiores</w:t>
            </w:r>
          </w:p>
        </w:tc>
        <w:tc>
          <w:tcPr>
            <w:tcW w:w="1186" w:type="dxa"/>
            <w:tcBorders>
              <w:top w:val="nil"/>
              <w:left w:val="nil"/>
              <w:bottom w:val="nil"/>
              <w:right w:val="nil"/>
            </w:tcBorders>
            <w:shd w:val="clear" w:color="auto" w:fill="auto"/>
            <w:vAlign w:val="center"/>
          </w:tcPr>
          <w:p w14:paraId="188D8572" w14:textId="77777777" w:rsidR="00792C0E" w:rsidRDefault="00792C0E" w:rsidP="00792C0E">
            <w:pPr>
              <w:jc w:val="center"/>
              <w:rPr>
                <w:sz w:val="18"/>
                <w:szCs w:val="18"/>
              </w:rPr>
            </w:pPr>
            <w:r>
              <w:rPr>
                <w:sz w:val="18"/>
                <w:szCs w:val="18"/>
              </w:rPr>
              <w:t>5</w:t>
            </w:r>
          </w:p>
        </w:tc>
        <w:tc>
          <w:tcPr>
            <w:tcW w:w="914" w:type="dxa"/>
            <w:tcBorders>
              <w:top w:val="nil"/>
              <w:left w:val="nil"/>
              <w:bottom w:val="nil"/>
              <w:right w:val="nil"/>
            </w:tcBorders>
            <w:shd w:val="clear" w:color="auto" w:fill="auto"/>
            <w:vAlign w:val="center"/>
          </w:tcPr>
          <w:p w14:paraId="084528BB" w14:textId="77777777" w:rsidR="00792C0E" w:rsidRDefault="00792C0E" w:rsidP="00792C0E">
            <w:pPr>
              <w:jc w:val="center"/>
              <w:rPr>
                <w:sz w:val="18"/>
                <w:szCs w:val="18"/>
              </w:rPr>
            </w:pPr>
            <w:r>
              <w:rPr>
                <w:sz w:val="18"/>
                <w:szCs w:val="18"/>
              </w:rPr>
              <w:t>8</w:t>
            </w:r>
          </w:p>
        </w:tc>
        <w:tc>
          <w:tcPr>
            <w:tcW w:w="1186" w:type="dxa"/>
            <w:tcBorders>
              <w:top w:val="nil"/>
              <w:left w:val="nil"/>
              <w:bottom w:val="nil"/>
              <w:right w:val="nil"/>
            </w:tcBorders>
            <w:shd w:val="clear" w:color="auto" w:fill="auto"/>
            <w:vAlign w:val="center"/>
          </w:tcPr>
          <w:p w14:paraId="603837E4" w14:textId="77777777" w:rsidR="00792C0E" w:rsidRDefault="00792C0E" w:rsidP="00792C0E">
            <w:pPr>
              <w:jc w:val="center"/>
              <w:rPr>
                <w:sz w:val="18"/>
                <w:szCs w:val="18"/>
              </w:rPr>
            </w:pPr>
            <w:r>
              <w:rPr>
                <w:sz w:val="18"/>
                <w:szCs w:val="18"/>
              </w:rPr>
              <w:t>6</w:t>
            </w:r>
          </w:p>
        </w:tc>
        <w:tc>
          <w:tcPr>
            <w:tcW w:w="914" w:type="dxa"/>
            <w:tcBorders>
              <w:top w:val="nil"/>
              <w:left w:val="nil"/>
              <w:bottom w:val="nil"/>
              <w:right w:val="nil"/>
            </w:tcBorders>
            <w:shd w:val="clear" w:color="auto" w:fill="auto"/>
            <w:vAlign w:val="center"/>
          </w:tcPr>
          <w:p w14:paraId="67C51B3D" w14:textId="77777777" w:rsidR="00792C0E" w:rsidRDefault="00792C0E" w:rsidP="00792C0E">
            <w:pPr>
              <w:jc w:val="center"/>
              <w:rPr>
                <w:sz w:val="18"/>
                <w:szCs w:val="18"/>
              </w:rPr>
            </w:pPr>
            <w:r>
              <w:rPr>
                <w:sz w:val="18"/>
                <w:szCs w:val="18"/>
              </w:rPr>
              <w:t>7</w:t>
            </w:r>
          </w:p>
        </w:tc>
      </w:tr>
      <w:tr w:rsidR="00792C0E" w:rsidRPr="00E56C4D" w14:paraId="470D3EE0" w14:textId="77777777" w:rsidTr="00792C0E">
        <w:trPr>
          <w:trHeight w:val="263"/>
          <w:jc w:val="center"/>
        </w:trPr>
        <w:tc>
          <w:tcPr>
            <w:tcW w:w="2902" w:type="dxa"/>
            <w:tcBorders>
              <w:top w:val="nil"/>
              <w:left w:val="nil"/>
              <w:bottom w:val="nil"/>
              <w:right w:val="nil"/>
            </w:tcBorders>
            <w:shd w:val="clear" w:color="auto" w:fill="auto"/>
            <w:vAlign w:val="center"/>
            <w:hideMark/>
          </w:tcPr>
          <w:p w14:paraId="5D0FC0E6" w14:textId="77777777" w:rsidR="00792C0E" w:rsidRPr="00565412" w:rsidRDefault="00792C0E" w:rsidP="00792C0E">
            <w:pPr>
              <w:rPr>
                <w:rFonts w:eastAsia="Times New Roman"/>
                <w:sz w:val="18"/>
                <w:szCs w:val="18"/>
              </w:rPr>
            </w:pPr>
            <w:r w:rsidRPr="00565412">
              <w:rPr>
                <w:rFonts w:eastAsia="Times New Roman"/>
                <w:sz w:val="18"/>
                <w:szCs w:val="18"/>
              </w:rPr>
              <w:t>Técnicos medios</w:t>
            </w:r>
          </w:p>
        </w:tc>
        <w:tc>
          <w:tcPr>
            <w:tcW w:w="1186" w:type="dxa"/>
            <w:tcBorders>
              <w:top w:val="nil"/>
              <w:left w:val="nil"/>
              <w:bottom w:val="nil"/>
              <w:right w:val="nil"/>
            </w:tcBorders>
            <w:shd w:val="clear" w:color="auto" w:fill="auto"/>
            <w:vAlign w:val="center"/>
          </w:tcPr>
          <w:p w14:paraId="40681C8F" w14:textId="77777777" w:rsidR="00792C0E" w:rsidRDefault="00792C0E" w:rsidP="00792C0E">
            <w:pPr>
              <w:jc w:val="center"/>
              <w:rPr>
                <w:sz w:val="18"/>
                <w:szCs w:val="18"/>
              </w:rPr>
            </w:pPr>
            <w:r>
              <w:rPr>
                <w:sz w:val="18"/>
                <w:szCs w:val="18"/>
              </w:rPr>
              <w:t>2</w:t>
            </w:r>
          </w:p>
        </w:tc>
        <w:tc>
          <w:tcPr>
            <w:tcW w:w="914" w:type="dxa"/>
            <w:tcBorders>
              <w:top w:val="nil"/>
              <w:left w:val="nil"/>
              <w:bottom w:val="nil"/>
              <w:right w:val="nil"/>
            </w:tcBorders>
            <w:shd w:val="clear" w:color="auto" w:fill="auto"/>
            <w:vAlign w:val="center"/>
          </w:tcPr>
          <w:p w14:paraId="751C6E17" w14:textId="77777777" w:rsidR="00792C0E" w:rsidRDefault="00792C0E" w:rsidP="00792C0E">
            <w:pPr>
              <w:jc w:val="center"/>
              <w:rPr>
                <w:sz w:val="18"/>
                <w:szCs w:val="18"/>
              </w:rPr>
            </w:pPr>
            <w:r>
              <w:rPr>
                <w:sz w:val="18"/>
                <w:szCs w:val="18"/>
              </w:rPr>
              <w:t>2</w:t>
            </w:r>
          </w:p>
        </w:tc>
        <w:tc>
          <w:tcPr>
            <w:tcW w:w="1186" w:type="dxa"/>
            <w:tcBorders>
              <w:top w:val="nil"/>
              <w:left w:val="nil"/>
              <w:bottom w:val="nil"/>
              <w:right w:val="nil"/>
            </w:tcBorders>
            <w:shd w:val="clear" w:color="auto" w:fill="auto"/>
            <w:vAlign w:val="center"/>
          </w:tcPr>
          <w:p w14:paraId="5EB867E2" w14:textId="77777777" w:rsidR="00792C0E" w:rsidRDefault="00792C0E" w:rsidP="00792C0E">
            <w:pPr>
              <w:jc w:val="center"/>
              <w:rPr>
                <w:sz w:val="18"/>
                <w:szCs w:val="18"/>
              </w:rPr>
            </w:pPr>
            <w:r>
              <w:rPr>
                <w:sz w:val="18"/>
                <w:szCs w:val="18"/>
              </w:rPr>
              <w:t>2</w:t>
            </w:r>
          </w:p>
        </w:tc>
        <w:tc>
          <w:tcPr>
            <w:tcW w:w="914" w:type="dxa"/>
            <w:tcBorders>
              <w:top w:val="nil"/>
              <w:left w:val="nil"/>
              <w:bottom w:val="nil"/>
              <w:right w:val="nil"/>
            </w:tcBorders>
            <w:shd w:val="clear" w:color="auto" w:fill="auto"/>
            <w:vAlign w:val="center"/>
          </w:tcPr>
          <w:p w14:paraId="637628EF" w14:textId="77777777" w:rsidR="00792C0E" w:rsidRDefault="00792C0E" w:rsidP="00792C0E">
            <w:pPr>
              <w:jc w:val="center"/>
              <w:rPr>
                <w:sz w:val="18"/>
                <w:szCs w:val="18"/>
              </w:rPr>
            </w:pPr>
            <w:r>
              <w:rPr>
                <w:sz w:val="18"/>
                <w:szCs w:val="18"/>
              </w:rPr>
              <w:t>2</w:t>
            </w:r>
          </w:p>
        </w:tc>
      </w:tr>
      <w:tr w:rsidR="00792C0E" w:rsidRPr="006E00F7" w14:paraId="7DCF7405" w14:textId="77777777" w:rsidTr="00792C0E">
        <w:trPr>
          <w:trHeight w:val="263"/>
          <w:jc w:val="center"/>
        </w:trPr>
        <w:tc>
          <w:tcPr>
            <w:tcW w:w="2902" w:type="dxa"/>
            <w:tcBorders>
              <w:top w:val="nil"/>
              <w:left w:val="nil"/>
              <w:bottom w:val="nil"/>
              <w:right w:val="nil"/>
            </w:tcBorders>
            <w:shd w:val="clear" w:color="auto" w:fill="auto"/>
            <w:vAlign w:val="center"/>
            <w:hideMark/>
          </w:tcPr>
          <w:p w14:paraId="62320059" w14:textId="77777777" w:rsidR="00792C0E" w:rsidRPr="006E00F7" w:rsidRDefault="00792C0E" w:rsidP="00792C0E">
            <w:pPr>
              <w:rPr>
                <w:rFonts w:eastAsia="Times New Roman"/>
                <w:sz w:val="18"/>
                <w:szCs w:val="18"/>
              </w:rPr>
            </w:pPr>
            <w:r w:rsidRPr="006E00F7">
              <w:rPr>
                <w:rFonts w:eastAsia="Times New Roman"/>
                <w:sz w:val="18"/>
                <w:szCs w:val="18"/>
              </w:rPr>
              <w:t>Administrativos/Coordinadores</w:t>
            </w:r>
          </w:p>
        </w:tc>
        <w:tc>
          <w:tcPr>
            <w:tcW w:w="1186" w:type="dxa"/>
            <w:tcBorders>
              <w:top w:val="nil"/>
              <w:left w:val="nil"/>
              <w:bottom w:val="nil"/>
              <w:right w:val="nil"/>
            </w:tcBorders>
            <w:shd w:val="clear" w:color="auto" w:fill="auto"/>
            <w:vAlign w:val="center"/>
          </w:tcPr>
          <w:p w14:paraId="33444288" w14:textId="77777777" w:rsidR="00792C0E" w:rsidRPr="006E00F7" w:rsidRDefault="00792C0E" w:rsidP="00792C0E">
            <w:pPr>
              <w:jc w:val="center"/>
              <w:rPr>
                <w:sz w:val="18"/>
                <w:szCs w:val="18"/>
              </w:rPr>
            </w:pPr>
            <w:r>
              <w:rPr>
                <w:sz w:val="18"/>
                <w:szCs w:val="18"/>
              </w:rPr>
              <w:t>2</w:t>
            </w:r>
          </w:p>
        </w:tc>
        <w:tc>
          <w:tcPr>
            <w:tcW w:w="914" w:type="dxa"/>
            <w:tcBorders>
              <w:top w:val="nil"/>
              <w:left w:val="nil"/>
              <w:bottom w:val="nil"/>
              <w:right w:val="nil"/>
            </w:tcBorders>
            <w:shd w:val="clear" w:color="auto" w:fill="auto"/>
            <w:vAlign w:val="center"/>
          </w:tcPr>
          <w:p w14:paraId="5CB919F8" w14:textId="77777777" w:rsidR="00792C0E" w:rsidRPr="006E00F7" w:rsidRDefault="00792C0E" w:rsidP="00792C0E">
            <w:pPr>
              <w:jc w:val="center"/>
              <w:rPr>
                <w:sz w:val="18"/>
                <w:szCs w:val="18"/>
              </w:rPr>
            </w:pPr>
            <w:r>
              <w:rPr>
                <w:sz w:val="18"/>
                <w:szCs w:val="18"/>
              </w:rPr>
              <w:t>19</w:t>
            </w:r>
          </w:p>
        </w:tc>
        <w:tc>
          <w:tcPr>
            <w:tcW w:w="1186" w:type="dxa"/>
            <w:tcBorders>
              <w:top w:val="nil"/>
              <w:left w:val="nil"/>
              <w:bottom w:val="nil"/>
              <w:right w:val="nil"/>
            </w:tcBorders>
            <w:shd w:val="clear" w:color="auto" w:fill="auto"/>
            <w:vAlign w:val="center"/>
          </w:tcPr>
          <w:p w14:paraId="442632A2" w14:textId="77777777" w:rsidR="00792C0E" w:rsidRPr="006E00F7" w:rsidRDefault="00792C0E" w:rsidP="00792C0E">
            <w:pPr>
              <w:jc w:val="center"/>
              <w:rPr>
                <w:sz w:val="18"/>
                <w:szCs w:val="18"/>
              </w:rPr>
            </w:pPr>
            <w:r w:rsidRPr="006E00F7">
              <w:rPr>
                <w:sz w:val="18"/>
                <w:szCs w:val="18"/>
              </w:rPr>
              <w:t>2</w:t>
            </w:r>
          </w:p>
        </w:tc>
        <w:tc>
          <w:tcPr>
            <w:tcW w:w="914" w:type="dxa"/>
            <w:tcBorders>
              <w:top w:val="nil"/>
              <w:left w:val="nil"/>
              <w:bottom w:val="nil"/>
              <w:right w:val="nil"/>
            </w:tcBorders>
            <w:shd w:val="clear" w:color="auto" w:fill="auto"/>
            <w:vAlign w:val="center"/>
          </w:tcPr>
          <w:p w14:paraId="08714E24" w14:textId="77777777" w:rsidR="00792C0E" w:rsidRPr="006E00F7" w:rsidRDefault="00792C0E" w:rsidP="00792C0E">
            <w:pPr>
              <w:jc w:val="center"/>
              <w:rPr>
                <w:sz w:val="18"/>
                <w:szCs w:val="18"/>
              </w:rPr>
            </w:pPr>
            <w:r w:rsidRPr="006E00F7">
              <w:rPr>
                <w:sz w:val="18"/>
                <w:szCs w:val="18"/>
              </w:rPr>
              <w:t>19</w:t>
            </w:r>
          </w:p>
        </w:tc>
      </w:tr>
      <w:tr w:rsidR="00792C0E" w:rsidRPr="006E00F7" w14:paraId="12C6AA8B" w14:textId="77777777" w:rsidTr="00792C0E">
        <w:trPr>
          <w:trHeight w:val="263"/>
          <w:jc w:val="center"/>
        </w:trPr>
        <w:tc>
          <w:tcPr>
            <w:tcW w:w="2902" w:type="dxa"/>
            <w:tcBorders>
              <w:top w:val="nil"/>
              <w:left w:val="nil"/>
              <w:bottom w:val="single" w:sz="4" w:space="0" w:color="auto"/>
              <w:right w:val="nil"/>
            </w:tcBorders>
            <w:shd w:val="clear" w:color="auto" w:fill="auto"/>
            <w:vAlign w:val="center"/>
            <w:hideMark/>
          </w:tcPr>
          <w:p w14:paraId="1AA2E5D2" w14:textId="77777777" w:rsidR="00792C0E" w:rsidRPr="006E00F7" w:rsidRDefault="00792C0E" w:rsidP="00792C0E">
            <w:pPr>
              <w:rPr>
                <w:rFonts w:eastAsia="Times New Roman"/>
                <w:sz w:val="18"/>
                <w:szCs w:val="18"/>
              </w:rPr>
            </w:pPr>
            <w:r w:rsidRPr="006E00F7">
              <w:rPr>
                <w:rFonts w:eastAsia="Times New Roman"/>
                <w:sz w:val="18"/>
                <w:szCs w:val="18"/>
              </w:rPr>
              <w:t>Otros</w:t>
            </w:r>
          </w:p>
        </w:tc>
        <w:tc>
          <w:tcPr>
            <w:tcW w:w="1186" w:type="dxa"/>
            <w:tcBorders>
              <w:top w:val="nil"/>
              <w:left w:val="nil"/>
              <w:bottom w:val="single" w:sz="4" w:space="0" w:color="auto"/>
              <w:right w:val="nil"/>
            </w:tcBorders>
            <w:shd w:val="clear" w:color="auto" w:fill="auto"/>
            <w:vAlign w:val="center"/>
          </w:tcPr>
          <w:p w14:paraId="76576275" w14:textId="77777777" w:rsidR="00792C0E" w:rsidRPr="006E00F7" w:rsidRDefault="00792C0E" w:rsidP="00792C0E">
            <w:pPr>
              <w:jc w:val="center"/>
              <w:rPr>
                <w:sz w:val="18"/>
                <w:szCs w:val="18"/>
              </w:rPr>
            </w:pPr>
            <w:r>
              <w:rPr>
                <w:sz w:val="18"/>
                <w:szCs w:val="18"/>
              </w:rPr>
              <w:t>0</w:t>
            </w:r>
          </w:p>
        </w:tc>
        <w:tc>
          <w:tcPr>
            <w:tcW w:w="914" w:type="dxa"/>
            <w:tcBorders>
              <w:top w:val="nil"/>
              <w:left w:val="nil"/>
              <w:bottom w:val="single" w:sz="4" w:space="0" w:color="auto"/>
              <w:right w:val="nil"/>
            </w:tcBorders>
            <w:shd w:val="clear" w:color="auto" w:fill="auto"/>
            <w:vAlign w:val="center"/>
          </w:tcPr>
          <w:p w14:paraId="1169130D" w14:textId="77777777" w:rsidR="00792C0E" w:rsidRPr="006E00F7" w:rsidRDefault="00792C0E" w:rsidP="00792C0E">
            <w:pPr>
              <w:jc w:val="center"/>
              <w:rPr>
                <w:sz w:val="18"/>
                <w:szCs w:val="18"/>
              </w:rPr>
            </w:pPr>
            <w:r>
              <w:rPr>
                <w:sz w:val="18"/>
                <w:szCs w:val="18"/>
              </w:rPr>
              <w:t>1</w:t>
            </w:r>
          </w:p>
        </w:tc>
        <w:tc>
          <w:tcPr>
            <w:tcW w:w="1186" w:type="dxa"/>
            <w:tcBorders>
              <w:top w:val="nil"/>
              <w:left w:val="nil"/>
              <w:bottom w:val="single" w:sz="4" w:space="0" w:color="auto"/>
              <w:right w:val="nil"/>
            </w:tcBorders>
            <w:shd w:val="clear" w:color="auto" w:fill="auto"/>
            <w:vAlign w:val="center"/>
          </w:tcPr>
          <w:p w14:paraId="070C869C" w14:textId="77777777" w:rsidR="00792C0E" w:rsidRPr="006E00F7" w:rsidRDefault="00792C0E" w:rsidP="00792C0E">
            <w:pPr>
              <w:jc w:val="center"/>
              <w:rPr>
                <w:sz w:val="18"/>
                <w:szCs w:val="18"/>
              </w:rPr>
            </w:pPr>
            <w:r w:rsidRPr="006E00F7">
              <w:rPr>
                <w:sz w:val="18"/>
                <w:szCs w:val="18"/>
              </w:rPr>
              <w:t>-</w:t>
            </w:r>
          </w:p>
        </w:tc>
        <w:tc>
          <w:tcPr>
            <w:tcW w:w="914" w:type="dxa"/>
            <w:tcBorders>
              <w:top w:val="nil"/>
              <w:left w:val="nil"/>
              <w:bottom w:val="single" w:sz="4" w:space="0" w:color="auto"/>
              <w:right w:val="nil"/>
            </w:tcBorders>
            <w:shd w:val="clear" w:color="auto" w:fill="auto"/>
            <w:vAlign w:val="center"/>
          </w:tcPr>
          <w:p w14:paraId="0694BA95" w14:textId="77777777" w:rsidR="00792C0E" w:rsidRPr="006E00F7" w:rsidRDefault="00792C0E" w:rsidP="00792C0E">
            <w:pPr>
              <w:jc w:val="center"/>
              <w:rPr>
                <w:sz w:val="18"/>
                <w:szCs w:val="18"/>
              </w:rPr>
            </w:pPr>
            <w:r w:rsidRPr="006E00F7">
              <w:rPr>
                <w:sz w:val="18"/>
                <w:szCs w:val="18"/>
              </w:rPr>
              <w:t>1</w:t>
            </w:r>
          </w:p>
        </w:tc>
      </w:tr>
      <w:tr w:rsidR="00792C0E" w:rsidRPr="006E00F7" w14:paraId="57DE9B4A" w14:textId="77777777" w:rsidTr="00792C0E">
        <w:trPr>
          <w:trHeight w:val="263"/>
          <w:jc w:val="center"/>
        </w:trPr>
        <w:tc>
          <w:tcPr>
            <w:tcW w:w="2902" w:type="dxa"/>
            <w:tcBorders>
              <w:top w:val="nil"/>
              <w:left w:val="nil"/>
              <w:bottom w:val="single" w:sz="4" w:space="0" w:color="auto"/>
              <w:right w:val="nil"/>
            </w:tcBorders>
            <w:shd w:val="clear" w:color="auto" w:fill="auto"/>
            <w:vAlign w:val="center"/>
            <w:hideMark/>
          </w:tcPr>
          <w:p w14:paraId="6A8943C0" w14:textId="77777777" w:rsidR="00792C0E" w:rsidRPr="006E00F7" w:rsidRDefault="00792C0E" w:rsidP="00792C0E">
            <w:pPr>
              <w:rPr>
                <w:rFonts w:eastAsia="Times New Roman"/>
                <w:b/>
                <w:sz w:val="18"/>
                <w:szCs w:val="18"/>
              </w:rPr>
            </w:pPr>
            <w:r w:rsidRPr="006E00F7">
              <w:rPr>
                <w:rFonts w:eastAsia="Times New Roman"/>
                <w:sz w:val="18"/>
                <w:szCs w:val="18"/>
              </w:rPr>
              <w:t> </w:t>
            </w:r>
            <w:r w:rsidRPr="006E00F7">
              <w:rPr>
                <w:rFonts w:eastAsia="Times New Roman"/>
                <w:b/>
                <w:sz w:val="18"/>
                <w:szCs w:val="18"/>
              </w:rPr>
              <w:t>Total</w:t>
            </w:r>
          </w:p>
        </w:tc>
        <w:tc>
          <w:tcPr>
            <w:tcW w:w="1186" w:type="dxa"/>
            <w:tcBorders>
              <w:top w:val="nil"/>
              <w:left w:val="nil"/>
              <w:bottom w:val="single" w:sz="4" w:space="0" w:color="auto"/>
              <w:right w:val="nil"/>
            </w:tcBorders>
            <w:shd w:val="clear" w:color="auto" w:fill="auto"/>
            <w:vAlign w:val="center"/>
          </w:tcPr>
          <w:p w14:paraId="2EF911DD" w14:textId="77777777" w:rsidR="00792C0E" w:rsidRPr="006E00F7" w:rsidRDefault="00792C0E" w:rsidP="00792C0E">
            <w:pPr>
              <w:jc w:val="center"/>
              <w:rPr>
                <w:b/>
                <w:bCs/>
                <w:sz w:val="18"/>
                <w:szCs w:val="18"/>
              </w:rPr>
            </w:pPr>
            <w:r>
              <w:rPr>
                <w:b/>
                <w:bCs/>
                <w:sz w:val="18"/>
                <w:szCs w:val="18"/>
              </w:rPr>
              <w:t>10</w:t>
            </w:r>
          </w:p>
        </w:tc>
        <w:tc>
          <w:tcPr>
            <w:tcW w:w="914" w:type="dxa"/>
            <w:tcBorders>
              <w:top w:val="nil"/>
              <w:left w:val="nil"/>
              <w:bottom w:val="single" w:sz="4" w:space="0" w:color="auto"/>
              <w:right w:val="nil"/>
            </w:tcBorders>
            <w:shd w:val="clear" w:color="auto" w:fill="auto"/>
            <w:vAlign w:val="center"/>
          </w:tcPr>
          <w:p w14:paraId="242F2174" w14:textId="77777777" w:rsidR="00792C0E" w:rsidRPr="006E00F7" w:rsidRDefault="00792C0E" w:rsidP="00792C0E">
            <w:pPr>
              <w:jc w:val="center"/>
              <w:rPr>
                <w:b/>
                <w:bCs/>
                <w:sz w:val="18"/>
                <w:szCs w:val="18"/>
              </w:rPr>
            </w:pPr>
            <w:r>
              <w:rPr>
                <w:b/>
                <w:bCs/>
                <w:sz w:val="18"/>
                <w:szCs w:val="18"/>
              </w:rPr>
              <w:t>34</w:t>
            </w:r>
          </w:p>
        </w:tc>
        <w:tc>
          <w:tcPr>
            <w:tcW w:w="1186" w:type="dxa"/>
            <w:tcBorders>
              <w:top w:val="nil"/>
              <w:left w:val="nil"/>
              <w:bottom w:val="single" w:sz="4" w:space="0" w:color="auto"/>
              <w:right w:val="nil"/>
            </w:tcBorders>
            <w:shd w:val="clear" w:color="auto" w:fill="auto"/>
            <w:vAlign w:val="center"/>
          </w:tcPr>
          <w:p w14:paraId="3F2334A2" w14:textId="77777777" w:rsidR="00792C0E" w:rsidRPr="006E00F7" w:rsidRDefault="00792C0E" w:rsidP="00792C0E">
            <w:pPr>
              <w:jc w:val="center"/>
              <w:rPr>
                <w:b/>
                <w:bCs/>
                <w:sz w:val="18"/>
                <w:szCs w:val="18"/>
              </w:rPr>
            </w:pPr>
            <w:r w:rsidRPr="006E00F7">
              <w:rPr>
                <w:b/>
                <w:bCs/>
                <w:sz w:val="18"/>
                <w:szCs w:val="18"/>
              </w:rPr>
              <w:t>11</w:t>
            </w:r>
          </w:p>
        </w:tc>
        <w:tc>
          <w:tcPr>
            <w:tcW w:w="914" w:type="dxa"/>
            <w:tcBorders>
              <w:top w:val="nil"/>
              <w:left w:val="nil"/>
              <w:bottom w:val="single" w:sz="4" w:space="0" w:color="auto"/>
              <w:right w:val="nil"/>
            </w:tcBorders>
            <w:shd w:val="clear" w:color="auto" w:fill="auto"/>
            <w:vAlign w:val="center"/>
          </w:tcPr>
          <w:p w14:paraId="44A70E5B" w14:textId="77777777" w:rsidR="00792C0E" w:rsidRPr="006E00F7" w:rsidRDefault="00792C0E" w:rsidP="00792C0E">
            <w:pPr>
              <w:jc w:val="center"/>
              <w:rPr>
                <w:b/>
                <w:bCs/>
                <w:sz w:val="18"/>
                <w:szCs w:val="18"/>
              </w:rPr>
            </w:pPr>
            <w:r w:rsidRPr="006E00F7">
              <w:rPr>
                <w:b/>
                <w:bCs/>
                <w:sz w:val="18"/>
                <w:szCs w:val="18"/>
              </w:rPr>
              <w:t>33</w:t>
            </w:r>
          </w:p>
        </w:tc>
      </w:tr>
    </w:tbl>
    <w:p w14:paraId="11F844BF" w14:textId="77777777" w:rsidR="006220A2" w:rsidRPr="00952392" w:rsidRDefault="006220A2" w:rsidP="006220A2">
      <w:pPr>
        <w:widowControl w:val="0"/>
        <w:tabs>
          <w:tab w:val="left" w:pos="567"/>
          <w:tab w:val="left" w:pos="1134"/>
          <w:tab w:val="left" w:pos="1587"/>
        </w:tabs>
        <w:spacing w:before="120"/>
        <w:jc w:val="both"/>
        <w:rPr>
          <w:sz w:val="20"/>
        </w:rPr>
      </w:pPr>
      <w:r w:rsidRPr="006E00F7">
        <w:rPr>
          <w:sz w:val="20"/>
        </w:rPr>
        <w:t>El total de emp</w:t>
      </w:r>
      <w:r w:rsidR="00792C0E">
        <w:rPr>
          <w:sz w:val="20"/>
        </w:rPr>
        <w:t>leados medios del ejercicio 2018</w:t>
      </w:r>
      <w:r w:rsidRPr="006E00F7">
        <w:rPr>
          <w:sz w:val="20"/>
        </w:rPr>
        <w:t xml:space="preserve"> ascendió a 44</w:t>
      </w:r>
      <w:r w:rsidRPr="0011020F">
        <w:rPr>
          <w:sz w:val="20"/>
        </w:rPr>
        <w:t xml:space="preserve"> (</w:t>
      </w:r>
      <w:r w:rsidR="00792C0E">
        <w:rPr>
          <w:sz w:val="20"/>
        </w:rPr>
        <w:t>44</w:t>
      </w:r>
      <w:r w:rsidRPr="0099326D">
        <w:rPr>
          <w:sz w:val="20"/>
        </w:rPr>
        <w:t xml:space="preserve"> en 201</w:t>
      </w:r>
      <w:r w:rsidR="00792C0E">
        <w:rPr>
          <w:sz w:val="20"/>
        </w:rPr>
        <w:t>7</w:t>
      </w:r>
      <w:r w:rsidRPr="0099326D">
        <w:rPr>
          <w:sz w:val="20"/>
        </w:rPr>
        <w:t>).</w:t>
      </w:r>
      <w:r w:rsidRPr="00952392">
        <w:rPr>
          <w:sz w:val="20"/>
        </w:rPr>
        <w:t xml:space="preserve"> </w:t>
      </w:r>
    </w:p>
    <w:p w14:paraId="7C720536" w14:textId="77777777" w:rsidR="006220A2" w:rsidRPr="00D0030D" w:rsidRDefault="006220A2" w:rsidP="006220A2">
      <w:pPr>
        <w:widowControl w:val="0"/>
        <w:spacing w:before="200"/>
        <w:rPr>
          <w:sz w:val="20"/>
          <w:u w:val="single"/>
        </w:rPr>
      </w:pPr>
      <w:r w:rsidRPr="00D0030D">
        <w:rPr>
          <w:sz w:val="20"/>
          <w:u w:val="single"/>
        </w:rPr>
        <w:t>Honorarios de auditores de cuentas</w:t>
      </w:r>
    </w:p>
    <w:p w14:paraId="3D3EE0CD" w14:textId="77777777" w:rsidR="006220A2" w:rsidRDefault="006220A2" w:rsidP="006220A2">
      <w:pPr>
        <w:widowControl w:val="0"/>
        <w:spacing w:before="120"/>
        <w:jc w:val="both"/>
        <w:rPr>
          <w:sz w:val="20"/>
        </w:rPr>
      </w:pPr>
      <w:r w:rsidRPr="00841182">
        <w:rPr>
          <w:sz w:val="20"/>
        </w:rPr>
        <w:t xml:space="preserve">Los honorarios devengados durante el ejercicio por los servicios de auditoría de cuentas ascendieron </w:t>
      </w:r>
      <w:r w:rsidR="00797DBD" w:rsidRPr="00841182">
        <w:rPr>
          <w:sz w:val="20"/>
        </w:rPr>
        <w:t>a 8.</w:t>
      </w:r>
      <w:r w:rsidR="00841182" w:rsidRPr="00841182">
        <w:rPr>
          <w:sz w:val="20"/>
        </w:rPr>
        <w:t>000</w:t>
      </w:r>
      <w:r w:rsidRPr="00841182">
        <w:rPr>
          <w:sz w:val="20"/>
        </w:rPr>
        <w:t>,</w:t>
      </w:r>
      <w:r w:rsidR="00797DBD" w:rsidRPr="00841182">
        <w:rPr>
          <w:sz w:val="20"/>
        </w:rPr>
        <w:t>00 euros (8.000,00 euros en 2017</w:t>
      </w:r>
      <w:r w:rsidRPr="00841182">
        <w:rPr>
          <w:sz w:val="20"/>
        </w:rPr>
        <w:t>).</w:t>
      </w:r>
      <w:r w:rsidRPr="005253CF">
        <w:rPr>
          <w:sz w:val="20"/>
        </w:rPr>
        <w:t xml:space="preserve"> </w:t>
      </w:r>
    </w:p>
    <w:p w14:paraId="3042FFCD" w14:textId="77777777" w:rsidR="006220A2" w:rsidRPr="0011020F" w:rsidRDefault="006220A2" w:rsidP="006220A2">
      <w:pPr>
        <w:widowControl w:val="0"/>
        <w:spacing w:before="120"/>
        <w:jc w:val="both"/>
        <w:rPr>
          <w:sz w:val="20"/>
        </w:rPr>
      </w:pPr>
    </w:p>
    <w:p w14:paraId="155C2175" w14:textId="77777777" w:rsidR="006220A2" w:rsidRPr="00070E05" w:rsidRDefault="006220A2" w:rsidP="006220A2">
      <w:pPr>
        <w:keepNext/>
        <w:keepLines/>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lear" w:pos="644"/>
        </w:tabs>
        <w:ind w:left="284" w:hanging="284"/>
        <w:outlineLvl w:val="9"/>
        <w:rPr>
          <w:b/>
          <w:snapToGrid w:val="0"/>
          <w:sz w:val="22"/>
          <w:szCs w:val="22"/>
        </w:rPr>
      </w:pPr>
      <w:r w:rsidRPr="0011020F">
        <w:rPr>
          <w:b/>
          <w:snapToGrid w:val="0"/>
          <w:sz w:val="22"/>
          <w:szCs w:val="22"/>
        </w:rPr>
        <w:t>Información sobre los aplazamientos</w:t>
      </w:r>
      <w:r w:rsidRPr="00070E05">
        <w:rPr>
          <w:b/>
          <w:snapToGrid w:val="0"/>
          <w:sz w:val="22"/>
          <w:szCs w:val="22"/>
        </w:rPr>
        <w:t xml:space="preserve"> de pagos efectuados a proveedores, Disposición adicional tercera. "Deber de información" de la Ley 15/2010, de 5 de julio</w:t>
      </w:r>
    </w:p>
    <w:p w14:paraId="0A7C5202" w14:textId="77777777" w:rsidR="006220A2" w:rsidRPr="00952392" w:rsidRDefault="006220A2" w:rsidP="00B1785B">
      <w:pPr>
        <w:keepNext/>
        <w:keepLines/>
        <w:widowControl w:val="0"/>
        <w:spacing w:before="120" w:after="120"/>
        <w:jc w:val="both"/>
        <w:rPr>
          <w:sz w:val="20"/>
          <w:szCs w:val="22"/>
        </w:rPr>
      </w:pPr>
      <w:r w:rsidRPr="00952392">
        <w:rPr>
          <w:sz w:val="20"/>
          <w:szCs w:val="22"/>
        </w:rPr>
        <w:t xml:space="preserve">De acuerdo con lo establecido en la disposición adicional única de la Resolución de 29 de enero de 2016, del Instituto de Contabilidad y Auditoría de Cuentas, sobre la información a incorporar en la memoria de las cuentas anuales en relación con el período medio de pago a proveedores, en operaciones comerciales, se </w:t>
      </w:r>
      <w:r w:rsidRPr="008D656E">
        <w:rPr>
          <w:sz w:val="20"/>
          <w:szCs w:val="22"/>
        </w:rPr>
        <w:t>presenta</w:t>
      </w:r>
      <w:r w:rsidR="00C01F3D">
        <w:rPr>
          <w:sz w:val="20"/>
          <w:szCs w:val="22"/>
        </w:rPr>
        <w:t xml:space="preserve"> información del ejercicio 2018</w:t>
      </w:r>
      <w:r w:rsidRPr="008D656E">
        <w:rPr>
          <w:sz w:val="20"/>
          <w:szCs w:val="22"/>
        </w:rPr>
        <w:t xml:space="preserve"> y 201</w:t>
      </w:r>
      <w:r w:rsidR="00C01F3D">
        <w:rPr>
          <w:sz w:val="20"/>
          <w:szCs w:val="22"/>
        </w:rPr>
        <w:t>7</w:t>
      </w:r>
      <w:r w:rsidRPr="008D656E">
        <w:rPr>
          <w:sz w:val="20"/>
          <w:szCs w:val="22"/>
        </w:rPr>
        <w:t>.</w:t>
      </w:r>
    </w:p>
    <w:tbl>
      <w:tblPr>
        <w:tblW w:w="8340" w:type="dxa"/>
        <w:jc w:val="center"/>
        <w:tblLayout w:type="fixed"/>
        <w:tblCellMar>
          <w:left w:w="70" w:type="dxa"/>
          <w:right w:w="70" w:type="dxa"/>
        </w:tblCellMar>
        <w:tblLook w:val="04A0" w:firstRow="1" w:lastRow="0" w:firstColumn="1" w:lastColumn="0" w:noHBand="0" w:noVBand="1"/>
      </w:tblPr>
      <w:tblGrid>
        <w:gridCol w:w="4596"/>
        <w:gridCol w:w="1843"/>
        <w:gridCol w:w="29"/>
        <w:gridCol w:w="1872"/>
      </w:tblGrid>
      <w:tr w:rsidR="006220A2" w:rsidRPr="00EC5A5C" w14:paraId="7564CDDB" w14:textId="77777777" w:rsidTr="002109C5">
        <w:trPr>
          <w:trHeight w:val="283"/>
          <w:jc w:val="center"/>
        </w:trPr>
        <w:tc>
          <w:tcPr>
            <w:tcW w:w="4596" w:type="dxa"/>
            <w:tcBorders>
              <w:top w:val="nil"/>
              <w:left w:val="nil"/>
              <w:bottom w:val="single" w:sz="4" w:space="0" w:color="auto"/>
              <w:right w:val="nil"/>
            </w:tcBorders>
            <w:shd w:val="clear" w:color="auto" w:fill="auto"/>
            <w:noWrap/>
            <w:vAlign w:val="bottom"/>
            <w:hideMark/>
          </w:tcPr>
          <w:p w14:paraId="5E62DBA9" w14:textId="77777777" w:rsidR="006220A2" w:rsidRPr="00070E05" w:rsidRDefault="006220A2" w:rsidP="00852114">
            <w:pPr>
              <w:keepNext/>
              <w:keepLines/>
              <w:rPr>
                <w:rFonts w:eastAsia="Times New Roman"/>
                <w:sz w:val="18"/>
                <w:szCs w:val="18"/>
              </w:rPr>
            </w:pPr>
            <w:r w:rsidRPr="00070E05">
              <w:rPr>
                <w:rFonts w:eastAsia="Times New Roman"/>
                <w:sz w:val="18"/>
                <w:szCs w:val="18"/>
              </w:rPr>
              <w:t> </w:t>
            </w:r>
          </w:p>
        </w:tc>
        <w:tc>
          <w:tcPr>
            <w:tcW w:w="1843" w:type="dxa"/>
            <w:tcBorders>
              <w:top w:val="nil"/>
              <w:left w:val="nil"/>
              <w:bottom w:val="single" w:sz="4" w:space="0" w:color="auto"/>
              <w:right w:val="nil"/>
            </w:tcBorders>
            <w:shd w:val="clear" w:color="auto" w:fill="auto"/>
            <w:noWrap/>
            <w:vAlign w:val="bottom"/>
            <w:hideMark/>
          </w:tcPr>
          <w:p w14:paraId="1191C06F" w14:textId="77777777" w:rsidR="006220A2" w:rsidRPr="00EC5A5C" w:rsidRDefault="00C01F3D" w:rsidP="00852114">
            <w:pPr>
              <w:keepNext/>
              <w:keepLines/>
              <w:jc w:val="center"/>
              <w:rPr>
                <w:rFonts w:eastAsia="Times New Roman"/>
                <w:b/>
                <w:bCs/>
                <w:sz w:val="18"/>
                <w:szCs w:val="18"/>
              </w:rPr>
            </w:pPr>
            <w:r w:rsidRPr="00EC5A5C">
              <w:rPr>
                <w:rFonts w:eastAsia="Times New Roman"/>
                <w:b/>
                <w:bCs/>
                <w:sz w:val="18"/>
                <w:szCs w:val="18"/>
              </w:rPr>
              <w:t>2018</w:t>
            </w:r>
          </w:p>
        </w:tc>
        <w:tc>
          <w:tcPr>
            <w:tcW w:w="1901" w:type="dxa"/>
            <w:gridSpan w:val="2"/>
            <w:tcBorders>
              <w:top w:val="nil"/>
              <w:left w:val="nil"/>
              <w:bottom w:val="single" w:sz="4" w:space="0" w:color="auto"/>
              <w:right w:val="nil"/>
            </w:tcBorders>
            <w:shd w:val="clear" w:color="auto" w:fill="auto"/>
            <w:noWrap/>
            <w:vAlign w:val="bottom"/>
            <w:hideMark/>
          </w:tcPr>
          <w:p w14:paraId="1F90143B" w14:textId="77777777" w:rsidR="006220A2" w:rsidRPr="00EC5A5C" w:rsidRDefault="00C01F3D" w:rsidP="00852114">
            <w:pPr>
              <w:keepNext/>
              <w:keepLines/>
              <w:jc w:val="center"/>
              <w:rPr>
                <w:rFonts w:eastAsia="Times New Roman"/>
                <w:b/>
                <w:bCs/>
                <w:sz w:val="18"/>
                <w:szCs w:val="18"/>
              </w:rPr>
            </w:pPr>
            <w:r w:rsidRPr="00EC5A5C">
              <w:rPr>
                <w:rFonts w:eastAsia="Times New Roman"/>
                <w:b/>
                <w:bCs/>
                <w:sz w:val="18"/>
                <w:szCs w:val="18"/>
              </w:rPr>
              <w:t>2017</w:t>
            </w:r>
          </w:p>
        </w:tc>
      </w:tr>
      <w:tr w:rsidR="006220A2" w:rsidRPr="00EC5A5C" w14:paraId="53B532C1" w14:textId="77777777" w:rsidTr="002109C5">
        <w:trPr>
          <w:trHeight w:val="300"/>
          <w:jc w:val="center"/>
        </w:trPr>
        <w:tc>
          <w:tcPr>
            <w:tcW w:w="4596" w:type="dxa"/>
            <w:tcBorders>
              <w:top w:val="nil"/>
              <w:left w:val="nil"/>
              <w:bottom w:val="single" w:sz="4" w:space="0" w:color="auto"/>
              <w:right w:val="nil"/>
            </w:tcBorders>
            <w:shd w:val="clear" w:color="auto" w:fill="auto"/>
            <w:noWrap/>
            <w:vAlign w:val="center"/>
            <w:hideMark/>
          </w:tcPr>
          <w:p w14:paraId="373A5421" w14:textId="77777777" w:rsidR="006220A2" w:rsidRPr="00EC5A5C" w:rsidRDefault="006220A2" w:rsidP="00852114">
            <w:pPr>
              <w:keepNext/>
              <w:keepLines/>
              <w:ind w:firstLineChars="200" w:firstLine="360"/>
              <w:rPr>
                <w:rFonts w:eastAsia="Times New Roman"/>
                <w:sz w:val="18"/>
                <w:szCs w:val="18"/>
              </w:rPr>
            </w:pPr>
            <w:r w:rsidRPr="00EC5A5C">
              <w:rPr>
                <w:rFonts w:eastAsia="Times New Roman"/>
                <w:sz w:val="18"/>
                <w:szCs w:val="18"/>
              </w:rPr>
              <w:t> </w:t>
            </w:r>
          </w:p>
        </w:tc>
        <w:tc>
          <w:tcPr>
            <w:tcW w:w="1872" w:type="dxa"/>
            <w:gridSpan w:val="2"/>
            <w:tcBorders>
              <w:top w:val="nil"/>
              <w:left w:val="nil"/>
              <w:bottom w:val="single" w:sz="4" w:space="0" w:color="auto"/>
              <w:right w:val="nil"/>
            </w:tcBorders>
            <w:shd w:val="clear" w:color="auto" w:fill="auto"/>
            <w:noWrap/>
            <w:vAlign w:val="center"/>
            <w:hideMark/>
          </w:tcPr>
          <w:p w14:paraId="53BA3C58" w14:textId="77777777" w:rsidR="006220A2" w:rsidRPr="00EC5A5C" w:rsidRDefault="006220A2" w:rsidP="00852114">
            <w:pPr>
              <w:keepNext/>
              <w:keepLines/>
              <w:ind w:firstLineChars="200" w:firstLine="361"/>
              <w:jc w:val="right"/>
              <w:rPr>
                <w:rFonts w:eastAsia="Times New Roman"/>
                <w:b/>
                <w:bCs/>
                <w:sz w:val="18"/>
                <w:szCs w:val="18"/>
              </w:rPr>
            </w:pPr>
            <w:r w:rsidRPr="00EC5A5C">
              <w:rPr>
                <w:rFonts w:eastAsia="Times New Roman"/>
                <w:b/>
                <w:bCs/>
                <w:sz w:val="18"/>
                <w:szCs w:val="18"/>
              </w:rPr>
              <w:t>Días</w:t>
            </w:r>
          </w:p>
        </w:tc>
        <w:tc>
          <w:tcPr>
            <w:tcW w:w="1872" w:type="dxa"/>
            <w:tcBorders>
              <w:top w:val="nil"/>
              <w:left w:val="nil"/>
              <w:bottom w:val="single" w:sz="4" w:space="0" w:color="auto"/>
              <w:right w:val="nil"/>
            </w:tcBorders>
            <w:shd w:val="clear" w:color="auto" w:fill="auto"/>
            <w:noWrap/>
            <w:vAlign w:val="center"/>
            <w:hideMark/>
          </w:tcPr>
          <w:p w14:paraId="2AA9EB50" w14:textId="77777777" w:rsidR="006220A2" w:rsidRPr="00EC5A5C" w:rsidRDefault="006220A2" w:rsidP="00852114">
            <w:pPr>
              <w:keepNext/>
              <w:keepLines/>
              <w:ind w:firstLineChars="200" w:firstLine="361"/>
              <w:jc w:val="right"/>
              <w:rPr>
                <w:rFonts w:eastAsia="Times New Roman"/>
                <w:b/>
                <w:bCs/>
                <w:sz w:val="18"/>
                <w:szCs w:val="18"/>
              </w:rPr>
            </w:pPr>
            <w:r w:rsidRPr="00EC5A5C">
              <w:rPr>
                <w:rFonts w:eastAsia="Times New Roman"/>
                <w:b/>
                <w:bCs/>
                <w:sz w:val="18"/>
                <w:szCs w:val="18"/>
              </w:rPr>
              <w:t>Días</w:t>
            </w:r>
          </w:p>
        </w:tc>
      </w:tr>
      <w:tr w:rsidR="00EC5A5C" w:rsidRPr="00EC5A5C" w14:paraId="21F1EBF1" w14:textId="77777777" w:rsidTr="002109C5">
        <w:trPr>
          <w:trHeight w:val="283"/>
          <w:jc w:val="center"/>
        </w:trPr>
        <w:tc>
          <w:tcPr>
            <w:tcW w:w="4596" w:type="dxa"/>
            <w:tcBorders>
              <w:top w:val="nil"/>
              <w:left w:val="nil"/>
              <w:bottom w:val="nil"/>
              <w:right w:val="nil"/>
            </w:tcBorders>
            <w:shd w:val="clear" w:color="auto" w:fill="auto"/>
            <w:noWrap/>
            <w:vAlign w:val="center"/>
            <w:hideMark/>
          </w:tcPr>
          <w:p w14:paraId="6968F605" w14:textId="77777777" w:rsidR="00EC5A5C" w:rsidRPr="00EC5A5C" w:rsidRDefault="00EC5A5C" w:rsidP="00EC5A5C">
            <w:pPr>
              <w:rPr>
                <w:rFonts w:eastAsia="Times New Roman"/>
                <w:sz w:val="18"/>
                <w:szCs w:val="18"/>
              </w:rPr>
            </w:pPr>
            <w:r w:rsidRPr="00EC5A5C">
              <w:rPr>
                <w:rFonts w:eastAsia="Times New Roman"/>
                <w:sz w:val="18"/>
                <w:szCs w:val="18"/>
              </w:rPr>
              <w:t>Periodo medio de pago a proveedores</w:t>
            </w:r>
          </w:p>
        </w:tc>
        <w:tc>
          <w:tcPr>
            <w:tcW w:w="1872" w:type="dxa"/>
            <w:gridSpan w:val="2"/>
            <w:tcBorders>
              <w:top w:val="nil"/>
              <w:left w:val="nil"/>
              <w:bottom w:val="nil"/>
              <w:right w:val="nil"/>
            </w:tcBorders>
            <w:shd w:val="clear" w:color="auto" w:fill="auto"/>
            <w:noWrap/>
            <w:vAlign w:val="center"/>
          </w:tcPr>
          <w:p w14:paraId="7AB30AD5" w14:textId="77777777" w:rsidR="00EC5A5C" w:rsidRPr="00EC5A5C" w:rsidRDefault="00EC5A5C" w:rsidP="00EC5A5C">
            <w:pPr>
              <w:pBdr>
                <w:top w:val="none" w:sz="0" w:space="0" w:color="auto"/>
                <w:left w:val="none" w:sz="0" w:space="0" w:color="auto"/>
                <w:bottom w:val="none" w:sz="0" w:space="0" w:color="auto"/>
                <w:right w:val="none" w:sz="0" w:space="0" w:color="auto"/>
                <w:between w:val="none" w:sz="0" w:space="0" w:color="auto"/>
                <w:bar w:val="none" w:sz="0" w:color="auto"/>
              </w:pBdr>
              <w:ind w:firstLineChars="200" w:firstLine="360"/>
              <w:jc w:val="right"/>
              <w:outlineLvl w:val="9"/>
              <w:rPr>
                <w:rFonts w:eastAsia="Times New Roman"/>
                <w:sz w:val="18"/>
                <w:szCs w:val="18"/>
                <w:bdr w:val="none" w:sz="0" w:space="0" w:color="auto"/>
                <w:lang w:eastAsia="es-ES"/>
              </w:rPr>
            </w:pPr>
            <w:r w:rsidRPr="00EC5A5C">
              <w:rPr>
                <w:sz w:val="18"/>
                <w:szCs w:val="18"/>
              </w:rPr>
              <w:t>6,72</w:t>
            </w:r>
          </w:p>
        </w:tc>
        <w:tc>
          <w:tcPr>
            <w:tcW w:w="1872" w:type="dxa"/>
            <w:tcBorders>
              <w:top w:val="nil"/>
              <w:left w:val="nil"/>
              <w:bottom w:val="nil"/>
              <w:right w:val="nil"/>
            </w:tcBorders>
            <w:shd w:val="clear" w:color="auto" w:fill="auto"/>
            <w:noWrap/>
            <w:vAlign w:val="center"/>
          </w:tcPr>
          <w:p w14:paraId="41B39899" w14:textId="77777777" w:rsidR="00EC5A5C" w:rsidRPr="00EC5A5C" w:rsidRDefault="00EC5A5C" w:rsidP="00EC5A5C">
            <w:pPr>
              <w:ind w:firstLineChars="200" w:firstLine="360"/>
              <w:jc w:val="right"/>
              <w:rPr>
                <w:sz w:val="18"/>
                <w:szCs w:val="18"/>
              </w:rPr>
            </w:pPr>
            <w:r w:rsidRPr="00EC5A5C">
              <w:rPr>
                <w:sz w:val="18"/>
                <w:szCs w:val="18"/>
              </w:rPr>
              <w:t>15,44</w:t>
            </w:r>
          </w:p>
        </w:tc>
      </w:tr>
      <w:tr w:rsidR="00EC5A5C" w:rsidRPr="00EC5A5C" w14:paraId="3CCF8DEE" w14:textId="77777777" w:rsidTr="002109C5">
        <w:trPr>
          <w:trHeight w:val="283"/>
          <w:jc w:val="center"/>
        </w:trPr>
        <w:tc>
          <w:tcPr>
            <w:tcW w:w="4596" w:type="dxa"/>
            <w:tcBorders>
              <w:top w:val="nil"/>
              <w:left w:val="nil"/>
              <w:bottom w:val="nil"/>
              <w:right w:val="nil"/>
            </w:tcBorders>
            <w:shd w:val="clear" w:color="auto" w:fill="auto"/>
            <w:noWrap/>
            <w:vAlign w:val="center"/>
            <w:hideMark/>
          </w:tcPr>
          <w:p w14:paraId="58F54588" w14:textId="77777777" w:rsidR="00EC5A5C" w:rsidRPr="00EC5A5C" w:rsidRDefault="00EC5A5C" w:rsidP="00EC5A5C">
            <w:pPr>
              <w:rPr>
                <w:rFonts w:eastAsia="Times New Roman"/>
                <w:sz w:val="18"/>
                <w:szCs w:val="18"/>
              </w:rPr>
            </w:pPr>
            <w:r w:rsidRPr="00EC5A5C">
              <w:rPr>
                <w:rFonts w:eastAsia="Times New Roman"/>
                <w:sz w:val="18"/>
                <w:szCs w:val="18"/>
              </w:rPr>
              <w:t>Ratio de operaciones pagadas</w:t>
            </w:r>
          </w:p>
        </w:tc>
        <w:tc>
          <w:tcPr>
            <w:tcW w:w="1872" w:type="dxa"/>
            <w:gridSpan w:val="2"/>
            <w:tcBorders>
              <w:top w:val="nil"/>
              <w:left w:val="nil"/>
              <w:bottom w:val="nil"/>
              <w:right w:val="nil"/>
            </w:tcBorders>
            <w:shd w:val="clear" w:color="auto" w:fill="auto"/>
            <w:noWrap/>
            <w:vAlign w:val="center"/>
          </w:tcPr>
          <w:p w14:paraId="54794919" w14:textId="77777777" w:rsidR="00EC5A5C" w:rsidRPr="00EC5A5C" w:rsidRDefault="00EC5A5C" w:rsidP="00EC5A5C">
            <w:pPr>
              <w:ind w:firstLineChars="200" w:firstLine="360"/>
              <w:jc w:val="right"/>
              <w:rPr>
                <w:sz w:val="18"/>
                <w:szCs w:val="18"/>
              </w:rPr>
            </w:pPr>
            <w:r w:rsidRPr="00EC5A5C">
              <w:rPr>
                <w:sz w:val="18"/>
                <w:szCs w:val="18"/>
              </w:rPr>
              <w:t>6,5</w:t>
            </w:r>
          </w:p>
        </w:tc>
        <w:tc>
          <w:tcPr>
            <w:tcW w:w="1872" w:type="dxa"/>
            <w:tcBorders>
              <w:top w:val="nil"/>
              <w:left w:val="nil"/>
              <w:bottom w:val="nil"/>
              <w:right w:val="nil"/>
            </w:tcBorders>
            <w:shd w:val="clear" w:color="auto" w:fill="auto"/>
            <w:noWrap/>
            <w:vAlign w:val="center"/>
          </w:tcPr>
          <w:p w14:paraId="4BF623FD" w14:textId="77777777" w:rsidR="00EC5A5C" w:rsidRPr="00EC5A5C" w:rsidRDefault="00EC5A5C" w:rsidP="00EC5A5C">
            <w:pPr>
              <w:ind w:firstLineChars="200" w:firstLine="360"/>
              <w:jc w:val="right"/>
              <w:rPr>
                <w:sz w:val="18"/>
                <w:szCs w:val="18"/>
              </w:rPr>
            </w:pPr>
            <w:r w:rsidRPr="00EC5A5C">
              <w:rPr>
                <w:sz w:val="18"/>
                <w:szCs w:val="18"/>
              </w:rPr>
              <w:t>18,16</w:t>
            </w:r>
          </w:p>
        </w:tc>
      </w:tr>
      <w:tr w:rsidR="00EC5A5C" w:rsidRPr="00EC5A5C" w14:paraId="18F22F61" w14:textId="77777777" w:rsidTr="002109C5">
        <w:trPr>
          <w:trHeight w:val="283"/>
          <w:jc w:val="center"/>
        </w:trPr>
        <w:tc>
          <w:tcPr>
            <w:tcW w:w="4596" w:type="dxa"/>
            <w:tcBorders>
              <w:top w:val="nil"/>
              <w:left w:val="nil"/>
              <w:bottom w:val="single" w:sz="4" w:space="0" w:color="auto"/>
              <w:right w:val="nil"/>
            </w:tcBorders>
            <w:shd w:val="clear" w:color="auto" w:fill="auto"/>
            <w:noWrap/>
            <w:vAlign w:val="center"/>
            <w:hideMark/>
          </w:tcPr>
          <w:p w14:paraId="0184C852" w14:textId="77777777" w:rsidR="00EC5A5C" w:rsidRPr="00EC5A5C" w:rsidRDefault="00EC5A5C" w:rsidP="00EC5A5C">
            <w:pPr>
              <w:rPr>
                <w:rFonts w:eastAsia="Times New Roman"/>
                <w:sz w:val="18"/>
                <w:szCs w:val="18"/>
              </w:rPr>
            </w:pPr>
            <w:r w:rsidRPr="00EC5A5C">
              <w:rPr>
                <w:rFonts w:eastAsia="Times New Roman"/>
                <w:sz w:val="18"/>
                <w:szCs w:val="18"/>
              </w:rPr>
              <w:t>Ratio de operaciones pendientes de pago</w:t>
            </w:r>
          </w:p>
        </w:tc>
        <w:tc>
          <w:tcPr>
            <w:tcW w:w="1872" w:type="dxa"/>
            <w:gridSpan w:val="2"/>
            <w:tcBorders>
              <w:top w:val="nil"/>
              <w:left w:val="nil"/>
              <w:bottom w:val="nil"/>
              <w:right w:val="nil"/>
            </w:tcBorders>
            <w:shd w:val="clear" w:color="auto" w:fill="auto"/>
            <w:noWrap/>
            <w:vAlign w:val="center"/>
          </w:tcPr>
          <w:p w14:paraId="5E0591A2" w14:textId="77777777" w:rsidR="00EC5A5C" w:rsidRPr="00EC5A5C" w:rsidRDefault="00EC5A5C" w:rsidP="00EC5A5C">
            <w:pPr>
              <w:ind w:firstLineChars="200" w:firstLine="360"/>
              <w:jc w:val="right"/>
              <w:rPr>
                <w:sz w:val="18"/>
                <w:szCs w:val="18"/>
              </w:rPr>
            </w:pPr>
            <w:r w:rsidRPr="00EC5A5C">
              <w:rPr>
                <w:sz w:val="18"/>
                <w:szCs w:val="18"/>
              </w:rPr>
              <w:t>9,38</w:t>
            </w:r>
          </w:p>
        </w:tc>
        <w:tc>
          <w:tcPr>
            <w:tcW w:w="1872" w:type="dxa"/>
            <w:tcBorders>
              <w:top w:val="nil"/>
              <w:left w:val="nil"/>
              <w:bottom w:val="nil"/>
              <w:right w:val="nil"/>
            </w:tcBorders>
            <w:shd w:val="clear" w:color="auto" w:fill="auto"/>
            <w:noWrap/>
            <w:vAlign w:val="center"/>
          </w:tcPr>
          <w:p w14:paraId="16B0D543" w14:textId="77777777" w:rsidR="00EC5A5C" w:rsidRPr="00EC5A5C" w:rsidRDefault="00EC5A5C" w:rsidP="00EC5A5C">
            <w:pPr>
              <w:ind w:firstLineChars="200" w:firstLine="360"/>
              <w:jc w:val="right"/>
              <w:rPr>
                <w:sz w:val="18"/>
                <w:szCs w:val="18"/>
              </w:rPr>
            </w:pPr>
            <w:r w:rsidRPr="00EC5A5C">
              <w:rPr>
                <w:sz w:val="18"/>
                <w:szCs w:val="18"/>
              </w:rPr>
              <w:t>10,67</w:t>
            </w:r>
          </w:p>
        </w:tc>
      </w:tr>
      <w:tr w:rsidR="00C01F3D" w:rsidRPr="00EC5A5C" w14:paraId="7BDF7AF2" w14:textId="77777777" w:rsidTr="002109C5">
        <w:trPr>
          <w:trHeight w:val="227"/>
          <w:jc w:val="center"/>
        </w:trPr>
        <w:tc>
          <w:tcPr>
            <w:tcW w:w="4596" w:type="dxa"/>
            <w:tcBorders>
              <w:top w:val="nil"/>
              <w:left w:val="nil"/>
              <w:bottom w:val="single" w:sz="4" w:space="0" w:color="auto"/>
              <w:right w:val="nil"/>
            </w:tcBorders>
            <w:shd w:val="clear" w:color="auto" w:fill="auto"/>
            <w:noWrap/>
            <w:vAlign w:val="center"/>
            <w:hideMark/>
          </w:tcPr>
          <w:p w14:paraId="1E104D05" w14:textId="77777777" w:rsidR="00C01F3D" w:rsidRPr="00EC5A5C" w:rsidRDefault="00C01F3D" w:rsidP="00C01F3D">
            <w:pPr>
              <w:rPr>
                <w:rFonts w:eastAsia="Times New Roman"/>
                <w:sz w:val="18"/>
                <w:szCs w:val="18"/>
              </w:rPr>
            </w:pPr>
            <w:r w:rsidRPr="00EC5A5C">
              <w:rPr>
                <w:rFonts w:eastAsia="Times New Roman"/>
                <w:sz w:val="18"/>
                <w:szCs w:val="18"/>
              </w:rPr>
              <w:t> </w:t>
            </w:r>
          </w:p>
        </w:tc>
        <w:tc>
          <w:tcPr>
            <w:tcW w:w="1872" w:type="dxa"/>
            <w:gridSpan w:val="2"/>
            <w:tcBorders>
              <w:top w:val="single" w:sz="4" w:space="0" w:color="auto"/>
              <w:left w:val="nil"/>
              <w:bottom w:val="single" w:sz="4" w:space="0" w:color="auto"/>
              <w:right w:val="nil"/>
            </w:tcBorders>
            <w:shd w:val="clear" w:color="auto" w:fill="auto"/>
            <w:noWrap/>
            <w:vAlign w:val="center"/>
            <w:hideMark/>
          </w:tcPr>
          <w:p w14:paraId="726775CE" w14:textId="77777777" w:rsidR="00C01F3D" w:rsidRPr="00EC5A5C" w:rsidRDefault="00C01F3D" w:rsidP="00C01F3D">
            <w:pPr>
              <w:ind w:firstLineChars="200" w:firstLine="360"/>
              <w:rPr>
                <w:rFonts w:eastAsia="Times New Roman"/>
                <w:sz w:val="18"/>
                <w:szCs w:val="18"/>
              </w:rPr>
            </w:pPr>
            <w:r w:rsidRPr="00EC5A5C">
              <w:rPr>
                <w:rFonts w:eastAsia="Times New Roman"/>
                <w:sz w:val="18"/>
                <w:szCs w:val="18"/>
              </w:rPr>
              <w:t> </w:t>
            </w:r>
          </w:p>
        </w:tc>
        <w:tc>
          <w:tcPr>
            <w:tcW w:w="1872" w:type="dxa"/>
            <w:tcBorders>
              <w:top w:val="single" w:sz="4" w:space="0" w:color="auto"/>
              <w:left w:val="nil"/>
              <w:bottom w:val="single" w:sz="4" w:space="0" w:color="auto"/>
              <w:right w:val="nil"/>
            </w:tcBorders>
            <w:shd w:val="clear" w:color="auto" w:fill="auto"/>
            <w:noWrap/>
            <w:vAlign w:val="center"/>
            <w:hideMark/>
          </w:tcPr>
          <w:p w14:paraId="061F5A7F" w14:textId="77777777" w:rsidR="00C01F3D" w:rsidRPr="00EC5A5C" w:rsidRDefault="00C01F3D" w:rsidP="00C01F3D">
            <w:pPr>
              <w:ind w:firstLineChars="200" w:firstLine="360"/>
              <w:rPr>
                <w:rFonts w:eastAsia="Times New Roman"/>
                <w:sz w:val="18"/>
                <w:szCs w:val="18"/>
              </w:rPr>
            </w:pPr>
            <w:r w:rsidRPr="00EC5A5C">
              <w:rPr>
                <w:rFonts w:eastAsia="Times New Roman"/>
                <w:sz w:val="18"/>
                <w:szCs w:val="18"/>
              </w:rPr>
              <w:t> </w:t>
            </w:r>
          </w:p>
        </w:tc>
      </w:tr>
      <w:tr w:rsidR="00C01F3D" w:rsidRPr="00EC5A5C" w14:paraId="7CCCB68D" w14:textId="77777777" w:rsidTr="002109C5">
        <w:trPr>
          <w:trHeight w:val="300"/>
          <w:jc w:val="center"/>
        </w:trPr>
        <w:tc>
          <w:tcPr>
            <w:tcW w:w="4596" w:type="dxa"/>
            <w:tcBorders>
              <w:top w:val="nil"/>
              <w:left w:val="nil"/>
              <w:bottom w:val="single" w:sz="4" w:space="0" w:color="auto"/>
              <w:right w:val="nil"/>
            </w:tcBorders>
            <w:shd w:val="clear" w:color="auto" w:fill="auto"/>
            <w:noWrap/>
            <w:vAlign w:val="center"/>
            <w:hideMark/>
          </w:tcPr>
          <w:p w14:paraId="477C9AB0" w14:textId="77777777" w:rsidR="00C01F3D" w:rsidRPr="00EC5A5C" w:rsidRDefault="00C01F3D" w:rsidP="00C01F3D">
            <w:pPr>
              <w:rPr>
                <w:rFonts w:eastAsia="Times New Roman"/>
                <w:sz w:val="18"/>
                <w:szCs w:val="18"/>
              </w:rPr>
            </w:pPr>
            <w:r w:rsidRPr="00EC5A5C">
              <w:rPr>
                <w:rFonts w:eastAsia="Times New Roman"/>
                <w:sz w:val="18"/>
                <w:szCs w:val="18"/>
              </w:rPr>
              <w:t> </w:t>
            </w:r>
          </w:p>
        </w:tc>
        <w:tc>
          <w:tcPr>
            <w:tcW w:w="1872" w:type="dxa"/>
            <w:gridSpan w:val="2"/>
            <w:tcBorders>
              <w:top w:val="nil"/>
              <w:left w:val="nil"/>
              <w:bottom w:val="single" w:sz="4" w:space="0" w:color="auto"/>
              <w:right w:val="nil"/>
            </w:tcBorders>
            <w:shd w:val="clear" w:color="auto" w:fill="auto"/>
            <w:noWrap/>
            <w:vAlign w:val="center"/>
            <w:hideMark/>
          </w:tcPr>
          <w:p w14:paraId="124726AF" w14:textId="77777777" w:rsidR="00C01F3D" w:rsidRPr="00EC5A5C" w:rsidRDefault="00C01F3D" w:rsidP="00C01F3D">
            <w:pPr>
              <w:ind w:firstLineChars="200" w:firstLine="361"/>
              <w:jc w:val="right"/>
              <w:rPr>
                <w:rFonts w:eastAsia="Times New Roman"/>
                <w:b/>
                <w:bCs/>
                <w:sz w:val="18"/>
                <w:szCs w:val="18"/>
              </w:rPr>
            </w:pPr>
            <w:r w:rsidRPr="00EC5A5C">
              <w:rPr>
                <w:rFonts w:eastAsia="Times New Roman"/>
                <w:b/>
                <w:bCs/>
                <w:sz w:val="18"/>
                <w:szCs w:val="18"/>
              </w:rPr>
              <w:t>Importe (euros)</w:t>
            </w:r>
          </w:p>
        </w:tc>
        <w:tc>
          <w:tcPr>
            <w:tcW w:w="1872" w:type="dxa"/>
            <w:tcBorders>
              <w:top w:val="nil"/>
              <w:left w:val="nil"/>
              <w:bottom w:val="single" w:sz="4" w:space="0" w:color="auto"/>
              <w:right w:val="nil"/>
            </w:tcBorders>
            <w:shd w:val="clear" w:color="auto" w:fill="auto"/>
            <w:noWrap/>
            <w:vAlign w:val="center"/>
            <w:hideMark/>
          </w:tcPr>
          <w:p w14:paraId="4EA3CBC2" w14:textId="77777777" w:rsidR="00C01F3D" w:rsidRPr="00EC5A5C" w:rsidRDefault="00C01F3D" w:rsidP="00C01F3D">
            <w:pPr>
              <w:ind w:firstLineChars="200" w:firstLine="361"/>
              <w:jc w:val="right"/>
              <w:rPr>
                <w:rFonts w:eastAsia="Times New Roman"/>
                <w:b/>
                <w:bCs/>
                <w:sz w:val="18"/>
                <w:szCs w:val="18"/>
              </w:rPr>
            </w:pPr>
            <w:r w:rsidRPr="00EC5A5C">
              <w:rPr>
                <w:rFonts w:eastAsia="Times New Roman"/>
                <w:b/>
                <w:bCs/>
                <w:sz w:val="18"/>
                <w:szCs w:val="18"/>
              </w:rPr>
              <w:t>Importe (euros)</w:t>
            </w:r>
          </w:p>
        </w:tc>
      </w:tr>
      <w:tr w:rsidR="00EC5A5C" w:rsidRPr="00EC5A5C" w14:paraId="6937F453" w14:textId="77777777" w:rsidTr="002109C5">
        <w:trPr>
          <w:trHeight w:val="283"/>
          <w:jc w:val="center"/>
        </w:trPr>
        <w:tc>
          <w:tcPr>
            <w:tcW w:w="4596" w:type="dxa"/>
            <w:tcBorders>
              <w:top w:val="nil"/>
              <w:left w:val="nil"/>
              <w:bottom w:val="nil"/>
              <w:right w:val="nil"/>
            </w:tcBorders>
            <w:shd w:val="clear" w:color="auto" w:fill="auto"/>
            <w:noWrap/>
            <w:vAlign w:val="center"/>
            <w:hideMark/>
          </w:tcPr>
          <w:p w14:paraId="548440B3" w14:textId="77777777" w:rsidR="00EC5A5C" w:rsidRPr="00EC5A5C" w:rsidRDefault="00EC5A5C" w:rsidP="00EC5A5C">
            <w:pPr>
              <w:rPr>
                <w:rFonts w:eastAsia="Times New Roman"/>
                <w:sz w:val="18"/>
                <w:szCs w:val="18"/>
              </w:rPr>
            </w:pPr>
            <w:r w:rsidRPr="00EC5A5C">
              <w:rPr>
                <w:rFonts w:eastAsia="Times New Roman"/>
                <w:sz w:val="18"/>
                <w:szCs w:val="18"/>
              </w:rPr>
              <w:t>Total pagos realizados</w:t>
            </w:r>
          </w:p>
        </w:tc>
        <w:tc>
          <w:tcPr>
            <w:tcW w:w="1872" w:type="dxa"/>
            <w:gridSpan w:val="2"/>
            <w:tcBorders>
              <w:top w:val="nil"/>
              <w:left w:val="nil"/>
              <w:bottom w:val="nil"/>
              <w:right w:val="nil"/>
            </w:tcBorders>
            <w:shd w:val="clear" w:color="auto" w:fill="auto"/>
            <w:noWrap/>
            <w:vAlign w:val="center"/>
          </w:tcPr>
          <w:p w14:paraId="70B2E811" w14:textId="77777777" w:rsidR="00EC5A5C" w:rsidRPr="009D0745" w:rsidRDefault="009D0745" w:rsidP="00EC5A5C">
            <w:pPr>
              <w:pBdr>
                <w:top w:val="none" w:sz="0" w:space="0" w:color="auto"/>
                <w:left w:val="none" w:sz="0" w:space="0" w:color="auto"/>
                <w:bottom w:val="none" w:sz="0" w:space="0" w:color="auto"/>
                <w:right w:val="none" w:sz="0" w:space="0" w:color="auto"/>
                <w:between w:val="none" w:sz="0" w:space="0" w:color="auto"/>
                <w:bar w:val="none" w:sz="0" w:color="auto"/>
              </w:pBdr>
              <w:ind w:firstLineChars="200" w:firstLine="360"/>
              <w:jc w:val="right"/>
              <w:outlineLvl w:val="9"/>
              <w:rPr>
                <w:rFonts w:eastAsia="Times New Roman"/>
                <w:sz w:val="18"/>
                <w:szCs w:val="18"/>
                <w:highlight w:val="yellow"/>
                <w:bdr w:val="none" w:sz="0" w:space="0" w:color="auto"/>
                <w:lang w:eastAsia="es-ES"/>
              </w:rPr>
            </w:pPr>
            <w:r w:rsidRPr="00644201">
              <w:rPr>
                <w:rFonts w:eastAsia="Times New Roman"/>
                <w:sz w:val="18"/>
                <w:szCs w:val="18"/>
                <w:bdr w:val="none" w:sz="0" w:space="0" w:color="auto"/>
                <w:lang w:eastAsia="es-ES"/>
              </w:rPr>
              <w:t>29.378.190,00</w:t>
            </w:r>
          </w:p>
        </w:tc>
        <w:tc>
          <w:tcPr>
            <w:tcW w:w="1872" w:type="dxa"/>
            <w:tcBorders>
              <w:top w:val="nil"/>
              <w:left w:val="nil"/>
              <w:bottom w:val="nil"/>
              <w:right w:val="nil"/>
            </w:tcBorders>
            <w:shd w:val="clear" w:color="auto" w:fill="auto"/>
            <w:noWrap/>
            <w:vAlign w:val="center"/>
          </w:tcPr>
          <w:p w14:paraId="1A7DDA9A" w14:textId="77777777" w:rsidR="00EC5A5C" w:rsidRPr="00EC5A5C" w:rsidRDefault="00EC5A5C" w:rsidP="00EC5A5C">
            <w:pPr>
              <w:ind w:firstLineChars="200" w:firstLine="360"/>
              <w:jc w:val="right"/>
              <w:rPr>
                <w:sz w:val="18"/>
                <w:szCs w:val="18"/>
              </w:rPr>
            </w:pPr>
            <w:r w:rsidRPr="00EC5A5C">
              <w:rPr>
                <w:sz w:val="18"/>
                <w:szCs w:val="18"/>
              </w:rPr>
              <w:t>15.476.210,01</w:t>
            </w:r>
          </w:p>
        </w:tc>
      </w:tr>
      <w:tr w:rsidR="00EC5A5C" w:rsidRPr="00070E05" w14:paraId="4D282EC7" w14:textId="77777777" w:rsidTr="002109C5">
        <w:trPr>
          <w:trHeight w:val="283"/>
          <w:jc w:val="center"/>
        </w:trPr>
        <w:tc>
          <w:tcPr>
            <w:tcW w:w="4596" w:type="dxa"/>
            <w:tcBorders>
              <w:top w:val="nil"/>
              <w:left w:val="nil"/>
              <w:bottom w:val="single" w:sz="4" w:space="0" w:color="auto"/>
              <w:right w:val="nil"/>
            </w:tcBorders>
            <w:shd w:val="clear" w:color="auto" w:fill="auto"/>
            <w:noWrap/>
            <w:vAlign w:val="center"/>
            <w:hideMark/>
          </w:tcPr>
          <w:p w14:paraId="22A4FEB4" w14:textId="77777777" w:rsidR="00EC5A5C" w:rsidRPr="00EC5A5C" w:rsidRDefault="00EC5A5C" w:rsidP="00EC5A5C">
            <w:pPr>
              <w:rPr>
                <w:rFonts w:eastAsia="Times New Roman"/>
                <w:sz w:val="18"/>
                <w:szCs w:val="18"/>
              </w:rPr>
            </w:pPr>
            <w:r w:rsidRPr="00EC5A5C">
              <w:rPr>
                <w:rFonts w:eastAsia="Times New Roman"/>
                <w:sz w:val="18"/>
                <w:szCs w:val="18"/>
              </w:rPr>
              <w:t>Total pagos pendientes</w:t>
            </w:r>
          </w:p>
        </w:tc>
        <w:tc>
          <w:tcPr>
            <w:tcW w:w="1872" w:type="dxa"/>
            <w:gridSpan w:val="2"/>
            <w:tcBorders>
              <w:top w:val="nil"/>
              <w:left w:val="nil"/>
              <w:bottom w:val="single" w:sz="4" w:space="0" w:color="auto"/>
              <w:right w:val="nil"/>
            </w:tcBorders>
            <w:shd w:val="clear" w:color="auto" w:fill="auto"/>
            <w:noWrap/>
            <w:vAlign w:val="center"/>
          </w:tcPr>
          <w:p w14:paraId="2ECBFE1B" w14:textId="77777777" w:rsidR="00EC5A5C" w:rsidRPr="00EC5A5C" w:rsidRDefault="00EC5A5C" w:rsidP="00EC5A5C">
            <w:pPr>
              <w:ind w:firstLineChars="200" w:firstLine="360"/>
              <w:jc w:val="right"/>
              <w:rPr>
                <w:sz w:val="18"/>
                <w:szCs w:val="18"/>
              </w:rPr>
            </w:pPr>
            <w:r w:rsidRPr="00EC5A5C">
              <w:rPr>
                <w:sz w:val="18"/>
                <w:szCs w:val="18"/>
              </w:rPr>
              <w:t>157.290,00</w:t>
            </w:r>
          </w:p>
        </w:tc>
        <w:tc>
          <w:tcPr>
            <w:tcW w:w="1872" w:type="dxa"/>
            <w:tcBorders>
              <w:top w:val="nil"/>
              <w:left w:val="nil"/>
              <w:bottom w:val="single" w:sz="4" w:space="0" w:color="auto"/>
              <w:right w:val="nil"/>
            </w:tcBorders>
            <w:shd w:val="clear" w:color="auto" w:fill="auto"/>
            <w:noWrap/>
            <w:vAlign w:val="center"/>
          </w:tcPr>
          <w:p w14:paraId="62E02CEB" w14:textId="77777777" w:rsidR="00EC5A5C" w:rsidRDefault="00EC5A5C" w:rsidP="00EC5A5C">
            <w:pPr>
              <w:ind w:firstLineChars="200" w:firstLine="360"/>
              <w:jc w:val="right"/>
              <w:rPr>
                <w:sz w:val="18"/>
                <w:szCs w:val="18"/>
              </w:rPr>
            </w:pPr>
            <w:r w:rsidRPr="00EC5A5C">
              <w:rPr>
                <w:sz w:val="18"/>
                <w:szCs w:val="18"/>
              </w:rPr>
              <w:t>751.979,94</w:t>
            </w:r>
          </w:p>
        </w:tc>
      </w:tr>
    </w:tbl>
    <w:p w14:paraId="1997685B" w14:textId="77777777" w:rsidR="006220A2" w:rsidRDefault="006220A2" w:rsidP="006220A2">
      <w:pPr>
        <w:pStyle w:val="bullet"/>
        <w:numPr>
          <w:ilvl w:val="0"/>
          <w:numId w:val="0"/>
        </w:numPr>
        <w:ind w:left="720" w:hanging="360"/>
        <w:rPr>
          <w:lang w:val="es-ES"/>
        </w:rPr>
      </w:pPr>
    </w:p>
    <w:p w14:paraId="608B194A" w14:textId="77777777" w:rsidR="006220A2" w:rsidRDefault="006220A2">
      <w:pPr>
        <w:pBdr>
          <w:top w:val="none" w:sz="0" w:space="0" w:color="auto"/>
          <w:left w:val="none" w:sz="0" w:space="0" w:color="auto"/>
          <w:bottom w:val="none" w:sz="0" w:space="0" w:color="auto"/>
          <w:right w:val="none" w:sz="0" w:space="0" w:color="auto"/>
          <w:between w:val="none" w:sz="0" w:space="0" w:color="auto"/>
          <w:bar w:val="none" w:sz="0" w:color="auto"/>
        </w:pBdr>
        <w:outlineLvl w:val="9"/>
      </w:pPr>
      <w:r>
        <w:br w:type="page"/>
      </w:r>
    </w:p>
    <w:p w14:paraId="5356087E" w14:textId="77777777" w:rsidR="001D401D" w:rsidRDefault="001D401D" w:rsidP="006220A2">
      <w:pPr>
        <w:jc w:val="center"/>
        <w:rPr>
          <w:b/>
        </w:rPr>
        <w:sectPr w:rsidR="001D401D" w:rsidSect="0071126B">
          <w:headerReference w:type="default" r:id="rId12"/>
          <w:pgSz w:w="11900" w:h="16840" w:code="9"/>
          <w:pgMar w:top="1701" w:right="1418" w:bottom="1418" w:left="1701" w:header="1247" w:footer="850" w:gutter="0"/>
          <w:cols w:space="708"/>
          <w:docGrid w:linePitch="360"/>
        </w:sectPr>
      </w:pPr>
    </w:p>
    <w:p w14:paraId="2690B718" w14:textId="77777777" w:rsidR="006220A2" w:rsidRDefault="006220A2" w:rsidP="006220A2">
      <w:pPr>
        <w:jc w:val="center"/>
        <w:rPr>
          <w:b/>
        </w:rPr>
      </w:pPr>
      <w:r w:rsidRPr="00F86D28">
        <w:rPr>
          <w:b/>
        </w:rPr>
        <w:t>INFORME DE GESTIÓN DEL EJERCICIO 201</w:t>
      </w:r>
      <w:r>
        <w:rPr>
          <w:b/>
        </w:rPr>
        <w:t>8</w:t>
      </w:r>
    </w:p>
    <w:p w14:paraId="18CCEE16" w14:textId="77777777" w:rsidR="006220A2" w:rsidRPr="00844316" w:rsidRDefault="006220A2" w:rsidP="006220A2">
      <w:pPr>
        <w:jc w:val="center"/>
        <w:rPr>
          <w:b/>
        </w:rPr>
      </w:pPr>
    </w:p>
    <w:p w14:paraId="08D677B8" w14:textId="77777777" w:rsidR="006220A2" w:rsidRPr="00844316" w:rsidRDefault="006220A2" w:rsidP="006220A2">
      <w:pPr>
        <w:spacing w:before="120"/>
        <w:jc w:val="both"/>
        <w:rPr>
          <w:sz w:val="20"/>
        </w:rPr>
      </w:pPr>
      <w:r w:rsidRPr="00844316">
        <w:rPr>
          <w:sz w:val="20"/>
        </w:rPr>
        <w:t>Esta empresa pública, dependiente de la Consejería de Turismo, Cultura y Deportes del Gobierno de Canarias, desarrolló durante el ejercicio 201</w:t>
      </w:r>
      <w:r>
        <w:rPr>
          <w:sz w:val="20"/>
        </w:rPr>
        <w:t>8</w:t>
      </w:r>
      <w:r w:rsidRPr="00844316">
        <w:rPr>
          <w:sz w:val="20"/>
        </w:rPr>
        <w:t>, en sus diversas áreas, el programa de objetivos y actividades en el ámbito de su objeto social.</w:t>
      </w:r>
    </w:p>
    <w:p w14:paraId="26BB8A63" w14:textId="77777777" w:rsidR="006220A2" w:rsidRPr="00844316" w:rsidRDefault="006220A2" w:rsidP="006220A2">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200"/>
        <w:ind w:left="720" w:hanging="720"/>
        <w:jc w:val="both"/>
        <w:outlineLvl w:val="9"/>
        <w:rPr>
          <w:sz w:val="20"/>
        </w:rPr>
      </w:pPr>
      <w:r w:rsidRPr="00844316">
        <w:rPr>
          <w:b/>
          <w:sz w:val="20"/>
          <w:u w:val="single"/>
        </w:rPr>
        <w:t>ACCIONES PROMOCIONALES REALIZADAS EN 201</w:t>
      </w:r>
      <w:r>
        <w:rPr>
          <w:b/>
          <w:sz w:val="20"/>
          <w:u w:val="single"/>
        </w:rPr>
        <w:t>8</w:t>
      </w:r>
    </w:p>
    <w:p w14:paraId="03B8C8D1" w14:textId="77777777" w:rsidR="006220A2" w:rsidRPr="006C064F" w:rsidRDefault="006220A2" w:rsidP="00A30AB8">
      <w:pPr>
        <w:spacing w:before="240"/>
        <w:jc w:val="both"/>
        <w:rPr>
          <w:sz w:val="20"/>
        </w:rPr>
      </w:pPr>
      <w:r w:rsidRPr="006C064F">
        <w:rPr>
          <w:sz w:val="20"/>
          <w:lang w:val="es-ES_tradnl"/>
        </w:rPr>
        <w:t>En 2018, la actuación de Promotur Turismo Canarias S.A. se estructura a partir del Plan de Marketing Estrat</w:t>
      </w:r>
      <w:r w:rsidRPr="006C064F">
        <w:rPr>
          <w:sz w:val="20"/>
          <w:lang w:val="fr-FR"/>
        </w:rPr>
        <w:t>é</w:t>
      </w:r>
      <w:r w:rsidRPr="006C064F">
        <w:rPr>
          <w:sz w:val="20"/>
          <w:lang w:val="es-ES_tradnl"/>
        </w:rPr>
        <w:t>gico 2018-2022 desarrollado por la entidad. En este Plan se identifican los siguientes retos a los que se enfrenta el turismo canario desde la perspectiva del marketing estrat</w:t>
      </w:r>
      <w:r w:rsidRPr="006C064F">
        <w:rPr>
          <w:sz w:val="20"/>
          <w:lang w:val="fr-FR"/>
        </w:rPr>
        <w:t>é</w:t>
      </w:r>
      <w:r w:rsidRPr="006C064F">
        <w:rPr>
          <w:sz w:val="20"/>
          <w:lang w:val="it-IT"/>
        </w:rPr>
        <w:t>gico</w:t>
      </w:r>
      <w:r w:rsidRPr="006C064F">
        <w:rPr>
          <w:sz w:val="20"/>
          <w:lang w:val="es-ES_tradnl"/>
        </w:rPr>
        <w:t>:</w:t>
      </w:r>
    </w:p>
    <w:p w14:paraId="62FCAD06" w14:textId="77777777" w:rsidR="006220A2" w:rsidRPr="006C064F" w:rsidRDefault="006220A2" w:rsidP="00A30AB8">
      <w:pPr>
        <w:spacing w:before="120"/>
        <w:ind w:left="284"/>
        <w:jc w:val="both"/>
        <w:rPr>
          <w:sz w:val="20"/>
        </w:rPr>
      </w:pPr>
      <w:r w:rsidRPr="006C064F">
        <w:rPr>
          <w:sz w:val="20"/>
        </w:rPr>
        <w:t>- Consolidación del liderazgo turístico internacional alcanzado</w:t>
      </w:r>
    </w:p>
    <w:p w14:paraId="1286BABD" w14:textId="77777777" w:rsidR="006220A2" w:rsidRPr="006C064F" w:rsidRDefault="006220A2" w:rsidP="00A30AB8">
      <w:pPr>
        <w:spacing w:before="120"/>
        <w:ind w:left="284"/>
        <w:jc w:val="both"/>
        <w:rPr>
          <w:sz w:val="20"/>
        </w:rPr>
      </w:pPr>
      <w:r w:rsidRPr="006C064F">
        <w:rPr>
          <w:sz w:val="20"/>
        </w:rPr>
        <w:t>- Diversificación de mercados</w:t>
      </w:r>
    </w:p>
    <w:p w14:paraId="55B6AC4A" w14:textId="77777777" w:rsidR="006220A2" w:rsidRPr="006C064F" w:rsidRDefault="006220A2" w:rsidP="00A30AB8">
      <w:pPr>
        <w:spacing w:before="120"/>
        <w:ind w:left="284"/>
        <w:jc w:val="both"/>
        <w:rPr>
          <w:sz w:val="20"/>
        </w:rPr>
      </w:pPr>
      <w:r w:rsidRPr="006C064F">
        <w:rPr>
          <w:sz w:val="20"/>
        </w:rPr>
        <w:t>- Diversificación de clientes</w:t>
      </w:r>
    </w:p>
    <w:p w14:paraId="5BFC8599" w14:textId="77777777" w:rsidR="006220A2" w:rsidRDefault="006220A2" w:rsidP="00A30AB8">
      <w:pPr>
        <w:spacing w:before="120"/>
        <w:ind w:left="284"/>
        <w:jc w:val="both"/>
        <w:rPr>
          <w:sz w:val="20"/>
        </w:rPr>
      </w:pPr>
      <w:r w:rsidRPr="006C064F">
        <w:rPr>
          <w:sz w:val="20"/>
        </w:rPr>
        <w:t>- Diferenciación de la oferta a través de la identidad</w:t>
      </w:r>
    </w:p>
    <w:p w14:paraId="019E1BF2" w14:textId="77777777" w:rsidR="006220A2" w:rsidRPr="006C064F" w:rsidRDefault="006220A2" w:rsidP="006220A2">
      <w:pPr>
        <w:spacing w:before="120"/>
        <w:jc w:val="both"/>
        <w:rPr>
          <w:sz w:val="20"/>
        </w:rPr>
      </w:pPr>
      <w:r w:rsidRPr="006C064F">
        <w:rPr>
          <w:sz w:val="20"/>
          <w:lang w:val="es-ES_tradnl"/>
        </w:rPr>
        <w:t xml:space="preserve">Para afrontar estos retos a medio plazo, Promotur ha establecido los siguientes objetivos para el año 2018: </w:t>
      </w:r>
    </w:p>
    <w:p w14:paraId="29A2D2D4" w14:textId="77777777" w:rsidR="006220A2" w:rsidRPr="006C064F" w:rsidRDefault="006220A2" w:rsidP="00A30AB8">
      <w:pPr>
        <w:spacing w:before="120"/>
        <w:ind w:left="567" w:hanging="283"/>
        <w:jc w:val="both"/>
        <w:rPr>
          <w:sz w:val="20"/>
        </w:rPr>
      </w:pPr>
      <w:r w:rsidRPr="006C064F">
        <w:rPr>
          <w:sz w:val="20"/>
          <w:lang w:val="es-ES_tradnl"/>
        </w:rPr>
        <w:t>1.- Mantenimiento / recuperación cuota de mercado en mercados clave</w:t>
      </w:r>
    </w:p>
    <w:p w14:paraId="667EE688" w14:textId="77777777" w:rsidR="006220A2" w:rsidRPr="006C064F" w:rsidRDefault="006220A2" w:rsidP="00A30AB8">
      <w:pPr>
        <w:spacing w:before="120"/>
        <w:ind w:left="567" w:hanging="283"/>
        <w:jc w:val="both"/>
        <w:rPr>
          <w:sz w:val="20"/>
        </w:rPr>
      </w:pPr>
      <w:r w:rsidRPr="006C064F">
        <w:rPr>
          <w:sz w:val="20"/>
          <w:lang w:val="es-ES_tradnl"/>
        </w:rPr>
        <w:t>2.- Incremento del gasto en destino de los visitantes</w:t>
      </w:r>
    </w:p>
    <w:p w14:paraId="2D5EDABE" w14:textId="77777777" w:rsidR="006220A2" w:rsidRPr="006C064F" w:rsidRDefault="006220A2" w:rsidP="00A30AB8">
      <w:pPr>
        <w:spacing w:before="120"/>
        <w:ind w:left="567" w:hanging="283"/>
        <w:jc w:val="both"/>
        <w:rPr>
          <w:sz w:val="20"/>
        </w:rPr>
      </w:pPr>
      <w:r w:rsidRPr="006C064F">
        <w:rPr>
          <w:sz w:val="20"/>
        </w:rPr>
        <w:t>3.- Extensi</w:t>
      </w:r>
      <w:r w:rsidRPr="006C064F">
        <w:rPr>
          <w:sz w:val="20"/>
          <w:lang w:val="es-ES_tradnl"/>
        </w:rPr>
        <w:t>ó</w:t>
      </w:r>
      <w:r w:rsidRPr="006C064F">
        <w:rPr>
          <w:sz w:val="20"/>
          <w:lang w:val="de-DE"/>
        </w:rPr>
        <w:t>n geogr</w:t>
      </w:r>
      <w:r w:rsidRPr="006C064F">
        <w:rPr>
          <w:sz w:val="20"/>
        </w:rPr>
        <w:t>á</w:t>
      </w:r>
      <w:r w:rsidRPr="006C064F">
        <w:rPr>
          <w:sz w:val="20"/>
          <w:lang w:val="es-ES_tradnl"/>
        </w:rPr>
        <w:t>fica de la actividad económica derivada del turismo</w:t>
      </w:r>
    </w:p>
    <w:p w14:paraId="2AFA7966" w14:textId="77777777" w:rsidR="006220A2" w:rsidRPr="006C064F" w:rsidRDefault="006220A2" w:rsidP="00A30AB8">
      <w:pPr>
        <w:spacing w:before="120"/>
        <w:ind w:left="567" w:hanging="283"/>
        <w:jc w:val="both"/>
        <w:rPr>
          <w:sz w:val="20"/>
        </w:rPr>
      </w:pPr>
      <w:r w:rsidRPr="006C064F">
        <w:rPr>
          <w:sz w:val="20"/>
        </w:rPr>
        <w:t>4.- Extensi</w:t>
      </w:r>
      <w:r w:rsidRPr="006C064F">
        <w:rPr>
          <w:sz w:val="20"/>
          <w:lang w:val="es-ES_tradnl"/>
        </w:rPr>
        <w:t>ón de la cadena de valor de la actividad tur</w:t>
      </w:r>
      <w:r w:rsidRPr="006C064F">
        <w:rPr>
          <w:sz w:val="20"/>
        </w:rPr>
        <w:t>í</w:t>
      </w:r>
      <w:r w:rsidRPr="006C064F">
        <w:rPr>
          <w:sz w:val="20"/>
          <w:lang w:val="it-IT"/>
        </w:rPr>
        <w:t>stica</w:t>
      </w:r>
    </w:p>
    <w:p w14:paraId="661017BE" w14:textId="77777777" w:rsidR="006220A2" w:rsidRPr="006C064F" w:rsidRDefault="006220A2" w:rsidP="00A30AB8">
      <w:pPr>
        <w:spacing w:before="120"/>
        <w:ind w:left="567" w:hanging="283"/>
        <w:jc w:val="both"/>
        <w:rPr>
          <w:sz w:val="20"/>
        </w:rPr>
      </w:pPr>
      <w:r w:rsidRPr="006C064F">
        <w:rPr>
          <w:sz w:val="20"/>
          <w:lang w:val="es-ES_tradnl"/>
        </w:rPr>
        <w:t>5.- Mejora del impacto de la actividad tur</w:t>
      </w:r>
      <w:r w:rsidRPr="006C064F">
        <w:rPr>
          <w:sz w:val="20"/>
        </w:rPr>
        <w:t>í</w:t>
      </w:r>
      <w:r w:rsidRPr="006C064F">
        <w:rPr>
          <w:sz w:val="20"/>
          <w:lang w:val="es-ES_tradnl"/>
        </w:rPr>
        <w:t>stica en la cadena de valor global</w:t>
      </w:r>
    </w:p>
    <w:p w14:paraId="126BBE20" w14:textId="77777777" w:rsidR="006220A2" w:rsidRPr="006C064F" w:rsidRDefault="006220A2" w:rsidP="00A30AB8">
      <w:pPr>
        <w:spacing w:before="120"/>
        <w:ind w:left="567" w:hanging="283"/>
        <w:jc w:val="both"/>
        <w:rPr>
          <w:sz w:val="20"/>
        </w:rPr>
      </w:pPr>
      <w:r w:rsidRPr="006C064F">
        <w:rPr>
          <w:sz w:val="20"/>
        </w:rPr>
        <w:t>6.- Disminuci</w:t>
      </w:r>
      <w:r w:rsidRPr="006C064F">
        <w:rPr>
          <w:sz w:val="20"/>
          <w:lang w:val="es-ES_tradnl"/>
        </w:rPr>
        <w:t>ón concentración de riesgo en mercados de origen tradicionales</w:t>
      </w:r>
    </w:p>
    <w:p w14:paraId="4A698CE5" w14:textId="77777777" w:rsidR="006220A2" w:rsidRPr="006C064F" w:rsidRDefault="006220A2" w:rsidP="00A30AB8">
      <w:pPr>
        <w:spacing w:before="120"/>
        <w:ind w:left="567" w:hanging="283"/>
        <w:jc w:val="both"/>
        <w:rPr>
          <w:sz w:val="20"/>
        </w:rPr>
      </w:pPr>
      <w:r w:rsidRPr="006C064F">
        <w:rPr>
          <w:sz w:val="20"/>
        </w:rPr>
        <w:t>7.- Disminuci</w:t>
      </w:r>
      <w:r w:rsidRPr="006C064F">
        <w:rPr>
          <w:sz w:val="20"/>
          <w:lang w:val="es-ES_tradnl"/>
        </w:rPr>
        <w:t>ón de la concentración de riesgo en segmentos vinculados exclusivamente al disfrute de la oferta tradicional de sol y playa</w:t>
      </w:r>
    </w:p>
    <w:p w14:paraId="4E4EFAAB" w14:textId="77777777" w:rsidR="006220A2" w:rsidRPr="006C064F" w:rsidRDefault="006220A2" w:rsidP="00A30AB8">
      <w:pPr>
        <w:spacing w:before="120"/>
        <w:ind w:left="567" w:hanging="283"/>
        <w:jc w:val="both"/>
        <w:rPr>
          <w:sz w:val="20"/>
        </w:rPr>
      </w:pPr>
      <w:r w:rsidRPr="006C064F">
        <w:rPr>
          <w:sz w:val="20"/>
          <w:lang w:val="es-ES_tradnl"/>
        </w:rPr>
        <w:t>8.- Desintermediación de la actividad tur</w:t>
      </w:r>
      <w:r w:rsidRPr="006C064F">
        <w:rPr>
          <w:sz w:val="20"/>
        </w:rPr>
        <w:t>í</w:t>
      </w:r>
      <w:r w:rsidRPr="006C064F">
        <w:rPr>
          <w:sz w:val="20"/>
          <w:lang w:val="it-IT"/>
        </w:rPr>
        <w:t>stica</w:t>
      </w:r>
    </w:p>
    <w:p w14:paraId="46F344EB" w14:textId="77777777" w:rsidR="006220A2" w:rsidRPr="006C064F" w:rsidRDefault="006220A2" w:rsidP="00A30AB8">
      <w:pPr>
        <w:spacing w:before="120"/>
        <w:ind w:left="567" w:hanging="283"/>
        <w:jc w:val="both"/>
        <w:rPr>
          <w:sz w:val="20"/>
        </w:rPr>
      </w:pPr>
      <w:r w:rsidRPr="006C064F">
        <w:rPr>
          <w:sz w:val="20"/>
        </w:rPr>
        <w:t>9.- Renovaci</w:t>
      </w:r>
      <w:r w:rsidRPr="006C064F">
        <w:rPr>
          <w:sz w:val="20"/>
          <w:lang w:val="es-ES_tradnl"/>
        </w:rPr>
        <w:t>ón de la imagen de Canarias como conjunto de destinos tur</w:t>
      </w:r>
      <w:r w:rsidRPr="006C064F">
        <w:rPr>
          <w:sz w:val="20"/>
        </w:rPr>
        <w:t>í</w:t>
      </w:r>
      <w:r w:rsidRPr="006C064F">
        <w:rPr>
          <w:sz w:val="20"/>
          <w:lang w:val="es-ES_tradnl"/>
        </w:rPr>
        <w:t>sticos maduros en los mercados clave</w:t>
      </w:r>
    </w:p>
    <w:p w14:paraId="7DA7BA31" w14:textId="77777777" w:rsidR="006220A2" w:rsidRPr="006C064F" w:rsidRDefault="006220A2" w:rsidP="00A30AB8">
      <w:pPr>
        <w:spacing w:before="120"/>
        <w:ind w:left="567" w:hanging="283"/>
        <w:jc w:val="both"/>
        <w:rPr>
          <w:sz w:val="20"/>
        </w:rPr>
      </w:pPr>
      <w:r w:rsidRPr="006C064F">
        <w:rPr>
          <w:sz w:val="20"/>
          <w:lang w:val="es-ES_tradnl"/>
        </w:rPr>
        <w:t>10.- Potenciación de la identidad del destino como herramienta de diferenciación en la categor</w:t>
      </w:r>
      <w:r w:rsidRPr="006C064F">
        <w:rPr>
          <w:sz w:val="20"/>
        </w:rPr>
        <w:t>í</w:t>
      </w:r>
      <w:r w:rsidRPr="006C064F">
        <w:rPr>
          <w:sz w:val="20"/>
          <w:lang w:val="it-IT"/>
        </w:rPr>
        <w:t>a tur</w:t>
      </w:r>
      <w:r w:rsidRPr="006C064F">
        <w:rPr>
          <w:sz w:val="20"/>
        </w:rPr>
        <w:t>í</w:t>
      </w:r>
      <w:r w:rsidRPr="006C064F">
        <w:rPr>
          <w:sz w:val="20"/>
          <w:lang w:val="es-ES_tradnl"/>
        </w:rPr>
        <w:t>stica del turismo de sol y playa</w:t>
      </w:r>
    </w:p>
    <w:p w14:paraId="269EED4D" w14:textId="77777777" w:rsidR="006220A2" w:rsidRPr="006C064F" w:rsidRDefault="006220A2" w:rsidP="00A30AB8">
      <w:pPr>
        <w:spacing w:before="120"/>
        <w:ind w:left="567" w:hanging="283"/>
        <w:jc w:val="both"/>
        <w:rPr>
          <w:sz w:val="20"/>
        </w:rPr>
      </w:pPr>
      <w:r w:rsidRPr="006C064F">
        <w:rPr>
          <w:sz w:val="20"/>
          <w:lang w:val="es-ES_tradnl"/>
        </w:rPr>
        <w:t>11.- Potenciación de la implicación de la sociedad canaria y los agentes econó</w:t>
      </w:r>
      <w:r w:rsidRPr="006C064F">
        <w:rPr>
          <w:sz w:val="20"/>
          <w:lang w:val="pt-PT"/>
        </w:rPr>
        <w:t>micos, tur</w:t>
      </w:r>
      <w:r w:rsidRPr="006C064F">
        <w:rPr>
          <w:sz w:val="20"/>
        </w:rPr>
        <w:t>í</w:t>
      </w:r>
      <w:r w:rsidRPr="006C064F">
        <w:rPr>
          <w:sz w:val="20"/>
          <w:lang w:val="es-ES_tradnl"/>
        </w:rPr>
        <w:t>sticos y sociales en la sostenibilidad de la actividad tur</w:t>
      </w:r>
      <w:r w:rsidRPr="006C064F">
        <w:rPr>
          <w:sz w:val="20"/>
        </w:rPr>
        <w:t>í</w:t>
      </w:r>
      <w:r w:rsidRPr="006C064F">
        <w:rPr>
          <w:sz w:val="20"/>
          <w:lang w:val="it-IT"/>
        </w:rPr>
        <w:t>stica</w:t>
      </w:r>
    </w:p>
    <w:p w14:paraId="3A02746C" w14:textId="77777777" w:rsidR="006220A2" w:rsidRPr="006C064F" w:rsidRDefault="006220A2" w:rsidP="006220A2">
      <w:pPr>
        <w:spacing w:before="120"/>
        <w:jc w:val="both"/>
        <w:rPr>
          <w:sz w:val="20"/>
        </w:rPr>
      </w:pPr>
      <w:r w:rsidRPr="006C064F">
        <w:rPr>
          <w:sz w:val="20"/>
        </w:rPr>
        <w:t> </w:t>
      </w:r>
    </w:p>
    <w:p w14:paraId="0B3917B9" w14:textId="77777777" w:rsidR="006220A2" w:rsidRPr="006C064F" w:rsidRDefault="006220A2" w:rsidP="006220A2">
      <w:pPr>
        <w:spacing w:before="120"/>
        <w:jc w:val="both"/>
        <w:rPr>
          <w:sz w:val="20"/>
        </w:rPr>
      </w:pPr>
      <w:r w:rsidRPr="006C064F">
        <w:rPr>
          <w:sz w:val="20"/>
          <w:lang w:val="es-ES_tradnl"/>
        </w:rPr>
        <w:t xml:space="preserve">A partir de esta identificación de retos, </w:t>
      </w:r>
      <w:r w:rsidRPr="006C064F">
        <w:rPr>
          <w:sz w:val="20"/>
          <w:lang w:val="pt-PT"/>
        </w:rPr>
        <w:t>objetivos</w:t>
      </w:r>
      <w:r w:rsidRPr="006C064F">
        <w:rPr>
          <w:sz w:val="20"/>
          <w:lang w:val="es-ES_tradnl"/>
        </w:rPr>
        <w:t xml:space="preserve"> y líneas de actuación, se planificó un plan de actuació</w:t>
      </w:r>
      <w:r w:rsidRPr="006C064F">
        <w:rPr>
          <w:sz w:val="20"/>
          <w:lang w:val="pt-PT"/>
        </w:rPr>
        <w:t xml:space="preserve">n para </w:t>
      </w:r>
      <w:r w:rsidRPr="006C064F">
        <w:rPr>
          <w:sz w:val="20"/>
          <w:lang w:val="es-ES_tradnl"/>
        </w:rPr>
        <w:t xml:space="preserve">el año </w:t>
      </w:r>
      <w:r w:rsidRPr="006C064F">
        <w:rPr>
          <w:sz w:val="20"/>
        </w:rPr>
        <w:t>201</w:t>
      </w:r>
      <w:r w:rsidRPr="006C064F">
        <w:rPr>
          <w:sz w:val="20"/>
          <w:lang w:val="es-ES_tradnl"/>
        </w:rPr>
        <w:t xml:space="preserve">8, formalizado en el documento `Plan de Acción 2018´, que describe los distintos programas de actuación para ejecutar en este periodo. Cada uno de los programas se ha declinado en distintas plataformas (en el caso del Programa de comunicación y comunicación profesional), proyectos y acciones vinculados siempre a uno o varios de los objetivos establecidos para el periodo de referencia.  Estos programas son:  </w:t>
      </w:r>
    </w:p>
    <w:p w14:paraId="284FC86F" w14:textId="77777777" w:rsidR="006220A2" w:rsidRPr="006C064F" w:rsidRDefault="006220A2" w:rsidP="006220A2">
      <w:pPr>
        <w:spacing w:before="120"/>
        <w:jc w:val="both"/>
        <w:rPr>
          <w:sz w:val="20"/>
        </w:rPr>
      </w:pPr>
      <w:r w:rsidRPr="006C064F">
        <w:rPr>
          <w:sz w:val="20"/>
        </w:rPr>
        <w:t>  </w:t>
      </w:r>
    </w:p>
    <w:p w14:paraId="17C914F5" w14:textId="77777777" w:rsidR="006220A2" w:rsidRPr="006C064F" w:rsidRDefault="006220A2" w:rsidP="00841182">
      <w:pPr>
        <w:keepNext/>
        <w:keepLines/>
        <w:spacing w:before="120"/>
        <w:jc w:val="both"/>
        <w:rPr>
          <w:sz w:val="20"/>
        </w:rPr>
      </w:pPr>
      <w:r w:rsidRPr="006C064F">
        <w:rPr>
          <w:sz w:val="20"/>
          <w:u w:val="single"/>
          <w:lang w:val="es-ES_tradnl"/>
        </w:rPr>
        <w:t>Programa de inteligencia turística y planificación</w:t>
      </w:r>
    </w:p>
    <w:p w14:paraId="1835AB30" w14:textId="77777777" w:rsidR="006220A2" w:rsidRPr="006C064F" w:rsidRDefault="006220A2" w:rsidP="00841182">
      <w:pPr>
        <w:keepNext/>
        <w:keepLines/>
        <w:spacing w:before="120"/>
        <w:jc w:val="both"/>
        <w:rPr>
          <w:sz w:val="20"/>
        </w:rPr>
      </w:pPr>
      <w:r w:rsidRPr="006C064F">
        <w:rPr>
          <w:sz w:val="20"/>
        </w:rPr>
        <w:t> </w:t>
      </w:r>
      <w:r w:rsidRPr="006C064F">
        <w:rPr>
          <w:sz w:val="20"/>
          <w:lang w:val="es-ES_tradnl"/>
        </w:rPr>
        <w:t xml:space="preserve">El programa de inteligencia turística y planificación contempla, para 2018, el desarrollo de actuaciones dirigidas a integrar el conocimiento actualizado del cliente, de sus motivaciones, necesidades y expectativas, como base para la correcta toma de decisiones, no solo en lo referido estrictamente a la promoción, sino en todo el </w:t>
      </w:r>
      <w:r w:rsidRPr="006C064F">
        <w:rPr>
          <w:sz w:val="20"/>
        </w:rPr>
        <w:t>á</w:t>
      </w:r>
      <w:r w:rsidRPr="006C064F">
        <w:rPr>
          <w:sz w:val="20"/>
          <w:lang w:val="it-IT"/>
        </w:rPr>
        <w:t>mbito tur</w:t>
      </w:r>
      <w:r w:rsidRPr="006C064F">
        <w:rPr>
          <w:sz w:val="20"/>
        </w:rPr>
        <w:t>í</w:t>
      </w:r>
      <w:r w:rsidRPr="006C064F">
        <w:rPr>
          <w:sz w:val="20"/>
          <w:lang w:val="it-IT"/>
        </w:rPr>
        <w:t xml:space="preserve">stico. </w:t>
      </w:r>
      <w:r w:rsidRPr="006C064F">
        <w:rPr>
          <w:sz w:val="20"/>
          <w:lang w:val="es-ES_tradnl"/>
        </w:rPr>
        <w:t xml:space="preserve">Asimismo, se contempla mejorar el acceso, análisis y gestión de datos referido a la industria turística en su conjunto (demanda, oferta, tendencias, etc.), incluida la realización de estudios y análisis adhoc. </w:t>
      </w:r>
    </w:p>
    <w:p w14:paraId="5DF4FC0B" w14:textId="77777777" w:rsidR="006220A2" w:rsidRPr="006C064F" w:rsidRDefault="006220A2" w:rsidP="006220A2">
      <w:pPr>
        <w:spacing w:before="120"/>
        <w:jc w:val="both"/>
        <w:rPr>
          <w:sz w:val="20"/>
        </w:rPr>
      </w:pPr>
      <w:r w:rsidRPr="006C064F">
        <w:rPr>
          <w:sz w:val="20"/>
        </w:rPr>
        <w:t> </w:t>
      </w:r>
      <w:r w:rsidRPr="006C064F">
        <w:rPr>
          <w:sz w:val="20"/>
          <w:lang w:val="es-ES_tradnl"/>
        </w:rPr>
        <w:t xml:space="preserve">Las principales actuaciones en desarrollo son: </w:t>
      </w:r>
    </w:p>
    <w:p w14:paraId="1A762743" w14:textId="77777777" w:rsidR="006220A2" w:rsidRPr="006C064F" w:rsidRDefault="006220A2" w:rsidP="00A30AB8">
      <w:pPr>
        <w:spacing w:before="120"/>
        <w:ind w:left="284"/>
        <w:jc w:val="both"/>
        <w:rPr>
          <w:sz w:val="20"/>
        </w:rPr>
      </w:pPr>
      <w:r w:rsidRPr="006C064F">
        <w:rPr>
          <w:sz w:val="20"/>
        </w:rPr>
        <w:t>- Gestión estratégica y creativa de la marca Islas Canarias</w:t>
      </w:r>
    </w:p>
    <w:p w14:paraId="41CCF315" w14:textId="77777777" w:rsidR="006220A2" w:rsidRPr="006C064F" w:rsidRDefault="006220A2" w:rsidP="00A30AB8">
      <w:pPr>
        <w:spacing w:before="120"/>
        <w:ind w:left="284"/>
        <w:jc w:val="both"/>
        <w:rPr>
          <w:sz w:val="20"/>
        </w:rPr>
      </w:pPr>
      <w:r w:rsidRPr="006C064F">
        <w:rPr>
          <w:sz w:val="20"/>
        </w:rPr>
        <w:t>- Seguimiento de reservas en principales mercados meta</w:t>
      </w:r>
    </w:p>
    <w:p w14:paraId="6E9639E1" w14:textId="77777777" w:rsidR="006220A2" w:rsidRPr="006C064F" w:rsidRDefault="006220A2" w:rsidP="00A30AB8">
      <w:pPr>
        <w:spacing w:before="120"/>
        <w:ind w:left="284"/>
        <w:jc w:val="both"/>
        <w:rPr>
          <w:sz w:val="20"/>
        </w:rPr>
      </w:pPr>
      <w:r w:rsidRPr="006C064F">
        <w:rPr>
          <w:sz w:val="20"/>
        </w:rPr>
        <w:t>- Sistema de información turístico</w:t>
      </w:r>
    </w:p>
    <w:p w14:paraId="143750FF" w14:textId="77777777" w:rsidR="006220A2" w:rsidRPr="006C064F" w:rsidRDefault="006220A2" w:rsidP="006220A2">
      <w:pPr>
        <w:spacing w:before="120"/>
        <w:jc w:val="both"/>
        <w:rPr>
          <w:sz w:val="20"/>
        </w:rPr>
      </w:pPr>
      <w:r w:rsidRPr="006C064F">
        <w:rPr>
          <w:sz w:val="20"/>
        </w:rPr>
        <w:t> </w:t>
      </w:r>
    </w:p>
    <w:p w14:paraId="292AFB9D" w14:textId="77777777" w:rsidR="006220A2" w:rsidRPr="006C064F" w:rsidRDefault="006220A2" w:rsidP="006220A2">
      <w:pPr>
        <w:spacing w:before="120"/>
        <w:jc w:val="both"/>
        <w:rPr>
          <w:sz w:val="20"/>
        </w:rPr>
      </w:pPr>
      <w:r w:rsidRPr="006C064F">
        <w:rPr>
          <w:sz w:val="20"/>
          <w:u w:val="single"/>
          <w:lang w:val="es-ES_tradnl"/>
        </w:rPr>
        <w:t>Programa de branding</w:t>
      </w:r>
    </w:p>
    <w:p w14:paraId="7103799E" w14:textId="77777777" w:rsidR="006220A2" w:rsidRPr="006C064F" w:rsidRDefault="006220A2" w:rsidP="006220A2">
      <w:pPr>
        <w:spacing w:before="120"/>
        <w:jc w:val="both"/>
        <w:rPr>
          <w:sz w:val="20"/>
        </w:rPr>
      </w:pPr>
      <w:r w:rsidRPr="006C064F">
        <w:rPr>
          <w:sz w:val="20"/>
          <w:lang w:val="es-ES_tradnl"/>
        </w:rPr>
        <w:t xml:space="preserve">Para </w:t>
      </w:r>
      <w:r w:rsidRPr="006C064F">
        <w:rPr>
          <w:sz w:val="20"/>
        </w:rPr>
        <w:t>2018</w:t>
      </w:r>
      <w:r w:rsidRPr="006C064F">
        <w:rPr>
          <w:sz w:val="20"/>
          <w:lang w:val="es-ES_tradnl"/>
        </w:rPr>
        <w:t>, el programa de branding desarroll</w:t>
      </w:r>
      <w:r>
        <w:rPr>
          <w:sz w:val="20"/>
          <w:lang w:val="es-ES_tradnl"/>
        </w:rPr>
        <w:t>ó</w:t>
      </w:r>
      <w:r w:rsidRPr="006C064F">
        <w:rPr>
          <w:sz w:val="20"/>
          <w:lang w:val="es-ES_tradnl"/>
        </w:rPr>
        <w:t xml:space="preserve"> actuaciones dirigidas al desarrollo de la identidad digital de la marca tur</w:t>
      </w:r>
      <w:r w:rsidRPr="006C064F">
        <w:rPr>
          <w:sz w:val="20"/>
        </w:rPr>
        <w:t>í</w:t>
      </w:r>
      <w:r w:rsidRPr="006C064F">
        <w:rPr>
          <w:sz w:val="20"/>
          <w:lang w:val="es-ES_tradnl"/>
        </w:rPr>
        <w:t xml:space="preserve">stica Islas Canarias en buscadores y RRSS en los mercados meta de la marca Islas Canarias. </w:t>
      </w:r>
      <w:r w:rsidRPr="006C064F">
        <w:rPr>
          <w:sz w:val="20"/>
        </w:rPr>
        <w:t xml:space="preserve">  </w:t>
      </w:r>
    </w:p>
    <w:p w14:paraId="2D5D9C75" w14:textId="77777777" w:rsidR="006220A2" w:rsidRPr="006C064F" w:rsidRDefault="006220A2" w:rsidP="006220A2">
      <w:pPr>
        <w:spacing w:before="120"/>
        <w:jc w:val="both"/>
        <w:rPr>
          <w:sz w:val="20"/>
        </w:rPr>
      </w:pPr>
      <w:r w:rsidRPr="006C064F">
        <w:rPr>
          <w:sz w:val="20"/>
        </w:rPr>
        <w:t> </w:t>
      </w:r>
    </w:p>
    <w:p w14:paraId="7B480A4B" w14:textId="77777777" w:rsidR="006220A2" w:rsidRPr="006C064F" w:rsidRDefault="006220A2" w:rsidP="006220A2">
      <w:pPr>
        <w:spacing w:before="120"/>
        <w:jc w:val="both"/>
        <w:rPr>
          <w:sz w:val="20"/>
        </w:rPr>
      </w:pPr>
      <w:r w:rsidRPr="006C064F">
        <w:rPr>
          <w:sz w:val="20"/>
          <w:u w:val="single"/>
          <w:lang w:val="es-ES_tradnl"/>
        </w:rPr>
        <w:t>Programa de Comunicación</w:t>
      </w:r>
    </w:p>
    <w:p w14:paraId="15BFDEA1" w14:textId="77777777" w:rsidR="006220A2" w:rsidRPr="006C064F" w:rsidRDefault="006220A2" w:rsidP="006220A2">
      <w:pPr>
        <w:spacing w:before="120"/>
        <w:jc w:val="both"/>
        <w:rPr>
          <w:sz w:val="20"/>
        </w:rPr>
      </w:pPr>
      <w:r w:rsidRPr="006C064F">
        <w:rPr>
          <w:sz w:val="20"/>
          <w:lang w:val="es-ES_tradnl"/>
        </w:rPr>
        <w:t xml:space="preserve">En 2018, las plataformas de comunicación activas son: </w:t>
      </w:r>
    </w:p>
    <w:p w14:paraId="7CCC71DE" w14:textId="77777777" w:rsidR="006220A2" w:rsidRPr="006C064F" w:rsidRDefault="006220A2" w:rsidP="00A30AB8">
      <w:pPr>
        <w:spacing w:before="120"/>
        <w:ind w:left="567" w:hanging="284"/>
        <w:jc w:val="both"/>
        <w:rPr>
          <w:sz w:val="20"/>
        </w:rPr>
      </w:pPr>
      <w:r w:rsidRPr="006C064F">
        <w:rPr>
          <w:sz w:val="20"/>
        </w:rPr>
        <w:t xml:space="preserve">1.- </w:t>
      </w:r>
      <w:r w:rsidRPr="006C064F">
        <w:rPr>
          <w:sz w:val="20"/>
          <w:lang w:val="es-ES_tradnl"/>
        </w:rPr>
        <w:t>Vuelve a brillar (turismo de sol y playa plus)</w:t>
      </w:r>
    </w:p>
    <w:p w14:paraId="4A39585F" w14:textId="77777777" w:rsidR="006220A2" w:rsidRPr="006C064F" w:rsidRDefault="006220A2" w:rsidP="00A30AB8">
      <w:pPr>
        <w:spacing w:before="120"/>
        <w:ind w:left="567" w:hanging="284"/>
        <w:jc w:val="both"/>
        <w:rPr>
          <w:sz w:val="20"/>
        </w:rPr>
      </w:pPr>
      <w:r w:rsidRPr="006C064F">
        <w:rPr>
          <w:sz w:val="20"/>
          <w:lang w:val="es-ES_tradnl"/>
        </w:rPr>
        <w:t>2.- La gran aventura juntos (turismo de sol y playa familiar)</w:t>
      </w:r>
    </w:p>
    <w:p w14:paraId="14FFFEC5" w14:textId="77777777" w:rsidR="006220A2" w:rsidRPr="006C064F" w:rsidRDefault="006220A2" w:rsidP="00A30AB8">
      <w:pPr>
        <w:spacing w:before="120"/>
        <w:ind w:left="567" w:hanging="284"/>
        <w:jc w:val="both"/>
        <w:rPr>
          <w:sz w:val="20"/>
        </w:rPr>
      </w:pPr>
      <w:r w:rsidRPr="006C064F">
        <w:rPr>
          <w:sz w:val="20"/>
        </w:rPr>
        <w:t>3.- The other map</w:t>
      </w:r>
      <w:r w:rsidRPr="006C064F">
        <w:rPr>
          <w:sz w:val="20"/>
          <w:lang w:val="es-ES_tradnl"/>
        </w:rPr>
        <w:t xml:space="preserve"> (turismo de sol y playa para segmento “sibaritas modernos”)</w:t>
      </w:r>
    </w:p>
    <w:p w14:paraId="3BDD7F44" w14:textId="77777777" w:rsidR="006220A2" w:rsidRPr="006C064F" w:rsidRDefault="006220A2" w:rsidP="00A30AB8">
      <w:pPr>
        <w:spacing w:before="120"/>
        <w:ind w:left="567" w:hanging="284"/>
        <w:jc w:val="both"/>
        <w:rPr>
          <w:sz w:val="20"/>
        </w:rPr>
      </w:pPr>
      <w:r w:rsidRPr="006C064F">
        <w:rPr>
          <w:sz w:val="20"/>
          <w:lang w:val="es-ES_tradnl"/>
        </w:rPr>
        <w:t>4.- Saca tus vacaciones del armario (turismo de sol y playa para segmento LGTB)</w:t>
      </w:r>
    </w:p>
    <w:p w14:paraId="3B683A48" w14:textId="77777777" w:rsidR="006220A2" w:rsidRPr="006C064F" w:rsidRDefault="006220A2" w:rsidP="00A30AB8">
      <w:pPr>
        <w:spacing w:before="120"/>
        <w:ind w:left="567" w:hanging="284"/>
        <w:jc w:val="both"/>
        <w:rPr>
          <w:sz w:val="20"/>
        </w:rPr>
      </w:pPr>
      <w:r w:rsidRPr="006C064F">
        <w:rPr>
          <w:sz w:val="20"/>
          <w:lang w:val="es-ES_tradnl"/>
        </w:rPr>
        <w:t>5.- Y adem</w:t>
      </w:r>
      <w:r w:rsidRPr="006C064F">
        <w:rPr>
          <w:sz w:val="20"/>
        </w:rPr>
        <w:t>á</w:t>
      </w:r>
      <w:r w:rsidRPr="006C064F">
        <w:rPr>
          <w:sz w:val="20"/>
          <w:lang w:val="it-IT"/>
        </w:rPr>
        <w:t>s se come bien</w:t>
      </w:r>
      <w:r w:rsidRPr="006C064F">
        <w:rPr>
          <w:sz w:val="20"/>
          <w:lang w:val="es-ES_tradnl"/>
        </w:rPr>
        <w:t xml:space="preserve"> (turismo sol y playa plus + gastronomía) </w:t>
      </w:r>
    </w:p>
    <w:p w14:paraId="2890A92F" w14:textId="77777777" w:rsidR="006220A2" w:rsidRPr="006C064F" w:rsidRDefault="006220A2" w:rsidP="00A30AB8">
      <w:pPr>
        <w:spacing w:before="120"/>
        <w:ind w:left="567" w:hanging="284"/>
        <w:jc w:val="both"/>
        <w:rPr>
          <w:sz w:val="20"/>
        </w:rPr>
      </w:pPr>
      <w:r w:rsidRPr="006C064F">
        <w:rPr>
          <w:sz w:val="20"/>
        </w:rPr>
        <w:t xml:space="preserve">6.- Sí </w:t>
      </w:r>
      <w:r w:rsidRPr="006C064F">
        <w:rPr>
          <w:sz w:val="20"/>
          <w:lang w:val="es-ES_tradnl"/>
        </w:rPr>
        <w:t>quiero Islas Canarias (turismo de bodas)</w:t>
      </w:r>
    </w:p>
    <w:p w14:paraId="50B73F6C" w14:textId="77777777" w:rsidR="006220A2" w:rsidRPr="006C064F" w:rsidRDefault="006220A2" w:rsidP="00A30AB8">
      <w:pPr>
        <w:spacing w:before="120"/>
        <w:ind w:left="567" w:hanging="284"/>
        <w:jc w:val="both"/>
        <w:rPr>
          <w:sz w:val="20"/>
        </w:rPr>
      </w:pPr>
      <w:r w:rsidRPr="006C064F">
        <w:rPr>
          <w:sz w:val="20"/>
          <w:lang w:val="es-ES_tradnl"/>
        </w:rPr>
        <w:t>7.- Islas a la vista (turismo de cruceros)</w:t>
      </w:r>
    </w:p>
    <w:p w14:paraId="2108F9CA" w14:textId="77777777" w:rsidR="006220A2" w:rsidRPr="006C064F" w:rsidRDefault="006220A2" w:rsidP="00A30AB8">
      <w:pPr>
        <w:spacing w:before="120"/>
        <w:ind w:left="567" w:hanging="284"/>
        <w:jc w:val="both"/>
        <w:rPr>
          <w:sz w:val="20"/>
        </w:rPr>
      </w:pPr>
      <w:r w:rsidRPr="006C064F">
        <w:rPr>
          <w:sz w:val="20"/>
          <w:lang w:val="es-ES_tradnl"/>
        </w:rPr>
        <w:t>8.- Voy de Belingo (turismo interior)</w:t>
      </w:r>
    </w:p>
    <w:p w14:paraId="70636EE8" w14:textId="77777777" w:rsidR="006220A2" w:rsidRPr="006C064F" w:rsidRDefault="006220A2" w:rsidP="00A30AB8">
      <w:pPr>
        <w:spacing w:before="120"/>
        <w:ind w:left="567" w:hanging="284"/>
        <w:jc w:val="both"/>
        <w:rPr>
          <w:sz w:val="20"/>
        </w:rPr>
      </w:pPr>
      <w:r w:rsidRPr="006C064F">
        <w:rPr>
          <w:sz w:val="20"/>
          <w:lang w:val="es-ES_tradnl"/>
        </w:rPr>
        <w:t>9.- La energ</w:t>
      </w:r>
      <w:r w:rsidRPr="006C064F">
        <w:rPr>
          <w:sz w:val="20"/>
        </w:rPr>
        <w:t>í</w:t>
      </w:r>
      <w:r w:rsidRPr="006C064F">
        <w:rPr>
          <w:sz w:val="20"/>
          <w:lang w:val="es-ES_tradnl"/>
        </w:rPr>
        <w:t>a que te espera (turismo de espacios naturales)</w:t>
      </w:r>
    </w:p>
    <w:p w14:paraId="31A2A0C9" w14:textId="77777777" w:rsidR="006220A2" w:rsidRPr="006C064F" w:rsidRDefault="006220A2" w:rsidP="00A30AB8">
      <w:pPr>
        <w:spacing w:before="120"/>
        <w:ind w:left="567" w:hanging="284"/>
        <w:jc w:val="both"/>
        <w:rPr>
          <w:sz w:val="20"/>
        </w:rPr>
      </w:pPr>
      <w:r w:rsidRPr="006C064F">
        <w:rPr>
          <w:sz w:val="20"/>
          <w:lang w:val="es-ES_tradnl"/>
        </w:rPr>
        <w:t>10.- Senderos de verdad (turismo de espacios naturales / senderismo)</w:t>
      </w:r>
    </w:p>
    <w:p w14:paraId="46FF0514" w14:textId="77777777" w:rsidR="006220A2" w:rsidRPr="006C064F" w:rsidRDefault="006220A2" w:rsidP="00A30AB8">
      <w:pPr>
        <w:spacing w:before="120"/>
        <w:ind w:left="567" w:hanging="284"/>
        <w:jc w:val="both"/>
        <w:rPr>
          <w:sz w:val="20"/>
        </w:rPr>
      </w:pPr>
      <w:r w:rsidRPr="006C064F">
        <w:rPr>
          <w:sz w:val="20"/>
          <w:lang w:val="nl-NL"/>
        </w:rPr>
        <w:t>11.- Open 365</w:t>
      </w:r>
      <w:r w:rsidRPr="006C064F">
        <w:rPr>
          <w:sz w:val="20"/>
          <w:lang w:val="es-ES_tradnl"/>
        </w:rPr>
        <w:t xml:space="preserve"> (turismo activo / golf)</w:t>
      </w:r>
    </w:p>
    <w:p w14:paraId="4072A3BC" w14:textId="77777777" w:rsidR="006220A2" w:rsidRPr="006C064F" w:rsidRDefault="006220A2" w:rsidP="00A30AB8">
      <w:pPr>
        <w:spacing w:before="120"/>
        <w:ind w:left="567" w:hanging="284"/>
        <w:jc w:val="both"/>
        <w:rPr>
          <w:sz w:val="20"/>
        </w:rPr>
      </w:pPr>
      <w:r w:rsidRPr="006C064F">
        <w:rPr>
          <w:sz w:val="20"/>
        </w:rPr>
        <w:t>12.- Inmersi</w:t>
      </w:r>
      <w:r w:rsidRPr="006C064F">
        <w:rPr>
          <w:sz w:val="20"/>
          <w:lang w:val="es-ES_tradnl"/>
        </w:rPr>
        <w:t>ón en alta definició</w:t>
      </w:r>
      <w:r w:rsidRPr="006C064F">
        <w:rPr>
          <w:sz w:val="20"/>
        </w:rPr>
        <w:t>n</w:t>
      </w:r>
      <w:r w:rsidRPr="006C064F">
        <w:rPr>
          <w:sz w:val="20"/>
          <w:lang w:val="es-ES_tradnl"/>
        </w:rPr>
        <w:t xml:space="preserve"> (turismo activo / buceo)</w:t>
      </w:r>
    </w:p>
    <w:p w14:paraId="09004A7A" w14:textId="77777777" w:rsidR="006220A2" w:rsidRPr="006C064F" w:rsidRDefault="006220A2" w:rsidP="00A30AB8">
      <w:pPr>
        <w:spacing w:before="120"/>
        <w:ind w:left="567" w:hanging="284"/>
        <w:jc w:val="both"/>
        <w:rPr>
          <w:sz w:val="20"/>
        </w:rPr>
      </w:pPr>
      <w:r w:rsidRPr="006C064F">
        <w:rPr>
          <w:sz w:val="20"/>
        </w:rPr>
        <w:t>13.- The canary way of surf</w:t>
      </w:r>
      <w:r w:rsidRPr="006C064F">
        <w:rPr>
          <w:sz w:val="20"/>
          <w:lang w:val="es-ES_tradnl"/>
        </w:rPr>
        <w:t xml:space="preserve"> (turismo activo / deportes de viento y olas)</w:t>
      </w:r>
    </w:p>
    <w:p w14:paraId="6B35E25D" w14:textId="77777777" w:rsidR="006220A2" w:rsidRPr="006C064F" w:rsidRDefault="006220A2" w:rsidP="00A30AB8">
      <w:pPr>
        <w:spacing w:before="120"/>
        <w:ind w:left="567" w:hanging="284"/>
        <w:jc w:val="both"/>
        <w:rPr>
          <w:sz w:val="20"/>
        </w:rPr>
      </w:pPr>
      <w:r w:rsidRPr="006C064F">
        <w:rPr>
          <w:sz w:val="20"/>
          <w:lang w:val="es-ES_tradnl"/>
        </w:rPr>
        <w:t>14.- El mar de los alisios (turismo activo / navegación)</w:t>
      </w:r>
    </w:p>
    <w:p w14:paraId="0D3A04E5" w14:textId="77777777" w:rsidR="006220A2" w:rsidRPr="006C064F" w:rsidRDefault="006220A2" w:rsidP="00A30AB8">
      <w:pPr>
        <w:spacing w:before="120"/>
        <w:ind w:left="567" w:hanging="284"/>
        <w:jc w:val="both"/>
        <w:rPr>
          <w:sz w:val="20"/>
        </w:rPr>
      </w:pPr>
      <w:r w:rsidRPr="006C064F">
        <w:rPr>
          <w:sz w:val="20"/>
          <w:lang w:val="it-IT"/>
        </w:rPr>
        <w:t xml:space="preserve">15.- Blue marlin zone </w:t>
      </w:r>
      <w:r w:rsidRPr="006C064F">
        <w:rPr>
          <w:sz w:val="20"/>
          <w:lang w:val="es-ES_tradnl"/>
        </w:rPr>
        <w:t>(turismo activo / pesca de altura)</w:t>
      </w:r>
    </w:p>
    <w:p w14:paraId="05DA8974" w14:textId="77777777" w:rsidR="006220A2" w:rsidRPr="006C064F" w:rsidRDefault="006220A2" w:rsidP="00A30AB8">
      <w:pPr>
        <w:spacing w:before="120"/>
        <w:ind w:left="567" w:hanging="284"/>
        <w:jc w:val="both"/>
        <w:rPr>
          <w:sz w:val="20"/>
        </w:rPr>
      </w:pPr>
      <w:r w:rsidRPr="006C064F">
        <w:rPr>
          <w:sz w:val="20"/>
          <w:lang w:val="es-ES_tradnl"/>
        </w:rPr>
        <w:t>16.- Reserva de la extremosfera (turismo activo / deportes en la naturaleza)</w:t>
      </w:r>
    </w:p>
    <w:p w14:paraId="2BD7ECD3" w14:textId="77777777" w:rsidR="006220A2" w:rsidRPr="006C064F" w:rsidRDefault="006220A2" w:rsidP="00A30AB8">
      <w:pPr>
        <w:spacing w:before="120"/>
        <w:ind w:left="567" w:hanging="284"/>
        <w:jc w:val="both"/>
        <w:rPr>
          <w:sz w:val="20"/>
        </w:rPr>
      </w:pPr>
      <w:r w:rsidRPr="006C064F">
        <w:rPr>
          <w:sz w:val="20"/>
        </w:rPr>
        <w:t>17.- T</w:t>
      </w:r>
      <w:r w:rsidRPr="006C064F">
        <w:rPr>
          <w:sz w:val="20"/>
          <w:lang w:val="es-ES_tradnl"/>
        </w:rPr>
        <w:t>urismo cultural</w:t>
      </w:r>
    </w:p>
    <w:p w14:paraId="15A531A6" w14:textId="77777777" w:rsidR="006220A2" w:rsidRPr="006C064F" w:rsidRDefault="006220A2" w:rsidP="006220A2">
      <w:pPr>
        <w:spacing w:before="120"/>
        <w:jc w:val="both"/>
        <w:rPr>
          <w:sz w:val="20"/>
        </w:rPr>
      </w:pPr>
      <w:r w:rsidRPr="006C064F">
        <w:rPr>
          <w:sz w:val="20"/>
        </w:rPr>
        <w:t> </w:t>
      </w:r>
    </w:p>
    <w:p w14:paraId="7D6E5C5B" w14:textId="77777777" w:rsidR="002B1377" w:rsidRDefault="006220A2" w:rsidP="002B1377">
      <w:pPr>
        <w:spacing w:before="120"/>
        <w:jc w:val="both"/>
        <w:rPr>
          <w:sz w:val="20"/>
          <w:lang w:val="es-ES_tradnl"/>
        </w:rPr>
      </w:pPr>
      <w:r w:rsidRPr="006C064F">
        <w:rPr>
          <w:sz w:val="20"/>
          <w:lang w:val="es-ES_tradnl"/>
        </w:rPr>
        <w:t xml:space="preserve">Cada plataforma, a partir de un concepto de comunicación diferenciado, se declina a partir de todo tipo de medios (propios, ganados y pagados), contenidos (audiovisuales, gráficos y redaccionales), acciones de comunicación, patrocinios, eventos y otras tipologías </w:t>
      </w:r>
      <w:r w:rsidR="002B1377">
        <w:rPr>
          <w:sz w:val="20"/>
          <w:lang w:val="es-ES_tradnl"/>
        </w:rPr>
        <w:t>de actuaciones de comunicación.</w:t>
      </w:r>
    </w:p>
    <w:p w14:paraId="0DDA11F6" w14:textId="77777777" w:rsidR="006220A2" w:rsidRPr="006C064F" w:rsidRDefault="006220A2" w:rsidP="002B1377">
      <w:pPr>
        <w:keepNext/>
        <w:keepLines/>
        <w:widowControl w:val="0"/>
        <w:spacing w:before="120"/>
        <w:jc w:val="both"/>
        <w:rPr>
          <w:sz w:val="20"/>
        </w:rPr>
      </w:pPr>
      <w:r w:rsidRPr="006C064F">
        <w:rPr>
          <w:sz w:val="20"/>
          <w:lang w:val="es-ES_tradnl"/>
        </w:rPr>
        <w:t xml:space="preserve">En 2018, las principales actuaciones desarrolladas son: </w:t>
      </w:r>
    </w:p>
    <w:p w14:paraId="01EFCA6F" w14:textId="77777777" w:rsidR="006220A2" w:rsidRPr="006C064F" w:rsidRDefault="006220A2" w:rsidP="002B1377">
      <w:pPr>
        <w:keepNext/>
        <w:keepLines/>
        <w:widowControl w:val="0"/>
        <w:spacing w:before="120"/>
        <w:ind w:left="284"/>
        <w:jc w:val="both"/>
        <w:rPr>
          <w:sz w:val="20"/>
        </w:rPr>
      </w:pPr>
      <w:r w:rsidRPr="006C064F">
        <w:rPr>
          <w:sz w:val="20"/>
        </w:rPr>
        <w:t xml:space="preserve">- </w:t>
      </w:r>
      <w:r w:rsidR="002B1377" w:rsidRPr="006C064F">
        <w:rPr>
          <w:sz w:val="20"/>
        </w:rPr>
        <w:t>Campaña Hola Verano 2018</w:t>
      </w:r>
    </w:p>
    <w:p w14:paraId="6735C369" w14:textId="77777777" w:rsidR="006220A2" w:rsidRPr="006C064F" w:rsidRDefault="006220A2" w:rsidP="00A30AB8">
      <w:pPr>
        <w:spacing w:before="120"/>
        <w:ind w:left="284"/>
        <w:jc w:val="both"/>
        <w:rPr>
          <w:sz w:val="20"/>
        </w:rPr>
      </w:pPr>
      <w:r w:rsidRPr="006C064F">
        <w:rPr>
          <w:sz w:val="20"/>
        </w:rPr>
        <w:t xml:space="preserve">- </w:t>
      </w:r>
      <w:r w:rsidR="002B1377" w:rsidRPr="006C064F">
        <w:rPr>
          <w:sz w:val="20"/>
        </w:rPr>
        <w:t xml:space="preserve">Campaña Internacional </w:t>
      </w:r>
      <w:r w:rsidR="00345D0E">
        <w:rPr>
          <w:sz w:val="20"/>
        </w:rPr>
        <w:t>Invierno 2018 Juegos Olímpicos d</w:t>
      </w:r>
      <w:r w:rsidR="002B1377" w:rsidRPr="006C064F">
        <w:rPr>
          <w:sz w:val="20"/>
        </w:rPr>
        <w:t>e Invierno</w:t>
      </w:r>
    </w:p>
    <w:p w14:paraId="1496911B" w14:textId="77777777" w:rsidR="006220A2" w:rsidRPr="006C064F" w:rsidRDefault="00345D0E" w:rsidP="00A30AB8">
      <w:pPr>
        <w:spacing w:before="120"/>
        <w:ind w:left="284"/>
        <w:jc w:val="both"/>
        <w:rPr>
          <w:sz w:val="20"/>
        </w:rPr>
      </w:pPr>
      <w:r>
        <w:rPr>
          <w:sz w:val="20"/>
        </w:rPr>
        <w:t>- Acción Día de l</w:t>
      </w:r>
      <w:r w:rsidR="002B1377" w:rsidRPr="006C064F">
        <w:rPr>
          <w:sz w:val="20"/>
        </w:rPr>
        <w:t>a Felicidad</w:t>
      </w:r>
    </w:p>
    <w:p w14:paraId="6F4969E2" w14:textId="77777777" w:rsidR="006220A2" w:rsidRPr="006C064F" w:rsidRDefault="002B1377" w:rsidP="00A30AB8">
      <w:pPr>
        <w:spacing w:before="120"/>
        <w:ind w:left="284"/>
        <w:jc w:val="both"/>
        <w:rPr>
          <w:sz w:val="20"/>
        </w:rPr>
      </w:pPr>
      <w:r w:rsidRPr="006C064F">
        <w:rPr>
          <w:sz w:val="20"/>
        </w:rPr>
        <w:t>- Campaña Turismo Familiar</w:t>
      </w:r>
    </w:p>
    <w:p w14:paraId="6E700254" w14:textId="77777777" w:rsidR="006220A2" w:rsidRPr="001743D3" w:rsidRDefault="002B1377" w:rsidP="00A30AB8">
      <w:pPr>
        <w:spacing w:before="120"/>
        <w:ind w:left="284"/>
        <w:jc w:val="both"/>
        <w:rPr>
          <w:sz w:val="20"/>
        </w:rPr>
      </w:pPr>
      <w:r w:rsidRPr="006C064F">
        <w:rPr>
          <w:sz w:val="20"/>
        </w:rPr>
        <w:t xml:space="preserve">- Acción </w:t>
      </w:r>
      <w:r w:rsidRPr="001743D3">
        <w:rPr>
          <w:sz w:val="20"/>
        </w:rPr>
        <w:t>Estreno Star Wars</w:t>
      </w:r>
    </w:p>
    <w:p w14:paraId="5A163AD6" w14:textId="77777777" w:rsidR="006220A2" w:rsidRPr="001743D3" w:rsidRDefault="002B1377" w:rsidP="00A30AB8">
      <w:pPr>
        <w:spacing w:before="120"/>
        <w:ind w:left="284"/>
        <w:jc w:val="both"/>
        <w:rPr>
          <w:sz w:val="20"/>
        </w:rPr>
      </w:pPr>
      <w:r w:rsidRPr="001743D3">
        <w:rPr>
          <w:sz w:val="20"/>
        </w:rPr>
        <w:t>- Campaña Naturaleza 2018</w:t>
      </w:r>
    </w:p>
    <w:p w14:paraId="21DC1A5B" w14:textId="77777777" w:rsidR="006220A2" w:rsidRPr="001743D3" w:rsidRDefault="00345D0E" w:rsidP="00A30AB8">
      <w:pPr>
        <w:spacing w:before="120"/>
        <w:ind w:left="284"/>
        <w:jc w:val="both"/>
        <w:rPr>
          <w:sz w:val="20"/>
        </w:rPr>
      </w:pPr>
      <w:r w:rsidRPr="001743D3">
        <w:rPr>
          <w:sz w:val="20"/>
        </w:rPr>
        <w:t>- Acción Día de l</w:t>
      </w:r>
      <w:r w:rsidR="002B1377" w:rsidRPr="001743D3">
        <w:rPr>
          <w:sz w:val="20"/>
        </w:rPr>
        <w:t>a Tierra</w:t>
      </w:r>
    </w:p>
    <w:p w14:paraId="13EBDD25" w14:textId="77777777" w:rsidR="009D0745" w:rsidRPr="001743D3" w:rsidRDefault="009D0745" w:rsidP="00A30AB8">
      <w:pPr>
        <w:spacing w:before="120"/>
        <w:ind w:left="284"/>
        <w:jc w:val="both"/>
        <w:rPr>
          <w:sz w:val="20"/>
        </w:rPr>
      </w:pPr>
      <w:r w:rsidRPr="001743D3">
        <w:rPr>
          <w:sz w:val="20"/>
        </w:rPr>
        <w:t>- Campaña Fin de Año Alemania</w:t>
      </w:r>
    </w:p>
    <w:p w14:paraId="5A8F7DE0" w14:textId="77777777" w:rsidR="009D0745" w:rsidRPr="006C064F" w:rsidRDefault="009D0745" w:rsidP="00A30AB8">
      <w:pPr>
        <w:spacing w:before="120"/>
        <w:ind w:left="284"/>
        <w:jc w:val="both"/>
        <w:rPr>
          <w:sz w:val="20"/>
        </w:rPr>
      </w:pPr>
      <w:r w:rsidRPr="001743D3">
        <w:rPr>
          <w:sz w:val="20"/>
        </w:rPr>
        <w:t>- Acción Una hora menos es más</w:t>
      </w:r>
    </w:p>
    <w:p w14:paraId="4DDCE55F" w14:textId="77777777" w:rsidR="006220A2" w:rsidRPr="006C064F" w:rsidRDefault="006220A2" w:rsidP="006220A2">
      <w:pPr>
        <w:spacing w:before="120"/>
        <w:jc w:val="both"/>
        <w:rPr>
          <w:sz w:val="20"/>
        </w:rPr>
      </w:pPr>
      <w:r w:rsidRPr="006C064F">
        <w:rPr>
          <w:b/>
          <w:bCs/>
          <w:sz w:val="20"/>
        </w:rPr>
        <w:t> </w:t>
      </w:r>
    </w:p>
    <w:p w14:paraId="2E58560A" w14:textId="77777777" w:rsidR="006220A2" w:rsidRPr="006C064F" w:rsidRDefault="006220A2" w:rsidP="006220A2">
      <w:pPr>
        <w:spacing w:before="120"/>
        <w:jc w:val="both"/>
        <w:rPr>
          <w:sz w:val="20"/>
        </w:rPr>
      </w:pPr>
      <w:r w:rsidRPr="006C064F">
        <w:rPr>
          <w:sz w:val="20"/>
          <w:u w:val="single"/>
          <w:lang w:val="es-ES_tradnl"/>
        </w:rPr>
        <w:t>Programa de comunicación profesional</w:t>
      </w:r>
    </w:p>
    <w:p w14:paraId="0DE98006" w14:textId="77777777" w:rsidR="006220A2" w:rsidRPr="006C064F" w:rsidRDefault="006220A2" w:rsidP="006220A2">
      <w:pPr>
        <w:spacing w:before="120"/>
        <w:jc w:val="both"/>
        <w:rPr>
          <w:sz w:val="20"/>
        </w:rPr>
      </w:pPr>
      <w:r w:rsidRPr="006C064F">
        <w:rPr>
          <w:sz w:val="20"/>
          <w:lang w:val="es-ES_tradnl"/>
        </w:rPr>
        <w:t xml:space="preserve">El programa de comunicación profesional integra todas las actuaciones a desarrollar dirigidas a promover las Islas Canarias como conjunto de destinos turísticos entre el público profesional del sector turístico, tanto local como internacional. Este programa se estructura a través de plataformas de comunicación, a su vez compuestas por medios, contenidos, acciones de comunicación, patrocinios, eventos y otras tipologías de actuaciones de comunicación. </w:t>
      </w:r>
    </w:p>
    <w:p w14:paraId="51E1171B" w14:textId="77777777" w:rsidR="006220A2" w:rsidRPr="006C064F" w:rsidRDefault="006220A2" w:rsidP="006220A2">
      <w:pPr>
        <w:spacing w:before="120"/>
        <w:jc w:val="both"/>
        <w:rPr>
          <w:sz w:val="20"/>
        </w:rPr>
      </w:pPr>
      <w:r w:rsidRPr="006C064F">
        <w:rPr>
          <w:sz w:val="20"/>
          <w:lang w:val="es-ES_tradnl"/>
        </w:rPr>
        <w:t xml:space="preserve">En 2018, las plataformas de comunicación profesional activas son: </w:t>
      </w:r>
    </w:p>
    <w:p w14:paraId="4340581A" w14:textId="77777777" w:rsidR="006220A2" w:rsidRPr="006C064F" w:rsidRDefault="006220A2" w:rsidP="00A30AB8">
      <w:pPr>
        <w:spacing w:before="120"/>
        <w:ind w:left="426" w:hanging="142"/>
        <w:jc w:val="both"/>
        <w:rPr>
          <w:sz w:val="20"/>
        </w:rPr>
      </w:pPr>
      <w:r w:rsidRPr="00A30AB8">
        <w:rPr>
          <w:sz w:val="20"/>
        </w:rPr>
        <w:t>- Plataforma de comunicación profesional genérica</w:t>
      </w:r>
    </w:p>
    <w:p w14:paraId="1680A980" w14:textId="77777777" w:rsidR="006220A2" w:rsidRPr="006C064F" w:rsidRDefault="006220A2" w:rsidP="00A30AB8">
      <w:pPr>
        <w:spacing w:before="120"/>
        <w:ind w:left="426" w:hanging="142"/>
        <w:jc w:val="both"/>
        <w:rPr>
          <w:sz w:val="20"/>
        </w:rPr>
      </w:pPr>
      <w:r w:rsidRPr="00A30AB8">
        <w:rPr>
          <w:sz w:val="20"/>
        </w:rPr>
        <w:t xml:space="preserve">- Plataforma de turismo MICE </w:t>
      </w:r>
    </w:p>
    <w:p w14:paraId="60F354FC" w14:textId="77777777" w:rsidR="006220A2" w:rsidRPr="006C064F" w:rsidRDefault="006220A2" w:rsidP="00A30AB8">
      <w:pPr>
        <w:spacing w:before="120"/>
        <w:ind w:left="426" w:hanging="142"/>
        <w:jc w:val="both"/>
        <w:rPr>
          <w:sz w:val="20"/>
        </w:rPr>
      </w:pPr>
      <w:r w:rsidRPr="00A30AB8">
        <w:rPr>
          <w:sz w:val="20"/>
        </w:rPr>
        <w:t>- Plataforma de turismo deportivo</w:t>
      </w:r>
    </w:p>
    <w:p w14:paraId="72103E4E" w14:textId="77777777" w:rsidR="006220A2" w:rsidRPr="006C064F" w:rsidRDefault="006220A2" w:rsidP="006220A2">
      <w:pPr>
        <w:spacing w:before="120"/>
        <w:jc w:val="both"/>
        <w:rPr>
          <w:sz w:val="20"/>
        </w:rPr>
      </w:pPr>
      <w:r w:rsidRPr="006C064F">
        <w:rPr>
          <w:sz w:val="20"/>
          <w:lang w:val="es-ES_tradnl"/>
        </w:rPr>
        <w:t xml:space="preserve">En 2018, las principales actuaciones desarrolladas son: </w:t>
      </w:r>
    </w:p>
    <w:p w14:paraId="743332B7" w14:textId="77777777" w:rsidR="006220A2" w:rsidRPr="006C064F" w:rsidRDefault="006220A2" w:rsidP="00A30AB8">
      <w:pPr>
        <w:spacing w:before="120"/>
        <w:ind w:left="426" w:hanging="142"/>
        <w:jc w:val="both"/>
        <w:rPr>
          <w:sz w:val="20"/>
        </w:rPr>
      </w:pPr>
      <w:r w:rsidRPr="006C064F">
        <w:rPr>
          <w:sz w:val="20"/>
        </w:rPr>
        <w:t>- Participación en Fitur</w:t>
      </w:r>
    </w:p>
    <w:p w14:paraId="6B2D8466" w14:textId="77777777" w:rsidR="006220A2" w:rsidRDefault="006220A2" w:rsidP="00A30AB8">
      <w:pPr>
        <w:spacing w:before="120"/>
        <w:ind w:left="426" w:hanging="142"/>
        <w:jc w:val="both"/>
        <w:rPr>
          <w:sz w:val="20"/>
        </w:rPr>
      </w:pPr>
      <w:r w:rsidRPr="006C064F">
        <w:rPr>
          <w:sz w:val="20"/>
        </w:rPr>
        <w:t>- Participación en ITB</w:t>
      </w:r>
    </w:p>
    <w:p w14:paraId="4C3D28E0" w14:textId="77777777" w:rsidR="006220A2" w:rsidRPr="006C064F" w:rsidRDefault="006220A2" w:rsidP="00A30AB8">
      <w:pPr>
        <w:spacing w:before="120"/>
        <w:ind w:left="426" w:hanging="142"/>
        <w:jc w:val="both"/>
        <w:rPr>
          <w:sz w:val="20"/>
        </w:rPr>
      </w:pPr>
      <w:r>
        <w:rPr>
          <w:sz w:val="20"/>
        </w:rPr>
        <w:t>- Participación en WTM</w:t>
      </w:r>
    </w:p>
    <w:p w14:paraId="615601E6" w14:textId="77777777" w:rsidR="006220A2" w:rsidRPr="006C064F" w:rsidRDefault="006220A2" w:rsidP="006220A2">
      <w:pPr>
        <w:spacing w:before="120"/>
        <w:jc w:val="both"/>
        <w:rPr>
          <w:sz w:val="20"/>
        </w:rPr>
      </w:pPr>
      <w:r w:rsidRPr="006C064F">
        <w:rPr>
          <w:sz w:val="20"/>
        </w:rPr>
        <w:t>  </w:t>
      </w:r>
    </w:p>
    <w:p w14:paraId="3B93BD4E" w14:textId="77777777" w:rsidR="006220A2" w:rsidRPr="006C064F" w:rsidRDefault="006220A2" w:rsidP="006220A2">
      <w:pPr>
        <w:spacing w:before="120"/>
        <w:jc w:val="both"/>
        <w:rPr>
          <w:sz w:val="20"/>
        </w:rPr>
      </w:pPr>
      <w:r w:rsidRPr="006C064F">
        <w:rPr>
          <w:sz w:val="20"/>
          <w:u w:val="single"/>
          <w:lang w:val="es-ES_tradnl"/>
        </w:rPr>
        <w:t>Programa de conectividad</w:t>
      </w:r>
    </w:p>
    <w:p w14:paraId="2DD230A1" w14:textId="77777777" w:rsidR="006220A2" w:rsidRPr="006C064F" w:rsidRDefault="006220A2" w:rsidP="006220A2">
      <w:pPr>
        <w:spacing w:before="120"/>
        <w:jc w:val="both"/>
        <w:rPr>
          <w:sz w:val="20"/>
        </w:rPr>
      </w:pPr>
      <w:r w:rsidRPr="006C064F">
        <w:rPr>
          <w:sz w:val="20"/>
          <w:lang w:val="es-ES_tradnl"/>
        </w:rPr>
        <w:t>En 2018, el programa de conectividad contempla dar continuidad al impulso continuo para mejora de la conectividad aérea de las Islas con sus distintos mercados meta turísticos a través de la gestión de la convocatoria abierta del Fondo de Desarrollo de Vuelos de Canarias, la promoción de las ventajas que ofrecen las islas a las compañías áreas y en general a la industria aeron</w:t>
      </w:r>
      <w:r w:rsidRPr="006C064F">
        <w:rPr>
          <w:sz w:val="20"/>
        </w:rPr>
        <w:t>á</w:t>
      </w:r>
      <w:r w:rsidRPr="006C064F">
        <w:rPr>
          <w:sz w:val="20"/>
          <w:lang w:val="it-IT"/>
        </w:rPr>
        <w:t xml:space="preserve">utica </w:t>
      </w:r>
      <w:r w:rsidRPr="006C064F">
        <w:rPr>
          <w:sz w:val="20"/>
          <w:lang w:val="es-ES_tradnl"/>
        </w:rPr>
        <w:t xml:space="preserve">a través de encuentros profesionales, participación en ferias y foros especializados, interlocución con Aena y el gobierno de España y monitorización de la actividad aérea internacional. </w:t>
      </w:r>
    </w:p>
    <w:p w14:paraId="73A05B6A" w14:textId="77777777" w:rsidR="006220A2" w:rsidRPr="006C064F" w:rsidRDefault="006220A2" w:rsidP="006220A2">
      <w:pPr>
        <w:spacing w:before="120"/>
        <w:jc w:val="both"/>
        <w:rPr>
          <w:sz w:val="20"/>
        </w:rPr>
      </w:pPr>
      <w:r w:rsidRPr="006C064F">
        <w:rPr>
          <w:sz w:val="20"/>
        </w:rPr>
        <w:t>  </w:t>
      </w:r>
    </w:p>
    <w:p w14:paraId="69DFE3EC" w14:textId="77777777" w:rsidR="006220A2" w:rsidRPr="006C064F" w:rsidRDefault="006220A2" w:rsidP="006220A2">
      <w:pPr>
        <w:spacing w:before="120"/>
        <w:jc w:val="both"/>
        <w:rPr>
          <w:sz w:val="20"/>
        </w:rPr>
      </w:pPr>
      <w:r w:rsidRPr="006C064F">
        <w:rPr>
          <w:sz w:val="20"/>
          <w:u w:val="single"/>
          <w:lang w:val="es-ES_tradnl"/>
        </w:rPr>
        <w:t xml:space="preserve">Programa de fidelización y prescripción </w:t>
      </w:r>
    </w:p>
    <w:p w14:paraId="4D37BCA9" w14:textId="77777777" w:rsidR="006220A2" w:rsidRPr="006C064F" w:rsidRDefault="006220A2" w:rsidP="006220A2">
      <w:pPr>
        <w:spacing w:before="120"/>
        <w:jc w:val="both"/>
        <w:rPr>
          <w:sz w:val="20"/>
        </w:rPr>
      </w:pPr>
      <w:r w:rsidRPr="006C064F">
        <w:rPr>
          <w:sz w:val="20"/>
          <w:lang w:val="es-ES_tradnl"/>
        </w:rPr>
        <w:t>El programa de fidelización contempla para 2018 el desarrollo de su sistema de gestión de clientes (CRM) orientado a la comunicación directa y personalizada con los turistas antes, durante y después del viaje para promover la repetición y activar su poder de prescripció</w:t>
      </w:r>
      <w:r w:rsidRPr="006C064F">
        <w:rPr>
          <w:sz w:val="20"/>
        </w:rPr>
        <w:t xml:space="preserve">n a </w:t>
      </w:r>
      <w:r w:rsidRPr="006C064F">
        <w:rPr>
          <w:sz w:val="20"/>
          <w:lang w:val="es-ES_tradnl"/>
        </w:rPr>
        <w:t xml:space="preserve">amigos, familiares y contactos sociales. </w:t>
      </w:r>
    </w:p>
    <w:p w14:paraId="6E4D76C2" w14:textId="77777777" w:rsidR="006220A2" w:rsidRPr="006C064F" w:rsidRDefault="006220A2" w:rsidP="006220A2">
      <w:pPr>
        <w:spacing w:before="120"/>
        <w:jc w:val="both"/>
        <w:rPr>
          <w:sz w:val="20"/>
        </w:rPr>
      </w:pPr>
      <w:r w:rsidRPr="006C064F">
        <w:rPr>
          <w:sz w:val="20"/>
        </w:rPr>
        <w:t> </w:t>
      </w:r>
      <w:r w:rsidRPr="006C064F">
        <w:rPr>
          <w:sz w:val="20"/>
          <w:lang w:val="es-ES_tradnl"/>
        </w:rPr>
        <w:t xml:space="preserve">En 2018, las principales actuaciones en desarrollo son: </w:t>
      </w:r>
    </w:p>
    <w:p w14:paraId="2CD1E8BD" w14:textId="77777777" w:rsidR="006220A2" w:rsidRPr="006C064F" w:rsidRDefault="006220A2" w:rsidP="00A30AB8">
      <w:pPr>
        <w:spacing w:before="120"/>
        <w:ind w:left="426" w:hanging="142"/>
        <w:jc w:val="both"/>
        <w:rPr>
          <w:sz w:val="20"/>
        </w:rPr>
      </w:pPr>
      <w:r w:rsidRPr="006C064F">
        <w:rPr>
          <w:sz w:val="20"/>
        </w:rPr>
        <w:t>- Actualización programación herramienta de gestión de clientes</w:t>
      </w:r>
    </w:p>
    <w:p w14:paraId="0BDA62AB" w14:textId="77777777" w:rsidR="006220A2" w:rsidRPr="006C064F" w:rsidRDefault="006220A2" w:rsidP="00A30AB8">
      <w:pPr>
        <w:spacing w:before="120"/>
        <w:ind w:left="426" w:hanging="142"/>
        <w:jc w:val="both"/>
        <w:rPr>
          <w:sz w:val="20"/>
        </w:rPr>
      </w:pPr>
      <w:r w:rsidRPr="006C064F">
        <w:rPr>
          <w:sz w:val="20"/>
        </w:rPr>
        <w:t xml:space="preserve">- Campaña de captación de leads </w:t>
      </w:r>
      <w:r w:rsidRPr="00A30AB8">
        <w:rPr>
          <w:sz w:val="20"/>
        </w:rPr>
        <w:t>vuelve</w:t>
      </w:r>
      <w:r w:rsidR="00285677">
        <w:rPr>
          <w:sz w:val="20"/>
        </w:rPr>
        <w:t>alogrande</w:t>
      </w:r>
      <w:r w:rsidRPr="00A30AB8">
        <w:rPr>
          <w:sz w:val="20"/>
        </w:rPr>
        <w:t>.com</w:t>
      </w:r>
    </w:p>
    <w:p w14:paraId="540802F3" w14:textId="77777777" w:rsidR="006220A2" w:rsidRPr="006C064F" w:rsidRDefault="006220A2" w:rsidP="006220A2">
      <w:pPr>
        <w:spacing w:before="120"/>
        <w:jc w:val="both"/>
        <w:rPr>
          <w:sz w:val="20"/>
        </w:rPr>
      </w:pPr>
      <w:r w:rsidRPr="006C064F">
        <w:rPr>
          <w:sz w:val="20"/>
        </w:rPr>
        <w:t> </w:t>
      </w:r>
    </w:p>
    <w:p w14:paraId="52661365" w14:textId="77777777" w:rsidR="006220A2" w:rsidRPr="006C064F" w:rsidRDefault="006220A2" w:rsidP="00A30AB8">
      <w:pPr>
        <w:keepNext/>
        <w:keepLines/>
        <w:spacing w:before="120"/>
        <w:jc w:val="both"/>
        <w:rPr>
          <w:sz w:val="20"/>
        </w:rPr>
      </w:pPr>
      <w:r w:rsidRPr="006C064F">
        <w:rPr>
          <w:sz w:val="20"/>
          <w:u w:val="single"/>
          <w:lang w:val="es-ES_tradnl"/>
        </w:rPr>
        <w:t>Programa de cooperación</w:t>
      </w:r>
    </w:p>
    <w:p w14:paraId="3102F1D8" w14:textId="77777777" w:rsidR="006220A2" w:rsidRPr="006C064F" w:rsidRDefault="006220A2" w:rsidP="00A30AB8">
      <w:pPr>
        <w:keepNext/>
        <w:keepLines/>
        <w:spacing w:before="120"/>
        <w:jc w:val="both"/>
        <w:rPr>
          <w:sz w:val="20"/>
        </w:rPr>
      </w:pPr>
      <w:r w:rsidRPr="006C064F">
        <w:rPr>
          <w:sz w:val="20"/>
          <w:lang w:val="es-ES_tradnl"/>
        </w:rPr>
        <w:t xml:space="preserve">El programa de cooperación está dirigido a la gestión de las líneas de colaboración con las </w:t>
      </w:r>
      <w:r w:rsidRPr="006C064F">
        <w:rPr>
          <w:sz w:val="20"/>
          <w:lang w:val="pt-PT"/>
        </w:rPr>
        <w:t>distintas entidades de promoci</w:t>
      </w:r>
      <w:r w:rsidRPr="006C064F">
        <w:rPr>
          <w:sz w:val="20"/>
          <w:lang w:val="es-ES_tradnl"/>
        </w:rPr>
        <w:t>ó</w:t>
      </w:r>
      <w:r w:rsidRPr="006C064F">
        <w:rPr>
          <w:sz w:val="20"/>
        </w:rPr>
        <w:t>n turí</w:t>
      </w:r>
      <w:r w:rsidRPr="006C064F">
        <w:rPr>
          <w:sz w:val="20"/>
          <w:lang w:val="es-ES_tradnl"/>
        </w:rPr>
        <w:t>stica de las islas y otras instituciones y organizaciones. En 2018, el programa contempla como principal línea de actuación la gestión de los Convenios Insulares de Colaboració</w:t>
      </w:r>
      <w:r w:rsidRPr="006C064F">
        <w:rPr>
          <w:sz w:val="20"/>
        </w:rPr>
        <w:t>n</w:t>
      </w:r>
      <w:r w:rsidRPr="006C064F">
        <w:rPr>
          <w:sz w:val="20"/>
          <w:lang w:val="es-ES_tradnl"/>
        </w:rPr>
        <w:t xml:space="preserve"> suscritos con las entidades insulares de promoción turística dependientes de los distintos cabildos insulares. En el marco de estos convenios se desarrollar</w:t>
      </w:r>
      <w:r>
        <w:rPr>
          <w:sz w:val="20"/>
          <w:lang w:val="es-ES_tradnl"/>
        </w:rPr>
        <w:t>o</w:t>
      </w:r>
      <w:r w:rsidRPr="006C064F">
        <w:rPr>
          <w:sz w:val="20"/>
          <w:lang w:val="es-ES_tradnl"/>
        </w:rPr>
        <w:t>n acciones conjuntas en aquellos mercados, consolidados o emergentes, de especial inter</w:t>
      </w:r>
      <w:r w:rsidRPr="006C064F">
        <w:rPr>
          <w:sz w:val="20"/>
          <w:lang w:val="fr-FR"/>
        </w:rPr>
        <w:t>é</w:t>
      </w:r>
      <w:r w:rsidRPr="006C064F">
        <w:rPr>
          <w:sz w:val="20"/>
          <w:lang w:val="es-ES_tradnl"/>
        </w:rPr>
        <w:t xml:space="preserve">s en cada caso. </w:t>
      </w:r>
    </w:p>
    <w:p w14:paraId="5904B160" w14:textId="77777777" w:rsidR="006220A2" w:rsidRPr="006C064F" w:rsidRDefault="006220A2" w:rsidP="006220A2">
      <w:pPr>
        <w:spacing w:before="120"/>
        <w:jc w:val="both"/>
        <w:rPr>
          <w:sz w:val="20"/>
        </w:rPr>
      </w:pPr>
      <w:r w:rsidRPr="006C064F">
        <w:rPr>
          <w:sz w:val="20"/>
        </w:rPr>
        <w:t> </w:t>
      </w:r>
    </w:p>
    <w:p w14:paraId="24159BC6" w14:textId="77777777" w:rsidR="006220A2" w:rsidRPr="006C064F" w:rsidRDefault="006220A2" w:rsidP="006220A2">
      <w:pPr>
        <w:spacing w:before="120"/>
        <w:jc w:val="both"/>
        <w:rPr>
          <w:sz w:val="20"/>
        </w:rPr>
      </w:pPr>
      <w:r w:rsidRPr="006C064F">
        <w:rPr>
          <w:sz w:val="20"/>
          <w:lang w:val="es-ES_tradnl"/>
        </w:rPr>
        <w:t xml:space="preserve">Otras acciones son: </w:t>
      </w:r>
    </w:p>
    <w:p w14:paraId="6C05C3FB" w14:textId="77777777" w:rsidR="006220A2" w:rsidRPr="006C064F" w:rsidRDefault="006220A2" w:rsidP="00A30AB8">
      <w:pPr>
        <w:spacing w:before="120"/>
        <w:ind w:left="426" w:hanging="142"/>
        <w:jc w:val="both"/>
        <w:rPr>
          <w:sz w:val="20"/>
        </w:rPr>
      </w:pPr>
      <w:r w:rsidRPr="006C064F">
        <w:rPr>
          <w:sz w:val="20"/>
        </w:rPr>
        <w:t xml:space="preserve">- </w:t>
      </w:r>
      <w:r w:rsidRPr="006C064F">
        <w:rPr>
          <w:sz w:val="20"/>
          <w:lang w:val="es-ES_tradnl"/>
        </w:rPr>
        <w:t xml:space="preserve">Acciones de co-branding con turoperadores, grandes grupos de agencias de viajes, </w:t>
      </w:r>
      <w:r w:rsidRPr="006C064F">
        <w:rPr>
          <w:sz w:val="20"/>
          <w:lang w:val="it-IT"/>
        </w:rPr>
        <w:t>compa</w:t>
      </w:r>
      <w:r w:rsidRPr="006C064F">
        <w:rPr>
          <w:sz w:val="20"/>
          <w:lang w:val="es-ES_tradnl"/>
        </w:rPr>
        <w:t>ñí</w:t>
      </w:r>
      <w:r w:rsidRPr="006C064F">
        <w:rPr>
          <w:sz w:val="20"/>
          <w:lang w:val="pt-PT"/>
        </w:rPr>
        <w:t>as a</w:t>
      </w:r>
      <w:r w:rsidRPr="006C064F">
        <w:rPr>
          <w:sz w:val="20"/>
          <w:lang w:val="fr-FR"/>
        </w:rPr>
        <w:t>é</w:t>
      </w:r>
      <w:r w:rsidRPr="006C064F">
        <w:rPr>
          <w:sz w:val="20"/>
        </w:rPr>
        <w:t xml:space="preserve">reas </w:t>
      </w:r>
      <w:r w:rsidRPr="006C064F">
        <w:rPr>
          <w:sz w:val="20"/>
          <w:lang w:val="es-ES_tradnl"/>
        </w:rPr>
        <w:t xml:space="preserve">y marcas de alta notoriedad en los mercados meta. </w:t>
      </w:r>
    </w:p>
    <w:p w14:paraId="343C7835" w14:textId="77777777" w:rsidR="006220A2" w:rsidRPr="006C064F" w:rsidRDefault="006220A2" w:rsidP="00A30AB8">
      <w:pPr>
        <w:spacing w:before="120"/>
        <w:ind w:left="426" w:hanging="142"/>
        <w:jc w:val="both"/>
        <w:rPr>
          <w:sz w:val="20"/>
        </w:rPr>
      </w:pPr>
      <w:r w:rsidRPr="006C064F">
        <w:rPr>
          <w:sz w:val="20"/>
        </w:rPr>
        <w:t xml:space="preserve">- </w:t>
      </w:r>
      <w:r w:rsidRPr="006C064F">
        <w:rPr>
          <w:sz w:val="20"/>
          <w:lang w:val="es-ES_tradnl"/>
        </w:rPr>
        <w:t xml:space="preserve">Patrocinio de </w:t>
      </w:r>
      <w:r w:rsidRPr="006C064F">
        <w:rPr>
          <w:sz w:val="20"/>
          <w:lang w:val="pt-PT"/>
        </w:rPr>
        <w:t>eventos de diversas caracter</w:t>
      </w:r>
      <w:r w:rsidRPr="006C064F">
        <w:rPr>
          <w:sz w:val="20"/>
        </w:rPr>
        <w:t>í</w:t>
      </w:r>
      <w:r w:rsidRPr="006C064F">
        <w:rPr>
          <w:sz w:val="20"/>
          <w:lang w:val="es-ES_tradnl"/>
        </w:rPr>
        <w:t xml:space="preserve">sticas con trascendencia internacional turística y potencial de proyección exterior de los diferentes destinos insulares. </w:t>
      </w:r>
    </w:p>
    <w:p w14:paraId="0EDC6532" w14:textId="77777777" w:rsidR="006220A2" w:rsidRPr="006C064F" w:rsidRDefault="006220A2" w:rsidP="006220A2">
      <w:pPr>
        <w:spacing w:before="120"/>
        <w:jc w:val="both"/>
        <w:rPr>
          <w:sz w:val="20"/>
        </w:rPr>
      </w:pPr>
      <w:r w:rsidRPr="006C064F">
        <w:rPr>
          <w:sz w:val="20"/>
        </w:rPr>
        <w:t> </w:t>
      </w:r>
    </w:p>
    <w:p w14:paraId="3822DDC5" w14:textId="77777777" w:rsidR="006220A2" w:rsidRPr="006C064F" w:rsidRDefault="006220A2" w:rsidP="006220A2">
      <w:pPr>
        <w:spacing w:before="120"/>
        <w:jc w:val="both"/>
        <w:rPr>
          <w:sz w:val="20"/>
        </w:rPr>
      </w:pPr>
      <w:r w:rsidRPr="006C064F">
        <w:rPr>
          <w:sz w:val="20"/>
          <w:u w:val="single"/>
          <w:lang w:val="es-ES_tradnl"/>
        </w:rPr>
        <w:t>Programa de innovación</w:t>
      </w:r>
    </w:p>
    <w:p w14:paraId="2CA2A7A8" w14:textId="77777777" w:rsidR="006220A2" w:rsidRPr="006C064F" w:rsidRDefault="006220A2" w:rsidP="006220A2">
      <w:pPr>
        <w:spacing w:before="120"/>
        <w:jc w:val="both"/>
        <w:rPr>
          <w:sz w:val="20"/>
        </w:rPr>
      </w:pPr>
      <w:r w:rsidRPr="006C064F">
        <w:rPr>
          <w:sz w:val="20"/>
          <w:lang w:val="es-ES_tradnl"/>
        </w:rPr>
        <w:t xml:space="preserve">El programa de innovación está orientado al fomento de la incorporación de metodologías, herramientas y actuaciones innovadoras en el sector turístico canario en el ámbito del marketing: nuevos productos y servicios, comercialización y comunicación, inteligencia turística, big data, etc. </w:t>
      </w:r>
    </w:p>
    <w:p w14:paraId="7706B0BE" w14:textId="77777777" w:rsidR="006220A2" w:rsidRDefault="006220A2" w:rsidP="006220A2">
      <w:pPr>
        <w:spacing w:before="120"/>
        <w:jc w:val="both"/>
        <w:rPr>
          <w:sz w:val="20"/>
        </w:rPr>
      </w:pPr>
    </w:p>
    <w:p w14:paraId="56B76B9F" w14:textId="77777777" w:rsidR="006220A2" w:rsidRPr="00844316" w:rsidRDefault="006220A2" w:rsidP="006220A2">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200"/>
        <w:ind w:left="720" w:hanging="720"/>
        <w:jc w:val="both"/>
        <w:outlineLvl w:val="9"/>
        <w:rPr>
          <w:b/>
          <w:sz w:val="20"/>
          <w:u w:val="single"/>
        </w:rPr>
      </w:pPr>
      <w:r w:rsidRPr="00844316">
        <w:rPr>
          <w:b/>
          <w:sz w:val="20"/>
          <w:u w:val="single"/>
        </w:rPr>
        <w:t>ACONTECIMIENTOS POSTERIORES AL CIERRE</w:t>
      </w:r>
    </w:p>
    <w:p w14:paraId="55A8A3AD" w14:textId="77777777" w:rsidR="006220A2" w:rsidRPr="00844316" w:rsidRDefault="006220A2" w:rsidP="00A30AB8">
      <w:pPr>
        <w:spacing w:before="240"/>
        <w:jc w:val="both"/>
        <w:rPr>
          <w:sz w:val="20"/>
        </w:rPr>
      </w:pPr>
      <w:r w:rsidRPr="00DE449A">
        <w:rPr>
          <w:sz w:val="20"/>
        </w:rPr>
        <w:t>En el tiempo transcurrido desde el 31 de diciembre de 201</w:t>
      </w:r>
      <w:r>
        <w:rPr>
          <w:sz w:val="20"/>
        </w:rPr>
        <w:t>8</w:t>
      </w:r>
      <w:r w:rsidRPr="00DE449A">
        <w:rPr>
          <w:sz w:val="20"/>
        </w:rPr>
        <w:t xml:space="preserve"> hasta la formulación de las cuentas anuales, los hechos acaecidos ya han sido puestos de manifiesto a lo largo de la Memoria, no habiendo más que reseñar salvo lo allí incluido.</w:t>
      </w:r>
    </w:p>
    <w:p w14:paraId="419C19C9" w14:textId="77777777" w:rsidR="006220A2" w:rsidRPr="00844316" w:rsidRDefault="006220A2" w:rsidP="006220A2">
      <w:pPr>
        <w:jc w:val="both"/>
        <w:rPr>
          <w:sz w:val="20"/>
        </w:rPr>
      </w:pPr>
    </w:p>
    <w:p w14:paraId="1C960A1D" w14:textId="77777777" w:rsidR="006220A2" w:rsidRPr="00E17A2B" w:rsidRDefault="006220A2" w:rsidP="006220A2">
      <w:pPr>
        <w:keepNext/>
        <w:keepLines/>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200"/>
        <w:ind w:left="720" w:hanging="720"/>
        <w:jc w:val="both"/>
        <w:outlineLvl w:val="9"/>
        <w:rPr>
          <w:b/>
          <w:sz w:val="20"/>
          <w:u w:val="single"/>
        </w:rPr>
      </w:pPr>
      <w:r>
        <w:rPr>
          <w:b/>
          <w:sz w:val="20"/>
          <w:u w:val="single"/>
        </w:rPr>
        <w:t>PERSPECTIVAS PARA EL AÑO 2019</w:t>
      </w:r>
    </w:p>
    <w:p w14:paraId="430EC90F" w14:textId="77777777" w:rsidR="006220A2" w:rsidRPr="00C65D73" w:rsidRDefault="006220A2" w:rsidP="00A30AB8">
      <w:pPr>
        <w:spacing w:before="240"/>
        <w:jc w:val="both"/>
        <w:rPr>
          <w:sz w:val="20"/>
        </w:rPr>
      </w:pPr>
      <w:r w:rsidRPr="00C65D73">
        <w:rPr>
          <w:sz w:val="20"/>
          <w:lang w:val="es-ES_tradnl"/>
        </w:rPr>
        <w:t>Para 2019, la actuación de Promotur Turismo Canarias S.A. se estructura a partir del Plan de Marketing Estrat</w:t>
      </w:r>
      <w:r w:rsidRPr="00C65D73">
        <w:rPr>
          <w:sz w:val="20"/>
          <w:lang w:val="fr-FR"/>
        </w:rPr>
        <w:t>é</w:t>
      </w:r>
      <w:r w:rsidRPr="00C65D73">
        <w:rPr>
          <w:sz w:val="20"/>
          <w:lang w:val="es-ES_tradnl"/>
        </w:rPr>
        <w:t>gico 2018-2022 desarrollado por la entidad. En este Plan se identifican los siguientes retos a los que se enfrenta el turismo canario desde la perspectiva del marketing estrat</w:t>
      </w:r>
      <w:r w:rsidRPr="00C65D73">
        <w:rPr>
          <w:sz w:val="20"/>
          <w:lang w:val="fr-FR"/>
        </w:rPr>
        <w:t>é</w:t>
      </w:r>
      <w:r w:rsidRPr="00C65D73">
        <w:rPr>
          <w:sz w:val="20"/>
          <w:lang w:val="it-IT"/>
        </w:rPr>
        <w:t>gico</w:t>
      </w:r>
      <w:r w:rsidRPr="00C65D73">
        <w:rPr>
          <w:sz w:val="20"/>
          <w:lang w:val="es-ES_tradnl"/>
        </w:rPr>
        <w:t>:</w:t>
      </w:r>
    </w:p>
    <w:p w14:paraId="29442C14" w14:textId="77777777" w:rsidR="006220A2" w:rsidRPr="00C65D73" w:rsidRDefault="006220A2" w:rsidP="006220A2">
      <w:pPr>
        <w:spacing w:before="120"/>
        <w:jc w:val="both"/>
        <w:rPr>
          <w:sz w:val="20"/>
        </w:rPr>
      </w:pPr>
      <w:r w:rsidRPr="00C65D73">
        <w:rPr>
          <w:sz w:val="20"/>
        </w:rPr>
        <w:t>- Consolidación del liderazgo turístico internacional alcanzado</w:t>
      </w:r>
    </w:p>
    <w:p w14:paraId="375BB6C2" w14:textId="77777777" w:rsidR="006220A2" w:rsidRPr="00C65D73" w:rsidRDefault="006220A2" w:rsidP="006220A2">
      <w:pPr>
        <w:spacing w:before="120"/>
        <w:jc w:val="both"/>
        <w:rPr>
          <w:sz w:val="20"/>
        </w:rPr>
      </w:pPr>
      <w:r w:rsidRPr="00C65D73">
        <w:rPr>
          <w:sz w:val="20"/>
        </w:rPr>
        <w:t>- Diversificación de mercados</w:t>
      </w:r>
    </w:p>
    <w:p w14:paraId="547F12DB" w14:textId="77777777" w:rsidR="006220A2" w:rsidRPr="00C65D73" w:rsidRDefault="006220A2" w:rsidP="006220A2">
      <w:pPr>
        <w:spacing w:before="120"/>
        <w:jc w:val="both"/>
        <w:rPr>
          <w:sz w:val="20"/>
        </w:rPr>
      </w:pPr>
      <w:r w:rsidRPr="00C65D73">
        <w:rPr>
          <w:sz w:val="20"/>
        </w:rPr>
        <w:t>- Diversificación de clientes</w:t>
      </w:r>
    </w:p>
    <w:p w14:paraId="2A03485B" w14:textId="77777777" w:rsidR="006220A2" w:rsidRPr="00C65D73" w:rsidRDefault="006220A2" w:rsidP="006220A2">
      <w:pPr>
        <w:spacing w:before="120"/>
        <w:jc w:val="both"/>
        <w:rPr>
          <w:sz w:val="20"/>
        </w:rPr>
      </w:pPr>
      <w:r w:rsidRPr="00C65D73">
        <w:rPr>
          <w:sz w:val="20"/>
        </w:rPr>
        <w:t>- Diferenciación de la oferta a través de la identidad</w:t>
      </w:r>
    </w:p>
    <w:p w14:paraId="5AFB9B01" w14:textId="77777777" w:rsidR="006220A2" w:rsidRPr="00C65D73" w:rsidRDefault="006220A2" w:rsidP="006220A2">
      <w:pPr>
        <w:spacing w:before="120"/>
        <w:jc w:val="both"/>
        <w:rPr>
          <w:sz w:val="20"/>
        </w:rPr>
      </w:pPr>
      <w:r w:rsidRPr="00C65D73">
        <w:rPr>
          <w:sz w:val="20"/>
        </w:rPr>
        <w:t> </w:t>
      </w:r>
    </w:p>
    <w:p w14:paraId="01766E4D" w14:textId="77777777" w:rsidR="006220A2" w:rsidRPr="00C65D73" w:rsidRDefault="006220A2" w:rsidP="006220A2">
      <w:pPr>
        <w:spacing w:before="120"/>
        <w:jc w:val="both"/>
        <w:rPr>
          <w:sz w:val="20"/>
        </w:rPr>
      </w:pPr>
      <w:r w:rsidRPr="00C65D73">
        <w:rPr>
          <w:sz w:val="20"/>
          <w:lang w:val="es-ES_tradnl"/>
        </w:rPr>
        <w:t xml:space="preserve">Para afrontar estos retos a medio plazo, Promotur ha establecido los siguientes objetivos para el año 2019, que representan una continuidad respecto a los establecidos para 2018: </w:t>
      </w:r>
    </w:p>
    <w:p w14:paraId="377239E5" w14:textId="77777777" w:rsidR="006220A2" w:rsidRPr="00841182" w:rsidRDefault="006220A2" w:rsidP="00841182">
      <w:pPr>
        <w:pStyle w:val="Prrafodelista"/>
        <w:numPr>
          <w:ilvl w:val="0"/>
          <w:numId w:val="47"/>
        </w:numPr>
        <w:spacing w:before="120"/>
        <w:ind w:left="567" w:hanging="283"/>
        <w:jc w:val="both"/>
        <w:rPr>
          <w:rFonts w:ascii="Arial" w:hAnsi="Arial" w:cs="Arial"/>
          <w:sz w:val="20"/>
        </w:rPr>
      </w:pPr>
      <w:r w:rsidRPr="00841182">
        <w:rPr>
          <w:rFonts w:ascii="Arial" w:hAnsi="Arial" w:cs="Arial"/>
          <w:sz w:val="20"/>
        </w:rPr>
        <w:t>Mantenimiento / recuperación cuota de mercado en mercados clave</w:t>
      </w:r>
    </w:p>
    <w:p w14:paraId="3423C954" w14:textId="77777777" w:rsidR="006220A2" w:rsidRPr="00841182" w:rsidRDefault="006220A2" w:rsidP="00841182">
      <w:pPr>
        <w:pStyle w:val="Prrafodelista"/>
        <w:numPr>
          <w:ilvl w:val="0"/>
          <w:numId w:val="47"/>
        </w:numPr>
        <w:spacing w:before="120"/>
        <w:ind w:left="567" w:hanging="283"/>
        <w:jc w:val="both"/>
        <w:rPr>
          <w:rFonts w:ascii="Arial" w:hAnsi="Arial" w:cs="Arial"/>
          <w:sz w:val="20"/>
        </w:rPr>
      </w:pPr>
      <w:r w:rsidRPr="00841182">
        <w:rPr>
          <w:rFonts w:ascii="Arial" w:hAnsi="Arial" w:cs="Arial"/>
          <w:sz w:val="20"/>
        </w:rPr>
        <w:t>Incremento del gasto en destino de los visitantes</w:t>
      </w:r>
    </w:p>
    <w:p w14:paraId="5BEF773A" w14:textId="77777777" w:rsidR="006220A2" w:rsidRPr="00841182" w:rsidRDefault="006220A2" w:rsidP="00841182">
      <w:pPr>
        <w:pStyle w:val="Prrafodelista"/>
        <w:numPr>
          <w:ilvl w:val="0"/>
          <w:numId w:val="47"/>
        </w:numPr>
        <w:spacing w:before="120"/>
        <w:ind w:left="567" w:hanging="283"/>
        <w:jc w:val="both"/>
        <w:rPr>
          <w:rFonts w:ascii="Arial" w:hAnsi="Arial" w:cs="Arial"/>
          <w:sz w:val="20"/>
        </w:rPr>
      </w:pPr>
      <w:r w:rsidRPr="00841182">
        <w:rPr>
          <w:rFonts w:ascii="Arial" w:hAnsi="Arial" w:cs="Arial"/>
          <w:sz w:val="20"/>
        </w:rPr>
        <w:t>Extensión geográfica de la actividad económica derivada del turismo</w:t>
      </w:r>
    </w:p>
    <w:p w14:paraId="0CBDD280" w14:textId="77777777" w:rsidR="006220A2" w:rsidRPr="00841182" w:rsidRDefault="006220A2" w:rsidP="00841182">
      <w:pPr>
        <w:pStyle w:val="Prrafodelista"/>
        <w:numPr>
          <w:ilvl w:val="0"/>
          <w:numId w:val="47"/>
        </w:numPr>
        <w:spacing w:before="120"/>
        <w:ind w:left="567" w:hanging="283"/>
        <w:jc w:val="both"/>
        <w:rPr>
          <w:rFonts w:ascii="Arial" w:hAnsi="Arial" w:cs="Arial"/>
          <w:sz w:val="20"/>
        </w:rPr>
      </w:pPr>
      <w:r w:rsidRPr="00841182">
        <w:rPr>
          <w:rFonts w:ascii="Arial" w:hAnsi="Arial" w:cs="Arial"/>
          <w:sz w:val="20"/>
        </w:rPr>
        <w:t>Extensión de la cadena de valor de la actividad turística</w:t>
      </w:r>
    </w:p>
    <w:p w14:paraId="69413796" w14:textId="77777777" w:rsidR="006220A2" w:rsidRPr="00841182" w:rsidRDefault="006220A2" w:rsidP="00841182">
      <w:pPr>
        <w:pStyle w:val="Prrafodelista"/>
        <w:numPr>
          <w:ilvl w:val="0"/>
          <w:numId w:val="47"/>
        </w:numPr>
        <w:spacing w:before="120"/>
        <w:ind w:left="567" w:hanging="283"/>
        <w:jc w:val="both"/>
        <w:rPr>
          <w:rFonts w:ascii="Arial" w:hAnsi="Arial" w:cs="Arial"/>
          <w:sz w:val="20"/>
        </w:rPr>
      </w:pPr>
      <w:r w:rsidRPr="00841182">
        <w:rPr>
          <w:rFonts w:ascii="Arial" w:hAnsi="Arial" w:cs="Arial"/>
          <w:sz w:val="20"/>
        </w:rPr>
        <w:t>Mejora del impacto de la actividad turística en la cadena de valor global</w:t>
      </w:r>
    </w:p>
    <w:p w14:paraId="05FE7373" w14:textId="77777777" w:rsidR="006220A2" w:rsidRPr="00841182" w:rsidRDefault="006220A2" w:rsidP="00841182">
      <w:pPr>
        <w:pStyle w:val="Prrafodelista"/>
        <w:numPr>
          <w:ilvl w:val="0"/>
          <w:numId w:val="47"/>
        </w:numPr>
        <w:spacing w:before="120"/>
        <w:ind w:left="567" w:hanging="283"/>
        <w:jc w:val="both"/>
        <w:rPr>
          <w:rFonts w:ascii="Arial" w:hAnsi="Arial" w:cs="Arial"/>
          <w:sz w:val="20"/>
        </w:rPr>
      </w:pPr>
      <w:r w:rsidRPr="00841182">
        <w:rPr>
          <w:rFonts w:ascii="Arial" w:hAnsi="Arial" w:cs="Arial"/>
          <w:sz w:val="20"/>
        </w:rPr>
        <w:t>Disminución concentración de riesgo en mercados de origen tradicionales</w:t>
      </w:r>
    </w:p>
    <w:p w14:paraId="0D9FC338" w14:textId="77777777" w:rsidR="006220A2" w:rsidRPr="00841182" w:rsidRDefault="006220A2" w:rsidP="00841182">
      <w:pPr>
        <w:pStyle w:val="Prrafodelista"/>
        <w:numPr>
          <w:ilvl w:val="0"/>
          <w:numId w:val="47"/>
        </w:numPr>
        <w:spacing w:before="120"/>
        <w:ind w:left="567" w:hanging="283"/>
        <w:jc w:val="both"/>
        <w:rPr>
          <w:rFonts w:ascii="Arial" w:hAnsi="Arial" w:cs="Arial"/>
          <w:sz w:val="20"/>
        </w:rPr>
      </w:pPr>
      <w:r w:rsidRPr="00841182">
        <w:rPr>
          <w:rFonts w:ascii="Arial" w:hAnsi="Arial" w:cs="Arial"/>
          <w:sz w:val="20"/>
        </w:rPr>
        <w:t>Disminución de la concentración de riesgo en segmentos vinculados exclusivamente al disfrute de la oferta tradicional de sol y playa</w:t>
      </w:r>
    </w:p>
    <w:p w14:paraId="4510F6E9" w14:textId="77777777" w:rsidR="006220A2" w:rsidRPr="00841182" w:rsidRDefault="006220A2" w:rsidP="00841182">
      <w:pPr>
        <w:pStyle w:val="Prrafodelista"/>
        <w:numPr>
          <w:ilvl w:val="0"/>
          <w:numId w:val="47"/>
        </w:numPr>
        <w:spacing w:before="120"/>
        <w:ind w:left="567" w:hanging="283"/>
        <w:jc w:val="both"/>
        <w:rPr>
          <w:rFonts w:ascii="Arial" w:hAnsi="Arial" w:cs="Arial"/>
          <w:sz w:val="20"/>
        </w:rPr>
      </w:pPr>
      <w:r w:rsidRPr="00841182">
        <w:rPr>
          <w:rFonts w:ascii="Arial" w:hAnsi="Arial" w:cs="Arial"/>
          <w:sz w:val="20"/>
        </w:rPr>
        <w:t>Desintermediación de la actividad turística</w:t>
      </w:r>
    </w:p>
    <w:p w14:paraId="36DD31FF" w14:textId="77777777" w:rsidR="006220A2" w:rsidRPr="00841182" w:rsidRDefault="00841182" w:rsidP="00841182">
      <w:pPr>
        <w:pStyle w:val="Prrafodelista"/>
        <w:numPr>
          <w:ilvl w:val="0"/>
          <w:numId w:val="47"/>
        </w:numPr>
        <w:spacing w:before="120"/>
        <w:ind w:left="567" w:hanging="283"/>
        <w:jc w:val="both"/>
        <w:rPr>
          <w:rFonts w:ascii="Arial" w:hAnsi="Arial" w:cs="Arial"/>
          <w:sz w:val="20"/>
        </w:rPr>
      </w:pPr>
      <w:r w:rsidRPr="00841182">
        <w:rPr>
          <w:rFonts w:ascii="Arial" w:hAnsi="Arial" w:cs="Arial"/>
          <w:sz w:val="20"/>
        </w:rPr>
        <w:t>R</w:t>
      </w:r>
      <w:r w:rsidR="006220A2" w:rsidRPr="00841182">
        <w:rPr>
          <w:rFonts w:ascii="Arial" w:hAnsi="Arial" w:cs="Arial"/>
          <w:sz w:val="20"/>
        </w:rPr>
        <w:t>enovación de la imagen de Canarias como conjunto de destinos turísticos maduros en los mercados clave</w:t>
      </w:r>
    </w:p>
    <w:p w14:paraId="5ED3C5F2" w14:textId="77777777" w:rsidR="006220A2" w:rsidRPr="00841182" w:rsidRDefault="006220A2" w:rsidP="00841182">
      <w:pPr>
        <w:pStyle w:val="Prrafodelista"/>
        <w:numPr>
          <w:ilvl w:val="0"/>
          <w:numId w:val="47"/>
        </w:numPr>
        <w:spacing w:before="120"/>
        <w:ind w:left="567" w:hanging="283"/>
        <w:jc w:val="both"/>
        <w:rPr>
          <w:rFonts w:ascii="Arial" w:hAnsi="Arial" w:cs="Arial"/>
          <w:sz w:val="20"/>
        </w:rPr>
      </w:pPr>
      <w:r w:rsidRPr="00841182">
        <w:rPr>
          <w:rFonts w:ascii="Arial" w:hAnsi="Arial" w:cs="Arial"/>
          <w:sz w:val="20"/>
        </w:rPr>
        <w:t>Potenciación de la identidad del destino como herramienta de diferenciación en la categoría turística del turismo de sol y playa</w:t>
      </w:r>
    </w:p>
    <w:p w14:paraId="7D5DCB99" w14:textId="77777777" w:rsidR="006220A2" w:rsidRPr="00841182" w:rsidRDefault="006220A2" w:rsidP="00841182">
      <w:pPr>
        <w:pStyle w:val="Prrafodelista"/>
        <w:numPr>
          <w:ilvl w:val="0"/>
          <w:numId w:val="47"/>
        </w:numPr>
        <w:spacing w:before="120"/>
        <w:ind w:left="567" w:hanging="283"/>
        <w:jc w:val="both"/>
        <w:rPr>
          <w:rFonts w:ascii="Arial" w:hAnsi="Arial" w:cs="Arial"/>
          <w:sz w:val="20"/>
        </w:rPr>
      </w:pPr>
      <w:r w:rsidRPr="00841182">
        <w:rPr>
          <w:rFonts w:ascii="Arial" w:hAnsi="Arial" w:cs="Arial"/>
          <w:sz w:val="20"/>
        </w:rPr>
        <w:t>Potenciación de la implicación de la sociedad canaria y los agentes económicos, turísticos y sociales en la sostenibilidad de la actividad turística</w:t>
      </w:r>
    </w:p>
    <w:p w14:paraId="1258A1FF" w14:textId="77777777" w:rsidR="006220A2" w:rsidRPr="00C65D73" w:rsidRDefault="006220A2" w:rsidP="006220A2">
      <w:pPr>
        <w:spacing w:before="120"/>
        <w:jc w:val="both"/>
        <w:rPr>
          <w:sz w:val="20"/>
        </w:rPr>
      </w:pPr>
      <w:r w:rsidRPr="00C65D73">
        <w:rPr>
          <w:sz w:val="20"/>
        </w:rPr>
        <w:t> </w:t>
      </w:r>
    </w:p>
    <w:p w14:paraId="6D4B7F63" w14:textId="77777777" w:rsidR="006220A2" w:rsidRPr="00C65D73" w:rsidRDefault="006220A2" w:rsidP="006220A2">
      <w:pPr>
        <w:spacing w:before="120"/>
        <w:jc w:val="both"/>
        <w:rPr>
          <w:sz w:val="20"/>
        </w:rPr>
      </w:pPr>
      <w:r w:rsidRPr="00C65D73">
        <w:rPr>
          <w:sz w:val="20"/>
          <w:lang w:val="es-ES_tradnl"/>
        </w:rPr>
        <w:t xml:space="preserve">A partir de esta identificación de retos, </w:t>
      </w:r>
      <w:r w:rsidRPr="00C65D73">
        <w:rPr>
          <w:sz w:val="20"/>
          <w:lang w:val="pt-PT"/>
        </w:rPr>
        <w:t>objetivos</w:t>
      </w:r>
      <w:r w:rsidRPr="00C65D73">
        <w:rPr>
          <w:sz w:val="20"/>
          <w:lang w:val="es-ES_tradnl"/>
        </w:rPr>
        <w:t xml:space="preserve"> y líneas de actuación, se planifica un plan de </w:t>
      </w:r>
      <w:r w:rsidR="00345D0E" w:rsidRPr="00C65D73">
        <w:rPr>
          <w:sz w:val="20"/>
          <w:lang w:val="es-ES_tradnl"/>
        </w:rPr>
        <w:t>actuación</w:t>
      </w:r>
      <w:r w:rsidRPr="00C65D73">
        <w:rPr>
          <w:sz w:val="20"/>
          <w:lang w:val="pt-PT"/>
        </w:rPr>
        <w:t xml:space="preserve"> para </w:t>
      </w:r>
      <w:r w:rsidRPr="00C65D73">
        <w:rPr>
          <w:sz w:val="20"/>
          <w:lang w:val="es-ES_tradnl"/>
        </w:rPr>
        <w:t xml:space="preserve">el año </w:t>
      </w:r>
      <w:r w:rsidRPr="00C65D73">
        <w:rPr>
          <w:sz w:val="20"/>
        </w:rPr>
        <w:t>2019</w:t>
      </w:r>
      <w:r w:rsidRPr="00C65D73">
        <w:rPr>
          <w:sz w:val="20"/>
          <w:lang w:val="es-ES_tradnl"/>
        </w:rPr>
        <w:t xml:space="preserve">, a formalizar en el documento `Plan de Acción 2019´, que describe los distintos programas </w:t>
      </w:r>
      <w:r>
        <w:rPr>
          <w:sz w:val="20"/>
          <w:lang w:val="es-ES_tradnl"/>
        </w:rPr>
        <w:t xml:space="preserve">de </w:t>
      </w:r>
      <w:r w:rsidRPr="00C65D73">
        <w:rPr>
          <w:sz w:val="20"/>
          <w:lang w:val="es-ES_tradnl"/>
        </w:rPr>
        <w:t xml:space="preserve">actuación para ejecutar en ese periodo. Cada uno de los programas se declina en distintas plataformas (en el caso de los Programas de comunicación y comunicación profesional), proyectos y acciones vinculados siempre a uno o varios de los objetivos establecidos para el periodo de referencia. Estos programas son:  </w:t>
      </w:r>
    </w:p>
    <w:p w14:paraId="0462EB4F" w14:textId="77777777" w:rsidR="006220A2" w:rsidRPr="00C65D73" w:rsidRDefault="006220A2" w:rsidP="006220A2">
      <w:pPr>
        <w:spacing w:before="120"/>
        <w:jc w:val="both"/>
        <w:rPr>
          <w:sz w:val="20"/>
        </w:rPr>
      </w:pPr>
      <w:r w:rsidRPr="00C65D73">
        <w:rPr>
          <w:sz w:val="20"/>
        </w:rPr>
        <w:t> </w:t>
      </w:r>
    </w:p>
    <w:p w14:paraId="61E9F05E" w14:textId="77777777" w:rsidR="006220A2" w:rsidRPr="00C65D73" w:rsidRDefault="006220A2" w:rsidP="006220A2">
      <w:pPr>
        <w:spacing w:before="120"/>
        <w:jc w:val="both"/>
        <w:rPr>
          <w:sz w:val="20"/>
        </w:rPr>
      </w:pPr>
      <w:r w:rsidRPr="00C65D73">
        <w:rPr>
          <w:sz w:val="20"/>
          <w:u w:val="single"/>
          <w:lang w:val="es-ES_tradnl"/>
        </w:rPr>
        <w:t>Programa de inteligencia turística y planificación</w:t>
      </w:r>
    </w:p>
    <w:p w14:paraId="66B7289A" w14:textId="77777777" w:rsidR="006220A2" w:rsidRPr="00C65D73" w:rsidRDefault="006220A2" w:rsidP="006220A2">
      <w:pPr>
        <w:spacing w:before="120"/>
        <w:jc w:val="both"/>
        <w:rPr>
          <w:sz w:val="20"/>
        </w:rPr>
      </w:pPr>
      <w:r w:rsidRPr="00C65D73">
        <w:rPr>
          <w:sz w:val="20"/>
          <w:lang w:val="es-ES_tradnl"/>
        </w:rPr>
        <w:t xml:space="preserve">El programa de inteligencia turística y planificación contempla, para 2019, el desarrollo de actuaciones dirigidas a integrar el conocimiento actualizado del cliente, de sus motivaciones, necesidades y expectativas, como base para la correcta toma de decisiones, no solo en lo referido estrictamente a la promoción, sino en todo el </w:t>
      </w:r>
      <w:r w:rsidRPr="00C65D73">
        <w:rPr>
          <w:sz w:val="20"/>
        </w:rPr>
        <w:t>á</w:t>
      </w:r>
      <w:r w:rsidRPr="00C65D73">
        <w:rPr>
          <w:sz w:val="20"/>
          <w:lang w:val="it-IT"/>
        </w:rPr>
        <w:t>mbito tur</w:t>
      </w:r>
      <w:r w:rsidRPr="00C65D73">
        <w:rPr>
          <w:sz w:val="20"/>
        </w:rPr>
        <w:t>í</w:t>
      </w:r>
      <w:r w:rsidRPr="00C65D73">
        <w:rPr>
          <w:sz w:val="20"/>
          <w:lang w:val="it-IT"/>
        </w:rPr>
        <w:t xml:space="preserve">stico. </w:t>
      </w:r>
      <w:r w:rsidRPr="00C65D73">
        <w:rPr>
          <w:sz w:val="20"/>
          <w:lang w:val="es-ES_tradnl"/>
        </w:rPr>
        <w:t xml:space="preserve">Asimismo, se contempla mejorar el acceso, análisis y gestión de datos referido a la industria turística en su conjunto (demanda, oferta, tendencias, etc.), incluida la realización de estudios y análisis adhoc. </w:t>
      </w:r>
    </w:p>
    <w:p w14:paraId="1B9D8FB6" w14:textId="77777777" w:rsidR="006220A2" w:rsidRPr="00C65D73" w:rsidRDefault="006220A2" w:rsidP="006220A2">
      <w:pPr>
        <w:spacing w:before="120"/>
        <w:jc w:val="both"/>
        <w:rPr>
          <w:sz w:val="20"/>
        </w:rPr>
      </w:pPr>
      <w:r w:rsidRPr="00C65D73">
        <w:rPr>
          <w:sz w:val="20"/>
        </w:rPr>
        <w:t> </w:t>
      </w:r>
    </w:p>
    <w:p w14:paraId="069F04F3" w14:textId="77777777" w:rsidR="006220A2" w:rsidRPr="00C65D73" w:rsidRDefault="006220A2" w:rsidP="006220A2">
      <w:pPr>
        <w:spacing w:before="120"/>
        <w:jc w:val="both"/>
        <w:rPr>
          <w:sz w:val="20"/>
        </w:rPr>
      </w:pPr>
      <w:r w:rsidRPr="00C65D73">
        <w:rPr>
          <w:sz w:val="20"/>
          <w:u w:val="single"/>
          <w:lang w:val="es-ES_tradnl"/>
        </w:rPr>
        <w:t>Programa de branding</w:t>
      </w:r>
    </w:p>
    <w:p w14:paraId="1D8D8ADD" w14:textId="77777777" w:rsidR="006220A2" w:rsidRPr="00C65D73" w:rsidRDefault="006220A2" w:rsidP="006220A2">
      <w:pPr>
        <w:spacing w:before="120"/>
        <w:jc w:val="both"/>
        <w:rPr>
          <w:sz w:val="20"/>
        </w:rPr>
      </w:pPr>
      <w:r w:rsidRPr="00C65D73">
        <w:rPr>
          <w:sz w:val="20"/>
          <w:lang w:val="es-ES_tradnl"/>
        </w:rPr>
        <w:t>Para 2019, el programa de branding desarrollará actuaciones dirigidas al desarrollo de la identidad digital de la marca tur</w:t>
      </w:r>
      <w:r w:rsidR="00345D0E">
        <w:rPr>
          <w:sz w:val="20"/>
        </w:rPr>
        <w:t>í</w:t>
      </w:r>
      <w:r w:rsidR="00345D0E">
        <w:rPr>
          <w:sz w:val="20"/>
          <w:lang w:val="es-ES_tradnl"/>
        </w:rPr>
        <w:t xml:space="preserve">stica </w:t>
      </w:r>
      <w:r w:rsidRPr="00C65D73">
        <w:rPr>
          <w:sz w:val="20"/>
          <w:lang w:val="es-ES_tradnl"/>
        </w:rPr>
        <w:t xml:space="preserve">Islas Canarias en buscadores y RRSS en los mercados meta de la marca Islas Canarias. </w:t>
      </w:r>
      <w:r w:rsidRPr="00C65D73">
        <w:rPr>
          <w:sz w:val="20"/>
        </w:rPr>
        <w:t xml:space="preserve">  </w:t>
      </w:r>
    </w:p>
    <w:p w14:paraId="5A14F6AF" w14:textId="77777777" w:rsidR="006220A2" w:rsidRPr="00C65D73" w:rsidRDefault="006220A2" w:rsidP="006220A2">
      <w:pPr>
        <w:spacing w:before="120"/>
        <w:jc w:val="both"/>
        <w:rPr>
          <w:sz w:val="20"/>
        </w:rPr>
      </w:pPr>
      <w:r w:rsidRPr="00C65D73">
        <w:rPr>
          <w:sz w:val="20"/>
        </w:rPr>
        <w:t> </w:t>
      </w:r>
    </w:p>
    <w:p w14:paraId="71486C77" w14:textId="77777777" w:rsidR="006220A2" w:rsidRPr="00C65D73" w:rsidRDefault="006220A2" w:rsidP="006220A2">
      <w:pPr>
        <w:spacing w:before="120"/>
        <w:jc w:val="both"/>
        <w:rPr>
          <w:sz w:val="20"/>
        </w:rPr>
      </w:pPr>
      <w:r w:rsidRPr="00C65D73">
        <w:rPr>
          <w:sz w:val="20"/>
          <w:u w:val="single"/>
          <w:lang w:val="es-ES_tradnl"/>
        </w:rPr>
        <w:t>Programa de Comunicación</w:t>
      </w:r>
    </w:p>
    <w:p w14:paraId="027609B8" w14:textId="77777777" w:rsidR="006220A2" w:rsidRPr="00C65D73" w:rsidRDefault="006220A2" w:rsidP="006220A2">
      <w:pPr>
        <w:spacing w:before="120"/>
        <w:jc w:val="both"/>
        <w:rPr>
          <w:sz w:val="20"/>
        </w:rPr>
      </w:pPr>
      <w:r w:rsidRPr="00C65D73">
        <w:rPr>
          <w:sz w:val="20"/>
          <w:lang w:val="es-ES_tradnl"/>
        </w:rPr>
        <w:t xml:space="preserve">Para 2019, las plataformas de comunicación previstas son: </w:t>
      </w:r>
    </w:p>
    <w:p w14:paraId="055F8E52" w14:textId="77777777" w:rsidR="006220A2" w:rsidRPr="00C65D73" w:rsidRDefault="006220A2" w:rsidP="00A75530">
      <w:pPr>
        <w:spacing w:before="60"/>
        <w:ind w:left="284"/>
        <w:jc w:val="both"/>
        <w:rPr>
          <w:sz w:val="20"/>
        </w:rPr>
      </w:pPr>
      <w:r w:rsidRPr="00C65D73">
        <w:rPr>
          <w:sz w:val="20"/>
          <w:lang w:val="es-ES_tradnl"/>
        </w:rPr>
        <w:t>1.-</w:t>
      </w:r>
      <w:r w:rsidR="00841182">
        <w:rPr>
          <w:sz w:val="20"/>
          <w:lang w:val="es-ES_tradnl"/>
        </w:rPr>
        <w:t xml:space="preserve"> </w:t>
      </w:r>
      <w:r w:rsidRPr="00C65D73">
        <w:rPr>
          <w:sz w:val="20"/>
          <w:lang w:val="es-ES_tradnl"/>
        </w:rPr>
        <w:t>Vuelve a brillar (turismo de sol y playa plus)</w:t>
      </w:r>
    </w:p>
    <w:p w14:paraId="3DE3954A" w14:textId="77777777" w:rsidR="006220A2" w:rsidRPr="00C65D73" w:rsidRDefault="006220A2" w:rsidP="00A75530">
      <w:pPr>
        <w:spacing w:before="60"/>
        <w:ind w:left="284"/>
        <w:jc w:val="both"/>
        <w:rPr>
          <w:sz w:val="20"/>
        </w:rPr>
      </w:pPr>
      <w:r w:rsidRPr="00C65D73">
        <w:rPr>
          <w:sz w:val="20"/>
          <w:lang w:val="es-ES_tradnl"/>
        </w:rPr>
        <w:t>2.-</w:t>
      </w:r>
      <w:r w:rsidR="00841182">
        <w:rPr>
          <w:sz w:val="20"/>
          <w:lang w:val="es-ES_tradnl"/>
        </w:rPr>
        <w:t xml:space="preserve"> </w:t>
      </w:r>
      <w:r w:rsidRPr="00C65D73">
        <w:rPr>
          <w:sz w:val="20"/>
          <w:lang w:val="es-ES_tradnl"/>
        </w:rPr>
        <w:t>La gran aventura juntos (turismo de sol y playa familiar)</w:t>
      </w:r>
    </w:p>
    <w:p w14:paraId="5EE31CE0" w14:textId="77777777" w:rsidR="006220A2" w:rsidRPr="00C65D73" w:rsidRDefault="006220A2" w:rsidP="00A75530">
      <w:pPr>
        <w:spacing w:before="60"/>
        <w:ind w:left="284"/>
        <w:jc w:val="both"/>
        <w:rPr>
          <w:sz w:val="20"/>
        </w:rPr>
      </w:pPr>
      <w:r w:rsidRPr="00C65D73">
        <w:rPr>
          <w:sz w:val="20"/>
          <w:lang w:val="es-ES_tradnl"/>
        </w:rPr>
        <w:t>3.-</w:t>
      </w:r>
      <w:r w:rsidR="00841182">
        <w:rPr>
          <w:sz w:val="20"/>
          <w:lang w:val="es-ES_tradnl"/>
        </w:rPr>
        <w:t xml:space="preserve"> </w:t>
      </w:r>
      <w:r w:rsidRPr="00C65D73">
        <w:rPr>
          <w:sz w:val="20"/>
        </w:rPr>
        <w:t>The other map</w:t>
      </w:r>
      <w:r w:rsidRPr="00C65D73">
        <w:rPr>
          <w:sz w:val="20"/>
          <w:lang w:val="es-ES_tradnl"/>
        </w:rPr>
        <w:t xml:space="preserve"> (turismo de sol y playa para segmento “sibaritas modernos”)</w:t>
      </w:r>
    </w:p>
    <w:p w14:paraId="49D7A899" w14:textId="77777777" w:rsidR="006220A2" w:rsidRPr="00C65D73" w:rsidRDefault="006220A2" w:rsidP="00A75530">
      <w:pPr>
        <w:spacing w:before="60"/>
        <w:ind w:left="284"/>
        <w:jc w:val="both"/>
        <w:rPr>
          <w:sz w:val="20"/>
        </w:rPr>
      </w:pPr>
      <w:r w:rsidRPr="00C65D73">
        <w:rPr>
          <w:sz w:val="20"/>
          <w:lang w:val="es-ES_tradnl"/>
        </w:rPr>
        <w:t>4.-</w:t>
      </w:r>
      <w:r w:rsidR="00841182">
        <w:rPr>
          <w:sz w:val="20"/>
          <w:lang w:val="es-ES_tradnl"/>
        </w:rPr>
        <w:t xml:space="preserve"> </w:t>
      </w:r>
      <w:r w:rsidRPr="00C65D73">
        <w:rPr>
          <w:sz w:val="20"/>
          <w:lang w:val="es-ES_tradnl"/>
        </w:rPr>
        <w:t>Saca tus vacaciones del armario (turismo de sol y playa para segmento LGTB)</w:t>
      </w:r>
    </w:p>
    <w:p w14:paraId="716BCCA5" w14:textId="77777777" w:rsidR="006220A2" w:rsidRPr="00C65D73" w:rsidRDefault="006220A2" w:rsidP="00A75530">
      <w:pPr>
        <w:spacing w:before="60"/>
        <w:ind w:left="284"/>
        <w:jc w:val="both"/>
        <w:rPr>
          <w:sz w:val="20"/>
        </w:rPr>
      </w:pPr>
      <w:r w:rsidRPr="00C65D73">
        <w:rPr>
          <w:sz w:val="20"/>
          <w:lang w:val="es-ES_tradnl"/>
        </w:rPr>
        <w:t>5.-</w:t>
      </w:r>
      <w:r w:rsidR="00841182">
        <w:rPr>
          <w:sz w:val="20"/>
          <w:lang w:val="es-ES_tradnl"/>
        </w:rPr>
        <w:t xml:space="preserve"> </w:t>
      </w:r>
      <w:r w:rsidRPr="00C65D73">
        <w:rPr>
          <w:sz w:val="20"/>
          <w:lang w:val="es-ES_tradnl"/>
        </w:rPr>
        <w:t>Y adem</w:t>
      </w:r>
      <w:r w:rsidRPr="00C65D73">
        <w:rPr>
          <w:sz w:val="20"/>
        </w:rPr>
        <w:t>á</w:t>
      </w:r>
      <w:r w:rsidRPr="00C65D73">
        <w:rPr>
          <w:sz w:val="20"/>
          <w:lang w:val="it-IT"/>
        </w:rPr>
        <w:t>s se come bien</w:t>
      </w:r>
      <w:r w:rsidRPr="00C65D73">
        <w:rPr>
          <w:sz w:val="20"/>
          <w:lang w:val="es-ES_tradnl"/>
        </w:rPr>
        <w:t xml:space="preserve"> (turismo sol y playa plus + gastronomía) </w:t>
      </w:r>
    </w:p>
    <w:p w14:paraId="4F96D8B1" w14:textId="77777777" w:rsidR="006220A2" w:rsidRPr="00C65D73" w:rsidRDefault="006220A2" w:rsidP="00A75530">
      <w:pPr>
        <w:spacing w:before="60"/>
        <w:ind w:left="284"/>
        <w:jc w:val="both"/>
        <w:rPr>
          <w:sz w:val="20"/>
        </w:rPr>
      </w:pPr>
      <w:r w:rsidRPr="00C65D73">
        <w:rPr>
          <w:sz w:val="20"/>
          <w:lang w:val="es-ES_tradnl"/>
        </w:rPr>
        <w:t>6.-</w:t>
      </w:r>
      <w:r w:rsidR="00841182">
        <w:rPr>
          <w:sz w:val="20"/>
          <w:lang w:val="es-ES_tradnl"/>
        </w:rPr>
        <w:t xml:space="preserve"> </w:t>
      </w:r>
      <w:r w:rsidRPr="00C65D73">
        <w:rPr>
          <w:sz w:val="20"/>
        </w:rPr>
        <w:t xml:space="preserve">Sí </w:t>
      </w:r>
      <w:r w:rsidRPr="00C65D73">
        <w:rPr>
          <w:sz w:val="20"/>
          <w:lang w:val="es-ES_tradnl"/>
        </w:rPr>
        <w:t>quiero Islas Canarias (turismo de bodas)</w:t>
      </w:r>
    </w:p>
    <w:p w14:paraId="6903D6CA" w14:textId="77777777" w:rsidR="006220A2" w:rsidRPr="00C65D73" w:rsidRDefault="006220A2" w:rsidP="00A75530">
      <w:pPr>
        <w:spacing w:before="60"/>
        <w:ind w:left="284"/>
        <w:jc w:val="both"/>
        <w:rPr>
          <w:sz w:val="20"/>
        </w:rPr>
      </w:pPr>
      <w:r w:rsidRPr="00C65D73">
        <w:rPr>
          <w:sz w:val="20"/>
          <w:lang w:val="es-ES_tradnl"/>
        </w:rPr>
        <w:t>7.-</w:t>
      </w:r>
      <w:r w:rsidR="00841182">
        <w:rPr>
          <w:sz w:val="20"/>
          <w:lang w:val="es-ES_tradnl"/>
        </w:rPr>
        <w:t xml:space="preserve"> </w:t>
      </w:r>
      <w:r w:rsidRPr="00C65D73">
        <w:rPr>
          <w:sz w:val="20"/>
          <w:lang w:val="es-ES_tradnl"/>
        </w:rPr>
        <w:t>Islas a la vista (turismo de cruceros)</w:t>
      </w:r>
    </w:p>
    <w:p w14:paraId="5353F114" w14:textId="77777777" w:rsidR="006220A2" w:rsidRPr="00C65D73" w:rsidRDefault="006220A2" w:rsidP="00A75530">
      <w:pPr>
        <w:spacing w:before="60"/>
        <w:ind w:left="284"/>
        <w:jc w:val="both"/>
        <w:rPr>
          <w:sz w:val="20"/>
        </w:rPr>
      </w:pPr>
      <w:r w:rsidRPr="00C65D73">
        <w:rPr>
          <w:sz w:val="20"/>
          <w:lang w:val="es-ES_tradnl"/>
        </w:rPr>
        <w:t>8.-</w:t>
      </w:r>
      <w:r w:rsidR="00841182">
        <w:rPr>
          <w:sz w:val="20"/>
          <w:lang w:val="es-ES_tradnl"/>
        </w:rPr>
        <w:t xml:space="preserve"> </w:t>
      </w:r>
      <w:r w:rsidRPr="00C65D73">
        <w:rPr>
          <w:sz w:val="20"/>
          <w:lang w:val="es-ES_tradnl"/>
        </w:rPr>
        <w:t>Voy de Belingo (turismo interior)</w:t>
      </w:r>
    </w:p>
    <w:p w14:paraId="5654631B" w14:textId="77777777" w:rsidR="006220A2" w:rsidRPr="00C65D73" w:rsidRDefault="006220A2" w:rsidP="00A75530">
      <w:pPr>
        <w:spacing w:before="60"/>
        <w:ind w:left="284"/>
        <w:jc w:val="both"/>
        <w:rPr>
          <w:sz w:val="20"/>
        </w:rPr>
      </w:pPr>
      <w:r w:rsidRPr="00C65D73">
        <w:rPr>
          <w:sz w:val="20"/>
          <w:lang w:val="es-ES_tradnl"/>
        </w:rPr>
        <w:t>9.-</w:t>
      </w:r>
      <w:r w:rsidR="00841182">
        <w:rPr>
          <w:sz w:val="20"/>
          <w:lang w:val="es-ES_tradnl"/>
        </w:rPr>
        <w:t xml:space="preserve"> </w:t>
      </w:r>
      <w:r w:rsidRPr="00C65D73">
        <w:rPr>
          <w:sz w:val="20"/>
          <w:lang w:val="es-ES_tradnl"/>
        </w:rPr>
        <w:t>La energ</w:t>
      </w:r>
      <w:r w:rsidRPr="00C65D73">
        <w:rPr>
          <w:sz w:val="20"/>
        </w:rPr>
        <w:t>í</w:t>
      </w:r>
      <w:r w:rsidRPr="00C65D73">
        <w:rPr>
          <w:sz w:val="20"/>
          <w:lang w:val="es-ES_tradnl"/>
        </w:rPr>
        <w:t>a que te espera (turismo de espacios naturales)</w:t>
      </w:r>
    </w:p>
    <w:p w14:paraId="7E6AF0A6" w14:textId="77777777" w:rsidR="006220A2" w:rsidRPr="00C65D73" w:rsidRDefault="006220A2" w:rsidP="00A75530">
      <w:pPr>
        <w:spacing w:before="60"/>
        <w:ind w:left="284"/>
        <w:jc w:val="both"/>
        <w:rPr>
          <w:sz w:val="20"/>
        </w:rPr>
      </w:pPr>
      <w:r w:rsidRPr="00C65D73">
        <w:rPr>
          <w:sz w:val="20"/>
          <w:lang w:val="es-ES_tradnl"/>
        </w:rPr>
        <w:t>10.-</w:t>
      </w:r>
      <w:r w:rsidR="00841182">
        <w:rPr>
          <w:sz w:val="20"/>
          <w:lang w:val="es-ES_tradnl"/>
        </w:rPr>
        <w:t xml:space="preserve"> </w:t>
      </w:r>
      <w:r w:rsidRPr="00C65D73">
        <w:rPr>
          <w:sz w:val="20"/>
          <w:lang w:val="es-ES_tradnl"/>
        </w:rPr>
        <w:t>Senderos de verdad (turismo de espacios naturales / senderismo)</w:t>
      </w:r>
    </w:p>
    <w:p w14:paraId="679F1B72" w14:textId="77777777" w:rsidR="006220A2" w:rsidRPr="00C65D73" w:rsidRDefault="006220A2" w:rsidP="00A75530">
      <w:pPr>
        <w:spacing w:before="60"/>
        <w:ind w:left="284"/>
        <w:jc w:val="both"/>
        <w:rPr>
          <w:sz w:val="20"/>
        </w:rPr>
      </w:pPr>
      <w:r w:rsidRPr="00C65D73">
        <w:rPr>
          <w:sz w:val="20"/>
          <w:lang w:val="es-ES_tradnl"/>
        </w:rPr>
        <w:t>11.-</w:t>
      </w:r>
      <w:r w:rsidR="00841182">
        <w:rPr>
          <w:sz w:val="20"/>
          <w:lang w:val="es-ES_tradnl"/>
        </w:rPr>
        <w:t xml:space="preserve"> </w:t>
      </w:r>
      <w:r w:rsidRPr="00C65D73">
        <w:rPr>
          <w:sz w:val="20"/>
          <w:lang w:val="nl-NL"/>
        </w:rPr>
        <w:t>Open 365</w:t>
      </w:r>
      <w:r w:rsidRPr="00C65D73">
        <w:rPr>
          <w:sz w:val="20"/>
          <w:lang w:val="es-ES_tradnl"/>
        </w:rPr>
        <w:t xml:space="preserve"> (turismo activo / golf)</w:t>
      </w:r>
    </w:p>
    <w:p w14:paraId="5DECCA17" w14:textId="77777777" w:rsidR="006220A2" w:rsidRPr="00C65D73" w:rsidRDefault="006220A2" w:rsidP="00A75530">
      <w:pPr>
        <w:spacing w:before="60"/>
        <w:ind w:left="284"/>
        <w:jc w:val="both"/>
        <w:rPr>
          <w:sz w:val="20"/>
        </w:rPr>
      </w:pPr>
      <w:r w:rsidRPr="00C65D73">
        <w:rPr>
          <w:sz w:val="20"/>
          <w:lang w:val="es-ES_tradnl"/>
        </w:rPr>
        <w:t>12.-</w:t>
      </w:r>
      <w:r w:rsidR="00841182">
        <w:rPr>
          <w:sz w:val="20"/>
          <w:lang w:val="es-ES_tradnl"/>
        </w:rPr>
        <w:t xml:space="preserve"> </w:t>
      </w:r>
      <w:r w:rsidRPr="00C65D73">
        <w:rPr>
          <w:sz w:val="20"/>
        </w:rPr>
        <w:t>Inmersi</w:t>
      </w:r>
      <w:r w:rsidRPr="00C65D73">
        <w:rPr>
          <w:sz w:val="20"/>
          <w:lang w:val="es-ES_tradnl"/>
        </w:rPr>
        <w:t>ón en alta definició</w:t>
      </w:r>
      <w:r w:rsidRPr="00C65D73">
        <w:rPr>
          <w:sz w:val="20"/>
        </w:rPr>
        <w:t>n</w:t>
      </w:r>
      <w:r w:rsidRPr="00C65D73">
        <w:rPr>
          <w:sz w:val="20"/>
          <w:lang w:val="es-ES_tradnl"/>
        </w:rPr>
        <w:t xml:space="preserve"> (turismo activo / buceo)</w:t>
      </w:r>
    </w:p>
    <w:p w14:paraId="6011C0DA" w14:textId="77777777" w:rsidR="006220A2" w:rsidRPr="00C65D73" w:rsidRDefault="006220A2" w:rsidP="00A75530">
      <w:pPr>
        <w:spacing w:before="60"/>
        <w:ind w:left="284"/>
        <w:jc w:val="both"/>
        <w:rPr>
          <w:sz w:val="20"/>
        </w:rPr>
      </w:pPr>
      <w:r w:rsidRPr="00C65D73">
        <w:rPr>
          <w:sz w:val="20"/>
          <w:lang w:val="es-ES_tradnl"/>
        </w:rPr>
        <w:t>13.-</w:t>
      </w:r>
      <w:r w:rsidR="00841182">
        <w:rPr>
          <w:sz w:val="20"/>
          <w:lang w:val="es-ES_tradnl"/>
        </w:rPr>
        <w:t xml:space="preserve"> </w:t>
      </w:r>
      <w:r w:rsidRPr="00C65D73">
        <w:rPr>
          <w:sz w:val="20"/>
        </w:rPr>
        <w:t>The canary way of surf</w:t>
      </w:r>
      <w:r w:rsidRPr="00C65D73">
        <w:rPr>
          <w:sz w:val="20"/>
          <w:lang w:val="es-ES_tradnl"/>
        </w:rPr>
        <w:t xml:space="preserve"> (turismo activo / deportes de viento y olas)</w:t>
      </w:r>
    </w:p>
    <w:p w14:paraId="242045A3" w14:textId="77777777" w:rsidR="006220A2" w:rsidRPr="00C65D73" w:rsidRDefault="006220A2" w:rsidP="00A75530">
      <w:pPr>
        <w:spacing w:before="60"/>
        <w:ind w:left="284"/>
        <w:jc w:val="both"/>
        <w:rPr>
          <w:sz w:val="20"/>
        </w:rPr>
      </w:pPr>
      <w:r w:rsidRPr="00C65D73">
        <w:rPr>
          <w:sz w:val="20"/>
          <w:lang w:val="es-ES_tradnl"/>
        </w:rPr>
        <w:t>14.-</w:t>
      </w:r>
      <w:r w:rsidR="00841182">
        <w:rPr>
          <w:sz w:val="20"/>
          <w:lang w:val="es-ES_tradnl"/>
        </w:rPr>
        <w:t xml:space="preserve"> </w:t>
      </w:r>
      <w:r w:rsidRPr="00C65D73">
        <w:rPr>
          <w:sz w:val="20"/>
          <w:lang w:val="es-ES_tradnl"/>
        </w:rPr>
        <w:t>El mar de los alisios (turismo activo / navegación)</w:t>
      </w:r>
    </w:p>
    <w:p w14:paraId="051C3AE9" w14:textId="77777777" w:rsidR="006220A2" w:rsidRPr="00C65D73" w:rsidRDefault="006220A2" w:rsidP="00A75530">
      <w:pPr>
        <w:spacing w:before="60"/>
        <w:ind w:left="284"/>
        <w:jc w:val="both"/>
        <w:rPr>
          <w:sz w:val="20"/>
        </w:rPr>
      </w:pPr>
      <w:r w:rsidRPr="00C65D73">
        <w:rPr>
          <w:sz w:val="20"/>
          <w:lang w:val="es-ES_tradnl"/>
        </w:rPr>
        <w:t>15.-</w:t>
      </w:r>
      <w:r w:rsidR="00841182">
        <w:rPr>
          <w:sz w:val="20"/>
          <w:lang w:val="es-ES_tradnl"/>
        </w:rPr>
        <w:t xml:space="preserve"> </w:t>
      </w:r>
      <w:r w:rsidRPr="00C65D73">
        <w:rPr>
          <w:sz w:val="20"/>
          <w:lang w:val="it-IT"/>
        </w:rPr>
        <w:t xml:space="preserve">Blue marlin zone </w:t>
      </w:r>
      <w:r w:rsidRPr="00C65D73">
        <w:rPr>
          <w:sz w:val="20"/>
          <w:lang w:val="es-ES_tradnl"/>
        </w:rPr>
        <w:t>(turismo activo / pesca de altura)</w:t>
      </w:r>
    </w:p>
    <w:p w14:paraId="270CB511" w14:textId="77777777" w:rsidR="006220A2" w:rsidRPr="00C65D73" w:rsidRDefault="006220A2" w:rsidP="00A75530">
      <w:pPr>
        <w:spacing w:before="60"/>
        <w:ind w:left="284"/>
        <w:jc w:val="both"/>
        <w:rPr>
          <w:sz w:val="20"/>
        </w:rPr>
      </w:pPr>
      <w:r w:rsidRPr="00C65D73">
        <w:rPr>
          <w:sz w:val="20"/>
          <w:lang w:val="es-ES_tradnl"/>
        </w:rPr>
        <w:t>16.-</w:t>
      </w:r>
      <w:r w:rsidR="00841182">
        <w:rPr>
          <w:sz w:val="20"/>
          <w:lang w:val="es-ES_tradnl"/>
        </w:rPr>
        <w:t xml:space="preserve"> </w:t>
      </w:r>
      <w:r w:rsidRPr="00C65D73">
        <w:rPr>
          <w:sz w:val="20"/>
          <w:lang w:val="es-ES_tradnl"/>
        </w:rPr>
        <w:t>Reserva de la extremosfera (turismo activo / deportes en la naturaleza)</w:t>
      </w:r>
    </w:p>
    <w:p w14:paraId="2D8B1E66" w14:textId="77777777" w:rsidR="006220A2" w:rsidRPr="00C65D73" w:rsidRDefault="006220A2" w:rsidP="00A75530">
      <w:pPr>
        <w:spacing w:before="60"/>
        <w:ind w:left="284"/>
        <w:jc w:val="both"/>
        <w:rPr>
          <w:sz w:val="20"/>
        </w:rPr>
      </w:pPr>
      <w:r w:rsidRPr="00C65D73">
        <w:rPr>
          <w:sz w:val="20"/>
          <w:lang w:val="es-ES_tradnl"/>
        </w:rPr>
        <w:t>17.-</w:t>
      </w:r>
      <w:r w:rsidR="00841182">
        <w:rPr>
          <w:sz w:val="20"/>
          <w:lang w:val="es-ES_tradnl"/>
        </w:rPr>
        <w:t xml:space="preserve"> </w:t>
      </w:r>
      <w:r w:rsidRPr="00C65D73">
        <w:rPr>
          <w:sz w:val="20"/>
        </w:rPr>
        <w:t>T</w:t>
      </w:r>
      <w:r w:rsidRPr="00C65D73">
        <w:rPr>
          <w:sz w:val="20"/>
          <w:lang w:val="es-ES_tradnl"/>
        </w:rPr>
        <w:t>urismo cultural</w:t>
      </w:r>
    </w:p>
    <w:p w14:paraId="4D1A04FF" w14:textId="77777777" w:rsidR="006220A2" w:rsidRPr="00C65D73" w:rsidRDefault="006220A2" w:rsidP="006220A2">
      <w:pPr>
        <w:spacing w:before="120"/>
        <w:jc w:val="both"/>
        <w:rPr>
          <w:sz w:val="20"/>
        </w:rPr>
      </w:pPr>
      <w:r w:rsidRPr="00C65D73">
        <w:rPr>
          <w:sz w:val="20"/>
        </w:rPr>
        <w:t> </w:t>
      </w:r>
    </w:p>
    <w:p w14:paraId="7A3E9196" w14:textId="77777777" w:rsidR="006220A2" w:rsidRPr="00C65D73" w:rsidRDefault="006220A2" w:rsidP="006220A2">
      <w:pPr>
        <w:spacing w:before="120"/>
        <w:jc w:val="both"/>
        <w:rPr>
          <w:sz w:val="20"/>
        </w:rPr>
      </w:pPr>
      <w:r w:rsidRPr="00C65D73">
        <w:rPr>
          <w:sz w:val="20"/>
          <w:lang w:val="es-ES_tradnl"/>
        </w:rPr>
        <w:t xml:space="preserve">Cada plataforma, a partir de un concepto de comunicación diferenciado, se declina a partir de todo tipo de medios (propios, ganados y pagados), contenidos (audiovisuales, gráficos y redaccionales), acciones de comunicación, patrocinios, eventos y otras tipologías de actuaciones de comunicación. </w:t>
      </w:r>
    </w:p>
    <w:p w14:paraId="4D64175C" w14:textId="77777777" w:rsidR="006220A2" w:rsidRPr="00C65D73" w:rsidRDefault="006220A2" w:rsidP="006220A2">
      <w:pPr>
        <w:spacing w:before="120"/>
        <w:jc w:val="both"/>
        <w:rPr>
          <w:sz w:val="20"/>
        </w:rPr>
      </w:pPr>
      <w:r w:rsidRPr="00C65D73">
        <w:rPr>
          <w:sz w:val="20"/>
        </w:rPr>
        <w:t> </w:t>
      </w:r>
    </w:p>
    <w:p w14:paraId="13E1059B" w14:textId="77777777" w:rsidR="006220A2" w:rsidRPr="00C65D73" w:rsidRDefault="006220A2" w:rsidP="006220A2">
      <w:pPr>
        <w:spacing w:before="120"/>
        <w:jc w:val="both"/>
        <w:rPr>
          <w:sz w:val="20"/>
        </w:rPr>
      </w:pPr>
      <w:r w:rsidRPr="00C65D73">
        <w:rPr>
          <w:sz w:val="20"/>
          <w:lang w:val="es-ES_tradnl"/>
        </w:rPr>
        <w:t xml:space="preserve">Para 2019, se prevé que las actuaciones principales vinculadas a estas plataformas serán: </w:t>
      </w:r>
    </w:p>
    <w:p w14:paraId="3AA0D557" w14:textId="77777777" w:rsidR="006220A2" w:rsidRPr="00C65D73" w:rsidRDefault="006220A2" w:rsidP="00841182">
      <w:pPr>
        <w:spacing w:before="120"/>
        <w:ind w:left="284"/>
        <w:jc w:val="both"/>
        <w:rPr>
          <w:sz w:val="20"/>
        </w:rPr>
      </w:pPr>
      <w:r w:rsidRPr="00C65D73">
        <w:rPr>
          <w:sz w:val="20"/>
        </w:rPr>
        <w:t xml:space="preserve">- Campaña </w:t>
      </w:r>
      <w:r w:rsidRPr="00C65D73">
        <w:rPr>
          <w:sz w:val="20"/>
          <w:lang w:val="es-ES_tradnl"/>
        </w:rPr>
        <w:t>internacional (mercados clave) para invierno de la plataforma Vuelve a Brillar</w:t>
      </w:r>
    </w:p>
    <w:p w14:paraId="47252FC4" w14:textId="77777777" w:rsidR="006220A2" w:rsidRPr="00C65D73" w:rsidRDefault="006220A2" w:rsidP="00841182">
      <w:pPr>
        <w:spacing w:before="120"/>
        <w:ind w:left="284"/>
        <w:jc w:val="both"/>
        <w:rPr>
          <w:sz w:val="20"/>
        </w:rPr>
      </w:pPr>
      <w:r w:rsidRPr="00C65D73">
        <w:rPr>
          <w:sz w:val="20"/>
          <w:lang w:val="es-ES_tradnl"/>
        </w:rPr>
        <w:t>- Campaña internacional para verano (mercados clave) de la plataforma Vuelve a Brillar</w:t>
      </w:r>
    </w:p>
    <w:p w14:paraId="78A63EC7" w14:textId="77777777" w:rsidR="006220A2" w:rsidRPr="00C65D73" w:rsidRDefault="006220A2" w:rsidP="00841182">
      <w:pPr>
        <w:spacing w:before="120"/>
        <w:ind w:left="284"/>
        <w:jc w:val="both"/>
        <w:rPr>
          <w:sz w:val="20"/>
        </w:rPr>
      </w:pPr>
      <w:r w:rsidRPr="00C65D73">
        <w:rPr>
          <w:sz w:val="20"/>
          <w:lang w:val="es-ES_tradnl"/>
        </w:rPr>
        <w:t>- Campañas always on en Google, Facebook, Instagram y Youtube para todas las plataformas</w:t>
      </w:r>
    </w:p>
    <w:p w14:paraId="1CC34A90" w14:textId="77777777" w:rsidR="006220A2" w:rsidRPr="00C65D73" w:rsidRDefault="006220A2" w:rsidP="00841182">
      <w:pPr>
        <w:spacing w:before="120"/>
        <w:ind w:left="284"/>
        <w:jc w:val="both"/>
        <w:rPr>
          <w:sz w:val="20"/>
        </w:rPr>
      </w:pPr>
      <w:r w:rsidRPr="00C65D73">
        <w:rPr>
          <w:sz w:val="20"/>
          <w:lang w:val="es-ES_tradnl"/>
        </w:rPr>
        <w:t>- Nuevo site y contenidos plataforma turismo cultural</w:t>
      </w:r>
    </w:p>
    <w:p w14:paraId="0B1029F1" w14:textId="77777777" w:rsidR="006220A2" w:rsidRPr="00C65D73" w:rsidRDefault="006220A2" w:rsidP="00841182">
      <w:pPr>
        <w:spacing w:before="120"/>
        <w:ind w:left="284"/>
        <w:jc w:val="both"/>
        <w:rPr>
          <w:sz w:val="20"/>
        </w:rPr>
      </w:pPr>
      <w:r w:rsidRPr="00C65D73">
        <w:rPr>
          <w:sz w:val="20"/>
          <w:lang w:val="es-ES_tradnl"/>
        </w:rPr>
        <w:t>- Actualización y mejora de contenidos en todas las plataformas</w:t>
      </w:r>
    </w:p>
    <w:p w14:paraId="0625BBCD" w14:textId="77777777" w:rsidR="006220A2" w:rsidRPr="00C65D73" w:rsidRDefault="006220A2" w:rsidP="006220A2">
      <w:pPr>
        <w:spacing w:before="120"/>
        <w:jc w:val="both"/>
        <w:rPr>
          <w:sz w:val="20"/>
        </w:rPr>
      </w:pPr>
      <w:r w:rsidRPr="00C65D73">
        <w:rPr>
          <w:sz w:val="20"/>
        </w:rPr>
        <w:t> </w:t>
      </w:r>
    </w:p>
    <w:p w14:paraId="70A25241" w14:textId="77777777" w:rsidR="006220A2" w:rsidRPr="00C65D73" w:rsidRDefault="006220A2" w:rsidP="006220A2">
      <w:pPr>
        <w:spacing w:before="120"/>
        <w:jc w:val="both"/>
        <w:rPr>
          <w:sz w:val="20"/>
        </w:rPr>
      </w:pPr>
      <w:r w:rsidRPr="00C65D73">
        <w:rPr>
          <w:sz w:val="20"/>
          <w:u w:val="single"/>
          <w:lang w:val="es-ES_tradnl"/>
        </w:rPr>
        <w:t>Programa de comunicación profesional</w:t>
      </w:r>
    </w:p>
    <w:p w14:paraId="1E3A7CF4" w14:textId="77777777" w:rsidR="006220A2" w:rsidRPr="00C65D73" w:rsidRDefault="006220A2" w:rsidP="006220A2">
      <w:pPr>
        <w:spacing w:before="120"/>
        <w:jc w:val="both"/>
        <w:rPr>
          <w:sz w:val="20"/>
        </w:rPr>
      </w:pPr>
      <w:r w:rsidRPr="00C65D73">
        <w:rPr>
          <w:sz w:val="20"/>
          <w:lang w:val="es-ES_tradnl"/>
        </w:rPr>
        <w:t xml:space="preserve">El programa de comunicación profesional integra todas las actuaciones a desarrollar dirigidas a promover las Islas Canarias como conjunto de destinos turísticos entre el público profesional del sector turístico, tanto local como internacional. Este programa se estructura a través de plataformas de comunicación, a su vez compuestas por medios, contenidos, acciones de comunicación, patrocinios, eventos y otras tipologías de actuaciones de comunicación. </w:t>
      </w:r>
    </w:p>
    <w:p w14:paraId="44D86180" w14:textId="77777777" w:rsidR="006220A2" w:rsidRPr="00C65D73" w:rsidRDefault="006220A2" w:rsidP="006220A2">
      <w:pPr>
        <w:spacing w:before="120"/>
        <w:jc w:val="both"/>
        <w:rPr>
          <w:sz w:val="20"/>
        </w:rPr>
      </w:pPr>
      <w:r w:rsidRPr="00C65D73">
        <w:rPr>
          <w:b/>
          <w:bCs/>
          <w:sz w:val="20"/>
        </w:rPr>
        <w:t> </w:t>
      </w:r>
    </w:p>
    <w:p w14:paraId="3C214291" w14:textId="77777777" w:rsidR="006220A2" w:rsidRPr="00C65D73" w:rsidRDefault="006220A2" w:rsidP="006220A2">
      <w:pPr>
        <w:spacing w:before="120"/>
        <w:jc w:val="both"/>
        <w:rPr>
          <w:sz w:val="20"/>
        </w:rPr>
      </w:pPr>
      <w:r w:rsidRPr="00C65D73">
        <w:rPr>
          <w:sz w:val="20"/>
          <w:lang w:val="es-ES_tradnl"/>
        </w:rPr>
        <w:t xml:space="preserve">Para 2019, las plataformas de comunicación profesional previstas son: </w:t>
      </w:r>
    </w:p>
    <w:p w14:paraId="63039110" w14:textId="77777777" w:rsidR="006220A2" w:rsidRPr="00841182" w:rsidRDefault="006220A2" w:rsidP="00841182">
      <w:pPr>
        <w:spacing w:before="120"/>
        <w:ind w:left="284"/>
        <w:jc w:val="both"/>
        <w:rPr>
          <w:sz w:val="20"/>
          <w:lang w:val="es-ES_tradnl"/>
        </w:rPr>
      </w:pPr>
      <w:r w:rsidRPr="00841182">
        <w:rPr>
          <w:sz w:val="20"/>
          <w:lang w:val="es-ES_tradnl"/>
        </w:rPr>
        <w:t xml:space="preserve">- </w:t>
      </w:r>
      <w:r w:rsidRPr="00C65D73">
        <w:rPr>
          <w:sz w:val="20"/>
          <w:lang w:val="es-ES_tradnl"/>
        </w:rPr>
        <w:t>Plataforma de comunicación profesional genérica</w:t>
      </w:r>
    </w:p>
    <w:p w14:paraId="1AE0EB3B" w14:textId="77777777" w:rsidR="006220A2" w:rsidRPr="00841182" w:rsidRDefault="006220A2" w:rsidP="00841182">
      <w:pPr>
        <w:spacing w:before="120"/>
        <w:ind w:left="284"/>
        <w:jc w:val="both"/>
        <w:rPr>
          <w:sz w:val="20"/>
          <w:lang w:val="es-ES_tradnl"/>
        </w:rPr>
      </w:pPr>
      <w:r w:rsidRPr="00841182">
        <w:rPr>
          <w:sz w:val="20"/>
          <w:lang w:val="es-ES_tradnl"/>
        </w:rPr>
        <w:t xml:space="preserve">- </w:t>
      </w:r>
      <w:r w:rsidRPr="00C65D73">
        <w:rPr>
          <w:sz w:val="20"/>
          <w:lang w:val="es-ES_tradnl"/>
        </w:rPr>
        <w:t xml:space="preserve">Plataforma de turismo MICE </w:t>
      </w:r>
    </w:p>
    <w:p w14:paraId="41ACF6CC" w14:textId="77777777" w:rsidR="006220A2" w:rsidRPr="00841182" w:rsidRDefault="006220A2" w:rsidP="00841182">
      <w:pPr>
        <w:spacing w:before="120"/>
        <w:ind w:left="284"/>
        <w:jc w:val="both"/>
        <w:rPr>
          <w:sz w:val="20"/>
          <w:lang w:val="es-ES_tradnl"/>
        </w:rPr>
      </w:pPr>
      <w:r w:rsidRPr="00841182">
        <w:rPr>
          <w:sz w:val="20"/>
          <w:lang w:val="es-ES_tradnl"/>
        </w:rPr>
        <w:t xml:space="preserve">- </w:t>
      </w:r>
      <w:r w:rsidRPr="00C65D73">
        <w:rPr>
          <w:sz w:val="20"/>
          <w:lang w:val="es-ES_tradnl"/>
        </w:rPr>
        <w:t>Plataforma de turismo deportivo</w:t>
      </w:r>
    </w:p>
    <w:p w14:paraId="2384CB13" w14:textId="77777777" w:rsidR="006220A2" w:rsidRPr="00C65D73" w:rsidRDefault="006220A2" w:rsidP="006220A2">
      <w:pPr>
        <w:spacing w:before="120"/>
        <w:jc w:val="both"/>
        <w:rPr>
          <w:sz w:val="20"/>
        </w:rPr>
      </w:pPr>
      <w:r w:rsidRPr="00C65D73">
        <w:rPr>
          <w:sz w:val="20"/>
        </w:rPr>
        <w:t> </w:t>
      </w:r>
    </w:p>
    <w:p w14:paraId="386F5F03" w14:textId="77777777" w:rsidR="006220A2" w:rsidRPr="00C65D73" w:rsidRDefault="006220A2" w:rsidP="006220A2">
      <w:pPr>
        <w:spacing w:before="120"/>
        <w:jc w:val="both"/>
        <w:rPr>
          <w:sz w:val="20"/>
        </w:rPr>
      </w:pPr>
      <w:r w:rsidRPr="00C65D73">
        <w:rPr>
          <w:sz w:val="20"/>
          <w:lang w:val="es-ES_tradnl"/>
        </w:rPr>
        <w:t xml:space="preserve">Para 2019, se prevé que las actuaciones principales vinculadas a estas plataformas serán: </w:t>
      </w:r>
    </w:p>
    <w:p w14:paraId="239CB807" w14:textId="77777777" w:rsidR="006220A2" w:rsidRPr="00841182" w:rsidRDefault="006220A2" w:rsidP="00841182">
      <w:pPr>
        <w:spacing w:before="120"/>
        <w:ind w:left="426" w:hanging="142"/>
        <w:jc w:val="both"/>
        <w:rPr>
          <w:sz w:val="20"/>
          <w:lang w:val="es-ES_tradnl"/>
        </w:rPr>
      </w:pPr>
      <w:r w:rsidRPr="00841182">
        <w:rPr>
          <w:sz w:val="20"/>
          <w:lang w:val="es-ES_tradnl"/>
        </w:rPr>
        <w:t xml:space="preserve">- </w:t>
      </w:r>
      <w:r w:rsidRPr="00C65D73">
        <w:rPr>
          <w:sz w:val="20"/>
          <w:lang w:val="es-ES_tradnl"/>
        </w:rPr>
        <w:t>Participación en Fitur, ITB, WTM y otras ferias turísticas</w:t>
      </w:r>
    </w:p>
    <w:p w14:paraId="4E4CB863" w14:textId="77777777" w:rsidR="006220A2" w:rsidRPr="00841182" w:rsidRDefault="006220A2" w:rsidP="00841182">
      <w:pPr>
        <w:spacing w:before="120"/>
        <w:ind w:left="426" w:hanging="142"/>
        <w:jc w:val="both"/>
        <w:rPr>
          <w:sz w:val="20"/>
          <w:lang w:val="es-ES_tradnl"/>
        </w:rPr>
      </w:pPr>
      <w:r w:rsidRPr="00C65D73">
        <w:rPr>
          <w:sz w:val="20"/>
          <w:lang w:val="es-ES_tradnl"/>
        </w:rPr>
        <w:t xml:space="preserve">- Potenciación de contenidos especializados, especialmente a través de la web profesional </w:t>
      </w:r>
      <w:r w:rsidRPr="00841182">
        <w:rPr>
          <w:sz w:val="20"/>
          <w:lang w:val="es-ES_tradnl"/>
        </w:rPr>
        <w:t>turismodeislascanarias.com</w:t>
      </w:r>
    </w:p>
    <w:p w14:paraId="704A919E" w14:textId="77777777" w:rsidR="006220A2" w:rsidRPr="00841182" w:rsidRDefault="006220A2" w:rsidP="00841182">
      <w:pPr>
        <w:spacing w:before="120"/>
        <w:ind w:left="426" w:hanging="142"/>
        <w:jc w:val="both"/>
        <w:rPr>
          <w:sz w:val="20"/>
          <w:lang w:val="es-ES_tradnl"/>
        </w:rPr>
      </w:pPr>
      <w:r w:rsidRPr="00C65D73">
        <w:rPr>
          <w:sz w:val="20"/>
          <w:lang w:val="es-ES_tradnl"/>
        </w:rPr>
        <w:t xml:space="preserve">- Potenciación de los sites </w:t>
      </w:r>
      <w:r w:rsidRPr="00841182">
        <w:rPr>
          <w:sz w:val="20"/>
          <w:lang w:val="es-ES_tradnl"/>
        </w:rPr>
        <w:t>regresarcomonuevo.com</w:t>
      </w:r>
      <w:r w:rsidRPr="00C65D73">
        <w:rPr>
          <w:sz w:val="20"/>
          <w:lang w:val="es-ES_tradnl"/>
        </w:rPr>
        <w:t xml:space="preserve"> (turismo MICE) y </w:t>
      </w:r>
      <w:r w:rsidRPr="00841182">
        <w:rPr>
          <w:sz w:val="20"/>
          <w:lang w:val="es-ES_tradnl"/>
        </w:rPr>
        <w:t>trainingnonstop.com</w:t>
      </w:r>
      <w:r w:rsidRPr="00C65D73">
        <w:rPr>
          <w:sz w:val="20"/>
          <w:lang w:val="es-ES_tradnl"/>
        </w:rPr>
        <w:t xml:space="preserve"> (turismo deportivo)</w:t>
      </w:r>
    </w:p>
    <w:p w14:paraId="77C14A90" w14:textId="77777777" w:rsidR="006220A2" w:rsidRPr="00841182" w:rsidRDefault="006220A2" w:rsidP="00841182">
      <w:pPr>
        <w:spacing w:before="120"/>
        <w:ind w:left="426" w:hanging="142"/>
        <w:jc w:val="both"/>
        <w:rPr>
          <w:sz w:val="20"/>
          <w:lang w:val="es-ES_tradnl"/>
        </w:rPr>
      </w:pPr>
      <w:r w:rsidRPr="00C65D73">
        <w:rPr>
          <w:sz w:val="20"/>
          <w:lang w:val="es-ES_tradnl"/>
        </w:rPr>
        <w:t>- Fomento del Club de Marketing Turístico de las Islas Canarias</w:t>
      </w:r>
    </w:p>
    <w:p w14:paraId="4D56735E" w14:textId="77777777" w:rsidR="006220A2" w:rsidRPr="00C65D73" w:rsidRDefault="006220A2" w:rsidP="006220A2">
      <w:pPr>
        <w:spacing w:before="120"/>
        <w:jc w:val="both"/>
        <w:rPr>
          <w:sz w:val="20"/>
        </w:rPr>
      </w:pPr>
      <w:r w:rsidRPr="00C65D73">
        <w:rPr>
          <w:sz w:val="20"/>
        </w:rPr>
        <w:t> </w:t>
      </w:r>
    </w:p>
    <w:p w14:paraId="0894BD23" w14:textId="77777777" w:rsidR="006220A2" w:rsidRPr="00C65D73" w:rsidRDefault="006220A2" w:rsidP="00345D0E">
      <w:pPr>
        <w:keepNext/>
        <w:keepLines/>
        <w:widowControl w:val="0"/>
        <w:spacing w:before="120"/>
        <w:jc w:val="both"/>
        <w:rPr>
          <w:sz w:val="20"/>
        </w:rPr>
      </w:pPr>
      <w:r w:rsidRPr="00C65D73">
        <w:rPr>
          <w:sz w:val="20"/>
          <w:u w:val="single"/>
          <w:lang w:val="es-ES_tradnl"/>
        </w:rPr>
        <w:t>Programa de conectividad</w:t>
      </w:r>
    </w:p>
    <w:p w14:paraId="4D288EFA" w14:textId="77777777" w:rsidR="006220A2" w:rsidRPr="00C65D73" w:rsidRDefault="006220A2" w:rsidP="00345D0E">
      <w:pPr>
        <w:keepNext/>
        <w:keepLines/>
        <w:widowControl w:val="0"/>
        <w:spacing w:before="120"/>
        <w:jc w:val="both"/>
        <w:rPr>
          <w:sz w:val="20"/>
        </w:rPr>
      </w:pPr>
      <w:r w:rsidRPr="00C65D73">
        <w:rPr>
          <w:sz w:val="20"/>
          <w:lang w:val="es-ES_tradnl"/>
        </w:rPr>
        <w:t>Para 2019, el programa de conectividad contempla dar continuidad al impulso continuo para mejora de la conectividad aérea de las Islas con sus distintos mercados meta turísticos a través de la gestión de la convocatoria abierta del Fondo de Desarrollo de Vuelos de Canarias, la promoción de las ventajas que ofrecen las islas a las compañías áreas y en general a la industria aeron</w:t>
      </w:r>
      <w:r w:rsidRPr="00C65D73">
        <w:rPr>
          <w:sz w:val="20"/>
        </w:rPr>
        <w:t>á</w:t>
      </w:r>
      <w:r w:rsidRPr="00C65D73">
        <w:rPr>
          <w:sz w:val="20"/>
          <w:lang w:val="it-IT"/>
        </w:rPr>
        <w:t xml:space="preserve">utica </w:t>
      </w:r>
      <w:r w:rsidRPr="00C65D73">
        <w:rPr>
          <w:sz w:val="20"/>
          <w:lang w:val="es-ES_tradnl"/>
        </w:rPr>
        <w:t xml:space="preserve">a través de encuentros profesionales, participación en ferias y foros especializados e interlocución con Aena y el gobierno de España. </w:t>
      </w:r>
    </w:p>
    <w:p w14:paraId="2801ED8E" w14:textId="77777777" w:rsidR="006220A2" w:rsidRPr="00C65D73" w:rsidRDefault="006220A2" w:rsidP="006220A2">
      <w:pPr>
        <w:spacing w:before="120"/>
        <w:jc w:val="both"/>
        <w:rPr>
          <w:sz w:val="20"/>
        </w:rPr>
      </w:pPr>
      <w:r w:rsidRPr="00C65D73">
        <w:rPr>
          <w:sz w:val="20"/>
        </w:rPr>
        <w:t> </w:t>
      </w:r>
    </w:p>
    <w:p w14:paraId="6D03272A" w14:textId="77777777" w:rsidR="006220A2" w:rsidRPr="00C65D73" w:rsidRDefault="006220A2" w:rsidP="00A30AB8">
      <w:pPr>
        <w:keepNext/>
        <w:keepLines/>
        <w:spacing w:before="120"/>
        <w:jc w:val="both"/>
        <w:rPr>
          <w:sz w:val="20"/>
        </w:rPr>
      </w:pPr>
      <w:r w:rsidRPr="00C65D73">
        <w:rPr>
          <w:sz w:val="20"/>
          <w:u w:val="single"/>
          <w:lang w:val="es-ES_tradnl"/>
        </w:rPr>
        <w:t xml:space="preserve">Programa de fidelización y prescripción </w:t>
      </w:r>
    </w:p>
    <w:p w14:paraId="2D027A82" w14:textId="77777777" w:rsidR="006220A2" w:rsidRPr="00C65D73" w:rsidRDefault="006220A2" w:rsidP="00A30AB8">
      <w:pPr>
        <w:keepNext/>
        <w:keepLines/>
        <w:spacing w:before="120"/>
        <w:jc w:val="both"/>
        <w:rPr>
          <w:sz w:val="20"/>
        </w:rPr>
      </w:pPr>
      <w:r w:rsidRPr="00C65D73">
        <w:rPr>
          <w:sz w:val="20"/>
          <w:lang w:val="es-ES_tradnl"/>
        </w:rPr>
        <w:t>El programa de fidelización contempla para 2019 el desarrollo de su sistema de gestión de clientes (CRM) orientado a la comunicación directa y personalizada con los turistas antes, durante y después del viaje para promover la repetición y activar su poder de prescripció</w:t>
      </w:r>
      <w:r w:rsidRPr="00C65D73">
        <w:rPr>
          <w:sz w:val="20"/>
        </w:rPr>
        <w:t xml:space="preserve">n a </w:t>
      </w:r>
      <w:r w:rsidRPr="00C65D73">
        <w:rPr>
          <w:sz w:val="20"/>
          <w:lang w:val="es-ES_tradnl"/>
        </w:rPr>
        <w:t xml:space="preserve">amigos, familiares y contactos sociales. </w:t>
      </w:r>
    </w:p>
    <w:p w14:paraId="532297A1" w14:textId="77777777" w:rsidR="006220A2" w:rsidRPr="00C65D73" w:rsidRDefault="006220A2" w:rsidP="006220A2">
      <w:pPr>
        <w:spacing w:before="120"/>
        <w:jc w:val="both"/>
        <w:rPr>
          <w:sz w:val="20"/>
        </w:rPr>
      </w:pPr>
      <w:r w:rsidRPr="00C65D73">
        <w:rPr>
          <w:sz w:val="20"/>
        </w:rPr>
        <w:t> </w:t>
      </w:r>
    </w:p>
    <w:p w14:paraId="711FE37C" w14:textId="77777777" w:rsidR="006220A2" w:rsidRPr="00C65D73" w:rsidRDefault="006220A2" w:rsidP="006220A2">
      <w:pPr>
        <w:spacing w:before="120"/>
        <w:jc w:val="both"/>
        <w:rPr>
          <w:sz w:val="20"/>
        </w:rPr>
      </w:pPr>
      <w:r w:rsidRPr="00C65D73">
        <w:rPr>
          <w:sz w:val="20"/>
        </w:rPr>
        <w:t>Para 2019, se contemplan las siguientes acciones principales:</w:t>
      </w:r>
    </w:p>
    <w:p w14:paraId="6F6710BE" w14:textId="77777777" w:rsidR="006220A2" w:rsidRPr="00C65D73" w:rsidRDefault="006220A2" w:rsidP="00841182">
      <w:pPr>
        <w:spacing w:before="120"/>
        <w:ind w:left="284"/>
        <w:jc w:val="both"/>
        <w:rPr>
          <w:sz w:val="20"/>
        </w:rPr>
      </w:pPr>
      <w:r w:rsidRPr="00C65D73">
        <w:rPr>
          <w:sz w:val="20"/>
        </w:rPr>
        <w:t>- Campaña de captación de leads en destino</w:t>
      </w:r>
    </w:p>
    <w:p w14:paraId="5FFA3D3C" w14:textId="77777777" w:rsidR="006220A2" w:rsidRPr="00C65D73" w:rsidRDefault="006220A2" w:rsidP="00841182">
      <w:pPr>
        <w:spacing w:before="120"/>
        <w:ind w:left="284"/>
        <w:jc w:val="both"/>
        <w:rPr>
          <w:sz w:val="20"/>
        </w:rPr>
      </w:pPr>
      <w:r w:rsidRPr="00C65D73">
        <w:rPr>
          <w:sz w:val="20"/>
        </w:rPr>
        <w:t>- Campaña internacional de captación de leads en origen</w:t>
      </w:r>
    </w:p>
    <w:p w14:paraId="1E0C1C83" w14:textId="77777777" w:rsidR="006220A2" w:rsidRPr="00C65D73" w:rsidRDefault="006220A2" w:rsidP="00841182">
      <w:pPr>
        <w:spacing w:before="120"/>
        <w:ind w:left="284"/>
        <w:jc w:val="both"/>
        <w:rPr>
          <w:sz w:val="20"/>
        </w:rPr>
      </w:pPr>
      <w:r w:rsidRPr="00C65D73">
        <w:rPr>
          <w:sz w:val="20"/>
        </w:rPr>
        <w:t>- Envío de correos electrónicos personalizados y segmentados por motivaciones e intereses</w:t>
      </w:r>
    </w:p>
    <w:p w14:paraId="51AE8EC7" w14:textId="77777777" w:rsidR="006220A2" w:rsidRPr="00C65D73" w:rsidRDefault="006220A2" w:rsidP="00841182">
      <w:pPr>
        <w:spacing w:before="120"/>
        <w:ind w:left="284"/>
        <w:jc w:val="both"/>
        <w:rPr>
          <w:sz w:val="20"/>
        </w:rPr>
      </w:pPr>
      <w:r w:rsidRPr="00C65D73">
        <w:rPr>
          <w:sz w:val="20"/>
        </w:rPr>
        <w:t>- Programa de cooperación</w:t>
      </w:r>
    </w:p>
    <w:p w14:paraId="30A8432F" w14:textId="77777777" w:rsidR="006220A2" w:rsidRPr="00C65D73" w:rsidRDefault="006220A2" w:rsidP="006220A2">
      <w:pPr>
        <w:spacing w:before="120"/>
        <w:jc w:val="both"/>
        <w:rPr>
          <w:sz w:val="20"/>
        </w:rPr>
      </w:pPr>
      <w:r w:rsidRPr="00C65D73">
        <w:rPr>
          <w:sz w:val="20"/>
        </w:rPr>
        <w:t> </w:t>
      </w:r>
    </w:p>
    <w:p w14:paraId="42262237" w14:textId="77777777" w:rsidR="006220A2" w:rsidRPr="00C65D73" w:rsidRDefault="006220A2" w:rsidP="006220A2">
      <w:pPr>
        <w:spacing w:before="120"/>
        <w:jc w:val="both"/>
        <w:rPr>
          <w:sz w:val="20"/>
        </w:rPr>
      </w:pPr>
      <w:r w:rsidRPr="00C65D73">
        <w:rPr>
          <w:sz w:val="20"/>
          <w:u w:val="single"/>
          <w:lang w:val="es-ES_tradnl"/>
        </w:rPr>
        <w:t>Programa de cooperación</w:t>
      </w:r>
    </w:p>
    <w:p w14:paraId="4BFB5E0A" w14:textId="77777777" w:rsidR="006220A2" w:rsidRPr="00C65D73" w:rsidRDefault="006220A2" w:rsidP="006220A2">
      <w:pPr>
        <w:spacing w:before="120"/>
        <w:jc w:val="both"/>
        <w:rPr>
          <w:sz w:val="20"/>
        </w:rPr>
      </w:pPr>
      <w:r w:rsidRPr="00C65D73">
        <w:rPr>
          <w:sz w:val="20"/>
          <w:lang w:val="es-ES_tradnl"/>
        </w:rPr>
        <w:t xml:space="preserve">El programa de cooperación está dirigido a la gestión de las líneas de colaboración con las </w:t>
      </w:r>
      <w:r w:rsidRPr="00C65D73">
        <w:rPr>
          <w:sz w:val="20"/>
          <w:lang w:val="pt-PT"/>
        </w:rPr>
        <w:t>distintas entidades de promoci</w:t>
      </w:r>
      <w:r w:rsidRPr="00C65D73">
        <w:rPr>
          <w:sz w:val="20"/>
          <w:lang w:val="es-ES_tradnl"/>
        </w:rPr>
        <w:t>ó</w:t>
      </w:r>
      <w:r w:rsidRPr="00C65D73">
        <w:rPr>
          <w:sz w:val="20"/>
        </w:rPr>
        <w:t>n turí</w:t>
      </w:r>
      <w:r w:rsidRPr="00C65D73">
        <w:rPr>
          <w:sz w:val="20"/>
          <w:lang w:val="es-ES_tradnl"/>
        </w:rPr>
        <w:t>stica de las islas y otras instituciones y organizaciones. Para 2019, el programa contempla como principal línea de actuación la gestión de los Convenios Insulares de Colaboració</w:t>
      </w:r>
      <w:r w:rsidRPr="00C65D73">
        <w:rPr>
          <w:sz w:val="20"/>
        </w:rPr>
        <w:t>n</w:t>
      </w:r>
      <w:r w:rsidRPr="00C65D73">
        <w:rPr>
          <w:sz w:val="20"/>
          <w:lang w:val="es-ES_tradnl"/>
        </w:rPr>
        <w:t xml:space="preserve"> suscritos con las entidades insulares de promoción turística dependientes de los distintos cabildos insulares. En el marco de estos convenios se desarrollarán acciones conjuntas en aquellos mercados, consolidados o emergentes, de especial inter</w:t>
      </w:r>
      <w:r w:rsidRPr="00C65D73">
        <w:rPr>
          <w:sz w:val="20"/>
          <w:lang w:val="fr-FR"/>
        </w:rPr>
        <w:t>é</w:t>
      </w:r>
      <w:r w:rsidRPr="00C65D73">
        <w:rPr>
          <w:sz w:val="20"/>
          <w:lang w:val="es-ES_tradnl"/>
        </w:rPr>
        <w:t xml:space="preserve">s en cada caso. </w:t>
      </w:r>
    </w:p>
    <w:p w14:paraId="0553791B" w14:textId="77777777" w:rsidR="006220A2" w:rsidRPr="00C65D73" w:rsidRDefault="006220A2" w:rsidP="006220A2">
      <w:pPr>
        <w:spacing w:before="120"/>
        <w:jc w:val="both"/>
        <w:rPr>
          <w:sz w:val="20"/>
        </w:rPr>
      </w:pPr>
      <w:r w:rsidRPr="00C65D73">
        <w:rPr>
          <w:sz w:val="20"/>
        </w:rPr>
        <w:t> </w:t>
      </w:r>
    </w:p>
    <w:p w14:paraId="6E59C19E" w14:textId="77777777" w:rsidR="006220A2" w:rsidRPr="00C65D73" w:rsidRDefault="006220A2" w:rsidP="006220A2">
      <w:pPr>
        <w:spacing w:before="120"/>
        <w:jc w:val="both"/>
        <w:rPr>
          <w:sz w:val="20"/>
        </w:rPr>
      </w:pPr>
      <w:r w:rsidRPr="00C65D73">
        <w:rPr>
          <w:sz w:val="20"/>
          <w:lang w:val="es-ES_tradnl"/>
        </w:rPr>
        <w:t xml:space="preserve">Otras acciones serán: </w:t>
      </w:r>
    </w:p>
    <w:p w14:paraId="0465CF2D" w14:textId="77777777" w:rsidR="006220A2" w:rsidRPr="00C65D73" w:rsidRDefault="006220A2" w:rsidP="00841182">
      <w:pPr>
        <w:spacing w:before="120"/>
        <w:ind w:left="426" w:hanging="142"/>
        <w:jc w:val="both"/>
        <w:rPr>
          <w:sz w:val="20"/>
        </w:rPr>
      </w:pPr>
      <w:r w:rsidRPr="00C65D73">
        <w:rPr>
          <w:sz w:val="20"/>
        </w:rPr>
        <w:t xml:space="preserve">- Acciones de </w:t>
      </w:r>
      <w:r w:rsidRPr="00C65D73">
        <w:rPr>
          <w:sz w:val="20"/>
          <w:lang w:val="es-ES_tradnl"/>
        </w:rPr>
        <w:t xml:space="preserve">co-branding con turoperadores, grandes grupos de agencias de viajes, </w:t>
      </w:r>
      <w:r w:rsidRPr="00C65D73">
        <w:rPr>
          <w:sz w:val="20"/>
          <w:lang w:val="it-IT"/>
        </w:rPr>
        <w:t>compa</w:t>
      </w:r>
      <w:r w:rsidRPr="00C65D73">
        <w:rPr>
          <w:sz w:val="20"/>
          <w:lang w:val="es-ES_tradnl"/>
        </w:rPr>
        <w:t>ñí</w:t>
      </w:r>
      <w:r w:rsidRPr="00C65D73">
        <w:rPr>
          <w:sz w:val="20"/>
          <w:lang w:val="pt-PT"/>
        </w:rPr>
        <w:t>as a</w:t>
      </w:r>
      <w:r w:rsidRPr="00C65D73">
        <w:rPr>
          <w:sz w:val="20"/>
          <w:lang w:val="fr-FR"/>
        </w:rPr>
        <w:t>é</w:t>
      </w:r>
      <w:r w:rsidRPr="00C65D73">
        <w:rPr>
          <w:sz w:val="20"/>
        </w:rPr>
        <w:t xml:space="preserve">reas </w:t>
      </w:r>
      <w:r w:rsidRPr="00C65D73">
        <w:rPr>
          <w:sz w:val="20"/>
          <w:lang w:val="es-ES_tradnl"/>
        </w:rPr>
        <w:t>y marcas de alta notoriedad en los mercados meta.</w:t>
      </w:r>
    </w:p>
    <w:p w14:paraId="50C99FBA" w14:textId="77777777" w:rsidR="006220A2" w:rsidRPr="00C65D73" w:rsidRDefault="006220A2" w:rsidP="00841182">
      <w:pPr>
        <w:spacing w:before="120"/>
        <w:ind w:left="426" w:hanging="142"/>
        <w:jc w:val="both"/>
        <w:rPr>
          <w:sz w:val="20"/>
        </w:rPr>
      </w:pPr>
      <w:r w:rsidRPr="00C65D73">
        <w:rPr>
          <w:sz w:val="20"/>
          <w:lang w:val="es-ES_tradnl"/>
        </w:rPr>
        <w:t xml:space="preserve">- Patrocinio de </w:t>
      </w:r>
      <w:r w:rsidRPr="00C65D73">
        <w:rPr>
          <w:sz w:val="20"/>
          <w:lang w:val="pt-PT"/>
        </w:rPr>
        <w:t>eventos de diversas caracter</w:t>
      </w:r>
      <w:r w:rsidRPr="00C65D73">
        <w:rPr>
          <w:sz w:val="20"/>
        </w:rPr>
        <w:t>í</w:t>
      </w:r>
      <w:r w:rsidRPr="00C65D73">
        <w:rPr>
          <w:sz w:val="20"/>
          <w:lang w:val="es-ES_tradnl"/>
        </w:rPr>
        <w:t>sticas con trascendencia internacional turística y potencial de proyección exterior de los diferentes destinos insulares.</w:t>
      </w:r>
    </w:p>
    <w:p w14:paraId="62018D1E" w14:textId="77777777" w:rsidR="006220A2" w:rsidRPr="00C65D73" w:rsidRDefault="006220A2" w:rsidP="00841182">
      <w:pPr>
        <w:spacing w:before="120"/>
        <w:ind w:left="426" w:hanging="142"/>
        <w:jc w:val="both"/>
        <w:rPr>
          <w:sz w:val="20"/>
        </w:rPr>
      </w:pPr>
      <w:r w:rsidRPr="00C65D73">
        <w:rPr>
          <w:sz w:val="20"/>
          <w:lang w:val="es-ES_tradnl"/>
        </w:rPr>
        <w:t xml:space="preserve">- Acciones de co-branding con turoperadores, grandes grupos de agencias de viajes, </w:t>
      </w:r>
      <w:r w:rsidRPr="00C65D73">
        <w:rPr>
          <w:sz w:val="20"/>
          <w:lang w:val="it-IT"/>
        </w:rPr>
        <w:t>compa</w:t>
      </w:r>
      <w:r w:rsidRPr="00C65D73">
        <w:rPr>
          <w:sz w:val="20"/>
          <w:lang w:val="es-ES_tradnl"/>
        </w:rPr>
        <w:t>ñí</w:t>
      </w:r>
      <w:r w:rsidRPr="00C65D73">
        <w:rPr>
          <w:sz w:val="20"/>
          <w:lang w:val="pt-PT"/>
        </w:rPr>
        <w:t>as a</w:t>
      </w:r>
      <w:r w:rsidRPr="00C65D73">
        <w:rPr>
          <w:sz w:val="20"/>
          <w:lang w:val="fr-FR"/>
        </w:rPr>
        <w:t>é</w:t>
      </w:r>
      <w:r w:rsidRPr="00C65D73">
        <w:rPr>
          <w:sz w:val="20"/>
        </w:rPr>
        <w:t xml:space="preserve">reas </w:t>
      </w:r>
      <w:r w:rsidRPr="00C65D73">
        <w:rPr>
          <w:sz w:val="20"/>
          <w:lang w:val="es-ES_tradnl"/>
        </w:rPr>
        <w:t>y marcas de alta notoriedad en los mercados meta.</w:t>
      </w:r>
    </w:p>
    <w:p w14:paraId="708F9CF9" w14:textId="77777777" w:rsidR="006220A2" w:rsidRPr="00C65D73" w:rsidRDefault="006220A2" w:rsidP="00841182">
      <w:pPr>
        <w:spacing w:before="120"/>
        <w:ind w:left="426" w:hanging="142"/>
        <w:jc w:val="both"/>
        <w:rPr>
          <w:sz w:val="20"/>
        </w:rPr>
      </w:pPr>
      <w:r w:rsidRPr="00C65D73">
        <w:rPr>
          <w:sz w:val="20"/>
          <w:lang w:val="es-ES_tradnl"/>
        </w:rPr>
        <w:t xml:space="preserve">- Patrocinio de </w:t>
      </w:r>
      <w:r w:rsidRPr="00C65D73">
        <w:rPr>
          <w:sz w:val="20"/>
          <w:lang w:val="pt-PT"/>
        </w:rPr>
        <w:t>eventos de diversas caracter</w:t>
      </w:r>
      <w:r w:rsidRPr="00C65D73">
        <w:rPr>
          <w:sz w:val="20"/>
        </w:rPr>
        <w:t>í</w:t>
      </w:r>
      <w:r w:rsidRPr="00C65D73">
        <w:rPr>
          <w:sz w:val="20"/>
          <w:lang w:val="es-ES_tradnl"/>
        </w:rPr>
        <w:t>sticas con trascendencia internacional turística y potencial de proyección exterior de los diferentes destinos insulares.</w:t>
      </w:r>
    </w:p>
    <w:p w14:paraId="5085FDEF" w14:textId="77777777" w:rsidR="006220A2" w:rsidRPr="00C65D73" w:rsidRDefault="006220A2" w:rsidP="006220A2">
      <w:pPr>
        <w:spacing w:before="120"/>
        <w:jc w:val="both"/>
        <w:rPr>
          <w:sz w:val="20"/>
        </w:rPr>
      </w:pPr>
      <w:r w:rsidRPr="00C65D73">
        <w:rPr>
          <w:sz w:val="20"/>
        </w:rPr>
        <w:t> </w:t>
      </w:r>
    </w:p>
    <w:p w14:paraId="3F6B8EDE" w14:textId="77777777" w:rsidR="006220A2" w:rsidRPr="00C65D73" w:rsidRDefault="006220A2" w:rsidP="006220A2">
      <w:pPr>
        <w:spacing w:before="120"/>
        <w:jc w:val="both"/>
        <w:rPr>
          <w:sz w:val="20"/>
        </w:rPr>
      </w:pPr>
      <w:r w:rsidRPr="00C65D73">
        <w:rPr>
          <w:sz w:val="20"/>
          <w:u w:val="single"/>
          <w:lang w:val="es-ES_tradnl"/>
        </w:rPr>
        <w:t>Programa de innovación</w:t>
      </w:r>
    </w:p>
    <w:p w14:paraId="1C54BAB6" w14:textId="77777777" w:rsidR="006220A2" w:rsidRPr="00C65D73" w:rsidRDefault="006220A2" w:rsidP="006220A2">
      <w:pPr>
        <w:spacing w:before="120"/>
        <w:jc w:val="both"/>
        <w:rPr>
          <w:sz w:val="20"/>
        </w:rPr>
      </w:pPr>
      <w:r w:rsidRPr="00C65D73">
        <w:rPr>
          <w:sz w:val="20"/>
          <w:lang w:val="es-ES_tradnl"/>
        </w:rPr>
        <w:t xml:space="preserve">El programa de innovación está orientado al fomento de la incorporación de metodologías, herramientas y actuaciones innovadoras en el sector turístico canario en el ámbito del marketing: nuevos productos y servicios, comercialización y comunicación, inteligencia turística, big data, etc. </w:t>
      </w:r>
    </w:p>
    <w:p w14:paraId="798B8658" w14:textId="77777777" w:rsidR="006220A2" w:rsidRDefault="006220A2" w:rsidP="006220A2">
      <w:pPr>
        <w:spacing w:before="120"/>
        <w:jc w:val="both"/>
        <w:rPr>
          <w:sz w:val="20"/>
        </w:rPr>
      </w:pPr>
    </w:p>
    <w:p w14:paraId="78ADE0F1" w14:textId="77777777" w:rsidR="00841182" w:rsidRDefault="006220A2" w:rsidP="006220A2">
      <w:pPr>
        <w:spacing w:before="120"/>
        <w:jc w:val="both"/>
        <w:rPr>
          <w:sz w:val="20"/>
        </w:rPr>
      </w:pPr>
      <w:r w:rsidRPr="00F467C7">
        <w:rPr>
          <w:sz w:val="20"/>
        </w:rPr>
        <w:t>La Sociedad no considera que exista ningún riesgo o incertidumbre importante sobre la continuidad del negocio.</w:t>
      </w:r>
    </w:p>
    <w:p w14:paraId="419B6ADF" w14:textId="77777777" w:rsidR="006220A2" w:rsidRPr="00844316" w:rsidRDefault="006220A2" w:rsidP="006220A2">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200"/>
        <w:ind w:left="720" w:hanging="720"/>
        <w:jc w:val="both"/>
        <w:outlineLvl w:val="9"/>
        <w:rPr>
          <w:b/>
          <w:sz w:val="20"/>
          <w:u w:val="single"/>
        </w:rPr>
      </w:pPr>
      <w:r w:rsidRPr="00844316">
        <w:rPr>
          <w:b/>
          <w:sz w:val="20"/>
          <w:u w:val="single"/>
        </w:rPr>
        <w:t>INVESTIGACIÓN Y DESARROLLO</w:t>
      </w:r>
    </w:p>
    <w:p w14:paraId="025FC774" w14:textId="77777777" w:rsidR="006220A2" w:rsidRPr="00844316" w:rsidRDefault="006220A2" w:rsidP="006220A2">
      <w:pPr>
        <w:spacing w:before="120"/>
        <w:jc w:val="both"/>
        <w:rPr>
          <w:sz w:val="20"/>
        </w:rPr>
      </w:pPr>
      <w:r w:rsidRPr="00DE449A">
        <w:rPr>
          <w:sz w:val="20"/>
        </w:rPr>
        <w:t>Durante el ejercicio 201</w:t>
      </w:r>
      <w:r>
        <w:rPr>
          <w:sz w:val="20"/>
        </w:rPr>
        <w:t>8</w:t>
      </w:r>
      <w:r w:rsidRPr="00DE449A">
        <w:rPr>
          <w:sz w:val="20"/>
        </w:rPr>
        <w:t>, la Sociedad no ha realizado actividad alguna en materia de Investigación y Desarrollo.</w:t>
      </w:r>
    </w:p>
    <w:p w14:paraId="2F7369D5" w14:textId="77777777" w:rsidR="006220A2" w:rsidRPr="00844316" w:rsidRDefault="006220A2" w:rsidP="006220A2">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200"/>
        <w:ind w:left="720" w:hanging="720"/>
        <w:jc w:val="both"/>
        <w:outlineLvl w:val="9"/>
        <w:rPr>
          <w:sz w:val="20"/>
        </w:rPr>
      </w:pPr>
      <w:r w:rsidRPr="00844316">
        <w:rPr>
          <w:sz w:val="20"/>
        </w:rPr>
        <w:t xml:space="preserve"> </w:t>
      </w:r>
      <w:r w:rsidRPr="00844316">
        <w:rPr>
          <w:b/>
          <w:sz w:val="20"/>
          <w:u w:val="single"/>
        </w:rPr>
        <w:t>ACCIONES PROPIAS</w:t>
      </w:r>
    </w:p>
    <w:p w14:paraId="79AFEF2A" w14:textId="77777777" w:rsidR="006220A2" w:rsidRPr="00844316" w:rsidRDefault="006220A2" w:rsidP="006220A2">
      <w:pPr>
        <w:spacing w:before="120"/>
        <w:jc w:val="both"/>
        <w:rPr>
          <w:sz w:val="20"/>
        </w:rPr>
      </w:pPr>
      <w:r w:rsidRPr="00DE449A">
        <w:rPr>
          <w:sz w:val="20"/>
        </w:rPr>
        <w:t>La Sociedad no tiene ni ha realizado operaciones con acciones propias durante el ejercicio 201</w:t>
      </w:r>
      <w:r>
        <w:rPr>
          <w:sz w:val="20"/>
        </w:rPr>
        <w:t>8</w:t>
      </w:r>
      <w:r w:rsidRPr="00DE449A">
        <w:rPr>
          <w:sz w:val="20"/>
        </w:rPr>
        <w:t>.</w:t>
      </w:r>
      <w:r w:rsidRPr="00844316">
        <w:rPr>
          <w:sz w:val="20"/>
        </w:rPr>
        <w:t xml:space="preserve"> </w:t>
      </w:r>
    </w:p>
    <w:p w14:paraId="6D77067B" w14:textId="77777777" w:rsidR="006220A2" w:rsidRPr="00844316" w:rsidRDefault="006220A2" w:rsidP="00A75530">
      <w:pPr>
        <w:keepNext/>
        <w:keepLines/>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200"/>
        <w:ind w:left="720" w:hanging="720"/>
        <w:jc w:val="both"/>
        <w:outlineLvl w:val="9"/>
        <w:rPr>
          <w:sz w:val="20"/>
        </w:rPr>
      </w:pPr>
      <w:r w:rsidRPr="00844316">
        <w:rPr>
          <w:b/>
          <w:sz w:val="20"/>
          <w:u w:val="single"/>
        </w:rPr>
        <w:t>INSTRUMENTOS FINANCIEROS</w:t>
      </w:r>
    </w:p>
    <w:p w14:paraId="0A409000" w14:textId="77777777" w:rsidR="006220A2" w:rsidRPr="00844316" w:rsidRDefault="006220A2" w:rsidP="00A75530">
      <w:pPr>
        <w:keepNext/>
        <w:keepLines/>
        <w:spacing w:before="120"/>
        <w:jc w:val="both"/>
        <w:rPr>
          <w:sz w:val="20"/>
        </w:rPr>
      </w:pPr>
      <w:r w:rsidRPr="00DE449A">
        <w:rPr>
          <w:sz w:val="20"/>
        </w:rPr>
        <w:t>La Sociedad no tiene ni ha realizado operaciones con derivados financieros durante el ejercicio 201</w:t>
      </w:r>
      <w:r>
        <w:rPr>
          <w:sz w:val="20"/>
        </w:rPr>
        <w:t>8</w:t>
      </w:r>
      <w:r w:rsidRPr="00DE449A">
        <w:rPr>
          <w:sz w:val="20"/>
        </w:rPr>
        <w:t>.</w:t>
      </w:r>
    </w:p>
    <w:p w14:paraId="69E11874" w14:textId="77777777" w:rsidR="006220A2" w:rsidRPr="00844316" w:rsidRDefault="006220A2" w:rsidP="006220A2">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200"/>
        <w:ind w:left="720" w:hanging="720"/>
        <w:jc w:val="both"/>
        <w:outlineLvl w:val="9"/>
        <w:rPr>
          <w:b/>
          <w:sz w:val="20"/>
          <w:u w:val="single"/>
        </w:rPr>
      </w:pPr>
      <w:r w:rsidRPr="00844316">
        <w:rPr>
          <w:b/>
          <w:sz w:val="20"/>
          <w:u w:val="single"/>
        </w:rPr>
        <w:t>INFORMACIÓN SOBRE EL MEDIO AMBIENTE</w:t>
      </w:r>
    </w:p>
    <w:p w14:paraId="7B740CC7" w14:textId="77777777" w:rsidR="006220A2" w:rsidRPr="00844316" w:rsidRDefault="006220A2" w:rsidP="006220A2">
      <w:pPr>
        <w:spacing w:before="120"/>
        <w:jc w:val="both"/>
        <w:rPr>
          <w:sz w:val="20"/>
        </w:rPr>
      </w:pPr>
      <w:r w:rsidRPr="00844316">
        <w:rPr>
          <w:sz w:val="20"/>
        </w:rPr>
        <w:t>La Sociedad mantiene sus instalaciones constantemente en un estado que permite cumplir con todas las normas referentes al Medio Ambiente. No ha sido necesario incurrir en gastos particulares y tampoco fue necesaria la dotación de provisiones.</w:t>
      </w:r>
    </w:p>
    <w:p w14:paraId="2E1B2B0D" w14:textId="77777777" w:rsidR="00841182" w:rsidRDefault="00841182" w:rsidP="006220A2">
      <w:pPr>
        <w:tabs>
          <w:tab w:val="left" w:pos="567"/>
          <w:tab w:val="left" w:pos="1134"/>
          <w:tab w:val="left" w:pos="1587"/>
        </w:tabs>
        <w:jc w:val="both"/>
        <w:rPr>
          <w:sz w:val="20"/>
          <w:szCs w:val="22"/>
        </w:rPr>
      </w:pPr>
    </w:p>
    <w:p w14:paraId="634F55D5" w14:textId="77777777" w:rsidR="00841182" w:rsidRDefault="00841182" w:rsidP="006220A2">
      <w:pPr>
        <w:tabs>
          <w:tab w:val="left" w:pos="567"/>
          <w:tab w:val="left" w:pos="1134"/>
          <w:tab w:val="left" w:pos="1587"/>
        </w:tabs>
        <w:jc w:val="both"/>
        <w:rPr>
          <w:sz w:val="20"/>
          <w:szCs w:val="22"/>
        </w:rPr>
        <w:sectPr w:rsidR="00841182" w:rsidSect="0071126B">
          <w:headerReference w:type="default" r:id="rId13"/>
          <w:pgSz w:w="11900" w:h="16840" w:code="9"/>
          <w:pgMar w:top="1701" w:right="1418" w:bottom="1418" w:left="1701" w:header="1247" w:footer="850" w:gutter="0"/>
          <w:cols w:space="708"/>
          <w:docGrid w:linePitch="360"/>
        </w:sectPr>
      </w:pPr>
    </w:p>
    <w:p w14:paraId="759CAA7C" w14:textId="77777777" w:rsidR="00841182" w:rsidRPr="00841182" w:rsidRDefault="00841182" w:rsidP="006220A2">
      <w:pPr>
        <w:tabs>
          <w:tab w:val="left" w:pos="567"/>
          <w:tab w:val="left" w:pos="1134"/>
          <w:tab w:val="left" w:pos="1587"/>
        </w:tabs>
        <w:jc w:val="both"/>
        <w:rPr>
          <w:b/>
          <w:sz w:val="20"/>
          <w:szCs w:val="22"/>
        </w:rPr>
      </w:pPr>
      <w:r w:rsidRPr="00841182">
        <w:rPr>
          <w:b/>
          <w:sz w:val="20"/>
          <w:szCs w:val="22"/>
        </w:rPr>
        <w:t>FORMULACIÓN CUENTAS ANUALES EJERCICIO 2018 E INFORME DE GESTIÓN</w:t>
      </w:r>
    </w:p>
    <w:p w14:paraId="16455CA6" w14:textId="77777777" w:rsidR="00841182" w:rsidRDefault="00841182" w:rsidP="006220A2">
      <w:pPr>
        <w:tabs>
          <w:tab w:val="left" w:pos="567"/>
          <w:tab w:val="left" w:pos="1134"/>
          <w:tab w:val="left" w:pos="1587"/>
        </w:tabs>
        <w:jc w:val="both"/>
        <w:rPr>
          <w:sz w:val="20"/>
          <w:szCs w:val="22"/>
        </w:rPr>
      </w:pPr>
    </w:p>
    <w:p w14:paraId="7DFFFAAF" w14:textId="77777777" w:rsidR="006220A2" w:rsidRDefault="006220A2" w:rsidP="006220A2">
      <w:pPr>
        <w:tabs>
          <w:tab w:val="left" w:pos="567"/>
          <w:tab w:val="left" w:pos="1134"/>
          <w:tab w:val="left" w:pos="1587"/>
        </w:tabs>
        <w:jc w:val="both"/>
        <w:rPr>
          <w:sz w:val="20"/>
          <w:szCs w:val="22"/>
        </w:rPr>
      </w:pPr>
      <w:r w:rsidRPr="00844316">
        <w:rPr>
          <w:sz w:val="20"/>
          <w:szCs w:val="22"/>
        </w:rPr>
        <w:t xml:space="preserve">Reunidos los administradores de </w:t>
      </w:r>
      <w:r w:rsidRPr="00844316">
        <w:rPr>
          <w:b/>
          <w:caps/>
          <w:sz w:val="20"/>
          <w:szCs w:val="22"/>
        </w:rPr>
        <w:t>Promotur Turismo Canarias S.A</w:t>
      </w:r>
      <w:r>
        <w:rPr>
          <w:b/>
          <w:caps/>
          <w:sz w:val="20"/>
          <w:szCs w:val="22"/>
        </w:rPr>
        <w:t>.</w:t>
      </w:r>
      <w:r w:rsidRPr="00844316">
        <w:rPr>
          <w:caps/>
          <w:sz w:val="20"/>
          <w:szCs w:val="22"/>
        </w:rPr>
        <w:t>,</w:t>
      </w:r>
      <w:r w:rsidRPr="00844316">
        <w:rPr>
          <w:sz w:val="20"/>
          <w:szCs w:val="22"/>
        </w:rPr>
        <w:t xml:space="preserve"> </w:t>
      </w:r>
      <w:r w:rsidRPr="00B12D23">
        <w:rPr>
          <w:sz w:val="20"/>
          <w:szCs w:val="22"/>
        </w:rPr>
        <w:t xml:space="preserve">en fecha </w:t>
      </w:r>
      <w:r w:rsidRPr="006E00F7">
        <w:rPr>
          <w:sz w:val="20"/>
          <w:szCs w:val="22"/>
        </w:rPr>
        <w:t>2</w:t>
      </w:r>
      <w:r>
        <w:rPr>
          <w:sz w:val="20"/>
          <w:szCs w:val="22"/>
        </w:rPr>
        <w:t>1</w:t>
      </w:r>
      <w:r w:rsidRPr="006E00F7">
        <w:rPr>
          <w:sz w:val="20"/>
          <w:szCs w:val="22"/>
        </w:rPr>
        <w:t xml:space="preserve"> de marzo de 201</w:t>
      </w:r>
      <w:r>
        <w:rPr>
          <w:sz w:val="20"/>
          <w:szCs w:val="22"/>
        </w:rPr>
        <w:t>9</w:t>
      </w:r>
      <w:r w:rsidRPr="006E00F7">
        <w:rPr>
          <w:sz w:val="20"/>
          <w:szCs w:val="22"/>
        </w:rPr>
        <w:t xml:space="preserve"> y en cumplimiento de los requisitos establecidos en los artículos 253 de la</w:t>
      </w:r>
      <w:r w:rsidRPr="00B12D23">
        <w:rPr>
          <w:sz w:val="20"/>
          <w:szCs w:val="22"/>
        </w:rPr>
        <w:t xml:space="preserve"> Ley de Sociedades de Capital y del artículo 31 del Código de Comercio, proceden a formular las cuentas anuales y el informe de gestión del ejercicio anual terminado el 31 de diciembre de 201</w:t>
      </w:r>
      <w:r>
        <w:rPr>
          <w:sz w:val="20"/>
          <w:szCs w:val="22"/>
        </w:rPr>
        <w:t>8</w:t>
      </w:r>
      <w:r w:rsidRPr="00B12D23">
        <w:rPr>
          <w:sz w:val="20"/>
          <w:szCs w:val="22"/>
        </w:rPr>
        <w:t xml:space="preserve">, las cuales vienen constituidas por los documentos anexos que preceden a este escrito, cuyas hojas se presentan ordenadas correlativamente de la 1 a la </w:t>
      </w:r>
      <w:r>
        <w:rPr>
          <w:sz w:val="20"/>
          <w:szCs w:val="22"/>
        </w:rPr>
        <w:t>3</w:t>
      </w:r>
      <w:r w:rsidR="00A75530">
        <w:rPr>
          <w:sz w:val="20"/>
          <w:szCs w:val="22"/>
        </w:rPr>
        <w:t>3</w:t>
      </w:r>
      <w:r w:rsidRPr="00B12D23">
        <w:rPr>
          <w:sz w:val="20"/>
          <w:szCs w:val="22"/>
        </w:rPr>
        <w:t>.</w:t>
      </w:r>
    </w:p>
    <w:p w14:paraId="6040F61F" w14:textId="77777777" w:rsidR="006220A2" w:rsidRDefault="006220A2" w:rsidP="006220A2">
      <w:pPr>
        <w:tabs>
          <w:tab w:val="left" w:pos="567"/>
          <w:tab w:val="left" w:pos="1134"/>
          <w:tab w:val="left" w:pos="1587"/>
        </w:tabs>
        <w:jc w:val="both"/>
        <w:rPr>
          <w:sz w:val="20"/>
          <w:szCs w:val="22"/>
        </w:rPr>
      </w:pPr>
    </w:p>
    <w:p w14:paraId="372EE87E" w14:textId="77777777" w:rsidR="006220A2" w:rsidRDefault="006220A2" w:rsidP="006220A2">
      <w:pPr>
        <w:tabs>
          <w:tab w:val="left" w:pos="567"/>
          <w:tab w:val="left" w:pos="1134"/>
          <w:tab w:val="left" w:pos="1587"/>
        </w:tabs>
        <w:jc w:val="both"/>
        <w:rPr>
          <w:sz w:val="20"/>
          <w:szCs w:val="22"/>
        </w:rPr>
      </w:pPr>
    </w:p>
    <w:p w14:paraId="1D99EC76" w14:textId="77777777" w:rsidR="006220A2" w:rsidRDefault="006220A2" w:rsidP="006220A2">
      <w:pPr>
        <w:tabs>
          <w:tab w:val="left" w:pos="567"/>
          <w:tab w:val="left" w:pos="1134"/>
          <w:tab w:val="left" w:pos="1587"/>
        </w:tabs>
        <w:jc w:val="both"/>
        <w:rPr>
          <w:sz w:val="20"/>
          <w:szCs w:val="22"/>
        </w:rPr>
      </w:pPr>
    </w:p>
    <w:p w14:paraId="351137AB" w14:textId="77777777" w:rsidR="006220A2" w:rsidRDefault="006220A2" w:rsidP="006220A2">
      <w:pPr>
        <w:tabs>
          <w:tab w:val="left" w:pos="567"/>
          <w:tab w:val="left" w:pos="1134"/>
          <w:tab w:val="left" w:pos="1587"/>
        </w:tabs>
        <w:jc w:val="both"/>
        <w:rPr>
          <w:sz w:val="20"/>
          <w:szCs w:val="22"/>
        </w:rPr>
      </w:pPr>
    </w:p>
    <w:p w14:paraId="70917BED" w14:textId="77777777" w:rsidR="006220A2" w:rsidRPr="009A3249" w:rsidRDefault="006220A2" w:rsidP="006220A2">
      <w:pPr>
        <w:tabs>
          <w:tab w:val="left" w:pos="567"/>
          <w:tab w:val="left" w:pos="1134"/>
          <w:tab w:val="left" w:pos="1587"/>
        </w:tabs>
        <w:jc w:val="both"/>
        <w:rPr>
          <w:sz w:val="20"/>
          <w:szCs w:val="22"/>
        </w:rPr>
      </w:pPr>
    </w:p>
    <w:p w14:paraId="184C2704" w14:textId="77777777" w:rsidR="006220A2" w:rsidRPr="009A3249" w:rsidRDefault="006220A2" w:rsidP="006220A2">
      <w:pPr>
        <w:tabs>
          <w:tab w:val="left" w:pos="567"/>
          <w:tab w:val="left" w:pos="1134"/>
          <w:tab w:val="left" w:pos="1587"/>
        </w:tabs>
        <w:jc w:val="both"/>
        <w:rPr>
          <w:sz w:val="20"/>
          <w:szCs w:val="22"/>
        </w:rPr>
      </w:pPr>
    </w:p>
    <w:tbl>
      <w:tblPr>
        <w:tblW w:w="8755" w:type="dxa"/>
        <w:tblInd w:w="108" w:type="dxa"/>
        <w:tblLook w:val="01E0" w:firstRow="1" w:lastRow="1" w:firstColumn="1" w:lastColumn="1" w:noHBand="0" w:noVBand="0"/>
      </w:tblPr>
      <w:tblGrid>
        <w:gridCol w:w="4328"/>
        <w:gridCol w:w="4427"/>
      </w:tblGrid>
      <w:tr w:rsidR="006220A2" w:rsidRPr="00706DDF" w14:paraId="0D986CBF" w14:textId="77777777" w:rsidTr="00852114">
        <w:trPr>
          <w:trHeight w:val="1394"/>
        </w:trPr>
        <w:tc>
          <w:tcPr>
            <w:tcW w:w="4328" w:type="dxa"/>
          </w:tcPr>
          <w:p w14:paraId="3C8177EE" w14:textId="77777777" w:rsidR="006220A2" w:rsidRPr="00706DDF" w:rsidRDefault="006220A2" w:rsidP="00852114">
            <w:pPr>
              <w:jc w:val="both"/>
              <w:rPr>
                <w:sz w:val="20"/>
                <w:szCs w:val="22"/>
              </w:rPr>
            </w:pPr>
            <w:r w:rsidRPr="00706DDF">
              <w:rPr>
                <w:sz w:val="20"/>
                <w:szCs w:val="22"/>
              </w:rPr>
              <w:t>D.  Isaac Castellano San Ginés</w:t>
            </w:r>
          </w:p>
        </w:tc>
        <w:tc>
          <w:tcPr>
            <w:tcW w:w="4427" w:type="dxa"/>
          </w:tcPr>
          <w:p w14:paraId="4DE2B722" w14:textId="77777777" w:rsidR="006220A2" w:rsidRPr="00706DDF" w:rsidRDefault="006220A2" w:rsidP="00852114">
            <w:pPr>
              <w:jc w:val="both"/>
              <w:rPr>
                <w:sz w:val="20"/>
                <w:szCs w:val="22"/>
              </w:rPr>
            </w:pPr>
            <w:r w:rsidRPr="00706DDF">
              <w:rPr>
                <w:sz w:val="20"/>
                <w:szCs w:val="22"/>
              </w:rPr>
              <w:t xml:space="preserve">D. </w:t>
            </w:r>
            <w:r w:rsidR="00706DDF" w:rsidRPr="00706DDF">
              <w:rPr>
                <w:sz w:val="20"/>
                <w:szCs w:val="22"/>
              </w:rPr>
              <w:t>Cristóbal</w:t>
            </w:r>
            <w:r w:rsidRPr="00706DDF">
              <w:rPr>
                <w:sz w:val="20"/>
                <w:szCs w:val="22"/>
              </w:rPr>
              <w:t xml:space="preserve"> de la Rosa Croissier</w:t>
            </w:r>
          </w:p>
        </w:tc>
      </w:tr>
      <w:tr w:rsidR="006220A2" w:rsidRPr="00706DDF" w14:paraId="3C8F1E7D" w14:textId="77777777" w:rsidTr="00852114">
        <w:trPr>
          <w:trHeight w:val="1373"/>
        </w:trPr>
        <w:tc>
          <w:tcPr>
            <w:tcW w:w="4328" w:type="dxa"/>
          </w:tcPr>
          <w:p w14:paraId="2B908340" w14:textId="77777777" w:rsidR="006220A2" w:rsidRPr="00706DDF" w:rsidRDefault="006220A2" w:rsidP="00852114">
            <w:pPr>
              <w:rPr>
                <w:sz w:val="20"/>
                <w:szCs w:val="22"/>
                <w:lang w:val="pt-BR"/>
              </w:rPr>
            </w:pPr>
            <w:r w:rsidRPr="00706DDF">
              <w:rPr>
                <w:sz w:val="20"/>
                <w:szCs w:val="22"/>
                <w:lang w:val="pt-BR"/>
              </w:rPr>
              <w:t>D. José Gilberto Moreno García</w:t>
            </w:r>
          </w:p>
          <w:p w14:paraId="6207FA00" w14:textId="77777777" w:rsidR="006220A2" w:rsidRPr="00706DDF" w:rsidRDefault="006220A2" w:rsidP="00852114">
            <w:pPr>
              <w:jc w:val="both"/>
              <w:rPr>
                <w:sz w:val="20"/>
                <w:szCs w:val="22"/>
              </w:rPr>
            </w:pPr>
          </w:p>
        </w:tc>
        <w:tc>
          <w:tcPr>
            <w:tcW w:w="4427" w:type="dxa"/>
          </w:tcPr>
          <w:p w14:paraId="670EC457" w14:textId="77777777" w:rsidR="006220A2" w:rsidRPr="00706DDF" w:rsidRDefault="006220A2" w:rsidP="00852114">
            <w:pPr>
              <w:jc w:val="both"/>
              <w:rPr>
                <w:sz w:val="20"/>
                <w:szCs w:val="22"/>
              </w:rPr>
            </w:pPr>
            <w:r w:rsidRPr="00706DDF">
              <w:rPr>
                <w:sz w:val="20"/>
                <w:szCs w:val="22"/>
              </w:rPr>
              <w:t>Dña. Candelaria Umpiérrez Ramos</w:t>
            </w:r>
          </w:p>
        </w:tc>
      </w:tr>
      <w:tr w:rsidR="006220A2" w:rsidRPr="00706DDF" w14:paraId="2691F3FD" w14:textId="77777777" w:rsidTr="00852114">
        <w:trPr>
          <w:trHeight w:val="1103"/>
        </w:trPr>
        <w:tc>
          <w:tcPr>
            <w:tcW w:w="4328" w:type="dxa"/>
            <w:shd w:val="clear" w:color="auto" w:fill="auto"/>
          </w:tcPr>
          <w:p w14:paraId="599175EE" w14:textId="77777777" w:rsidR="006220A2" w:rsidRPr="00706DDF" w:rsidRDefault="006220A2" w:rsidP="00852114">
            <w:pPr>
              <w:jc w:val="both"/>
              <w:rPr>
                <w:sz w:val="20"/>
                <w:szCs w:val="22"/>
              </w:rPr>
            </w:pPr>
            <w:r w:rsidRPr="00706DDF">
              <w:rPr>
                <w:sz w:val="20"/>
                <w:szCs w:val="22"/>
              </w:rPr>
              <w:t>D. Mario Otero Andión</w:t>
            </w:r>
          </w:p>
        </w:tc>
        <w:tc>
          <w:tcPr>
            <w:tcW w:w="4427" w:type="dxa"/>
          </w:tcPr>
          <w:p w14:paraId="3C66011B" w14:textId="77777777" w:rsidR="006220A2" w:rsidRPr="00706DDF" w:rsidRDefault="006220A2" w:rsidP="00852114">
            <w:pPr>
              <w:jc w:val="both"/>
              <w:rPr>
                <w:sz w:val="20"/>
                <w:szCs w:val="22"/>
              </w:rPr>
            </w:pPr>
            <w:r w:rsidRPr="00706DDF">
              <w:rPr>
                <w:sz w:val="20"/>
                <w:szCs w:val="22"/>
              </w:rPr>
              <w:t xml:space="preserve">D. José María Mañaricúa Aristondo </w:t>
            </w:r>
          </w:p>
          <w:p w14:paraId="304533E3" w14:textId="77777777" w:rsidR="006220A2" w:rsidRPr="00706DDF" w:rsidRDefault="006220A2" w:rsidP="00852114">
            <w:pPr>
              <w:jc w:val="both"/>
              <w:rPr>
                <w:sz w:val="20"/>
                <w:szCs w:val="22"/>
              </w:rPr>
            </w:pPr>
          </w:p>
          <w:p w14:paraId="69E46574" w14:textId="77777777" w:rsidR="006220A2" w:rsidRPr="00706DDF" w:rsidRDefault="006220A2" w:rsidP="00852114">
            <w:pPr>
              <w:jc w:val="both"/>
              <w:rPr>
                <w:sz w:val="20"/>
                <w:szCs w:val="22"/>
              </w:rPr>
            </w:pPr>
          </w:p>
          <w:p w14:paraId="7A14F2BF" w14:textId="77777777" w:rsidR="006220A2" w:rsidRPr="00706DDF" w:rsidRDefault="006220A2" w:rsidP="00852114">
            <w:pPr>
              <w:jc w:val="both"/>
              <w:rPr>
                <w:sz w:val="20"/>
                <w:szCs w:val="22"/>
              </w:rPr>
            </w:pPr>
          </w:p>
          <w:p w14:paraId="10B180E7" w14:textId="77777777" w:rsidR="006220A2" w:rsidRPr="00706DDF" w:rsidRDefault="006220A2" w:rsidP="00852114">
            <w:pPr>
              <w:jc w:val="both"/>
              <w:rPr>
                <w:sz w:val="20"/>
                <w:szCs w:val="22"/>
              </w:rPr>
            </w:pPr>
          </w:p>
          <w:p w14:paraId="04AAC69C" w14:textId="77777777" w:rsidR="006220A2" w:rsidRPr="00706DDF" w:rsidRDefault="006220A2" w:rsidP="00852114">
            <w:pPr>
              <w:jc w:val="both"/>
              <w:rPr>
                <w:sz w:val="20"/>
                <w:szCs w:val="22"/>
              </w:rPr>
            </w:pPr>
          </w:p>
        </w:tc>
      </w:tr>
      <w:tr w:rsidR="006220A2" w:rsidRPr="00706DDF" w14:paraId="3E4E8689" w14:textId="77777777" w:rsidTr="00852114">
        <w:trPr>
          <w:trHeight w:val="1242"/>
        </w:trPr>
        <w:tc>
          <w:tcPr>
            <w:tcW w:w="4328" w:type="dxa"/>
          </w:tcPr>
          <w:p w14:paraId="4849F5EB" w14:textId="77777777" w:rsidR="006220A2" w:rsidRPr="00706DDF" w:rsidRDefault="006220A2" w:rsidP="00852114">
            <w:pPr>
              <w:jc w:val="both"/>
              <w:rPr>
                <w:sz w:val="20"/>
                <w:szCs w:val="22"/>
              </w:rPr>
            </w:pPr>
            <w:r w:rsidRPr="00706DDF">
              <w:rPr>
                <w:sz w:val="20"/>
                <w:szCs w:val="22"/>
                <w:lang w:val="pt-BR"/>
              </w:rPr>
              <w:t xml:space="preserve">D. Héctor Suárez Morales </w:t>
            </w:r>
          </w:p>
        </w:tc>
        <w:tc>
          <w:tcPr>
            <w:tcW w:w="4427" w:type="dxa"/>
          </w:tcPr>
          <w:p w14:paraId="586C1D60" w14:textId="77777777" w:rsidR="006220A2" w:rsidRPr="00706DDF" w:rsidRDefault="006220A2" w:rsidP="00852114">
            <w:pPr>
              <w:jc w:val="both"/>
              <w:rPr>
                <w:sz w:val="20"/>
                <w:szCs w:val="22"/>
                <w:lang w:val="pt-BR"/>
              </w:rPr>
            </w:pPr>
            <w:r w:rsidRPr="00706DDF">
              <w:rPr>
                <w:sz w:val="20"/>
                <w:szCs w:val="22"/>
                <w:lang w:val="pt-BR"/>
              </w:rPr>
              <w:t>Dña. Susana Pérez Represa</w:t>
            </w:r>
          </w:p>
          <w:p w14:paraId="46AFC005" w14:textId="77777777" w:rsidR="006220A2" w:rsidRPr="00706DDF" w:rsidRDefault="006220A2" w:rsidP="00852114">
            <w:pPr>
              <w:jc w:val="both"/>
              <w:rPr>
                <w:sz w:val="20"/>
                <w:szCs w:val="22"/>
                <w:lang w:val="pt-BR"/>
              </w:rPr>
            </w:pPr>
          </w:p>
          <w:p w14:paraId="5F6658FB" w14:textId="77777777" w:rsidR="006220A2" w:rsidRPr="00706DDF" w:rsidRDefault="006220A2" w:rsidP="00852114">
            <w:pPr>
              <w:jc w:val="both"/>
              <w:rPr>
                <w:sz w:val="20"/>
                <w:szCs w:val="22"/>
                <w:lang w:val="pt-BR"/>
              </w:rPr>
            </w:pPr>
          </w:p>
          <w:p w14:paraId="747074DD" w14:textId="77777777" w:rsidR="006220A2" w:rsidRPr="00706DDF" w:rsidRDefault="006220A2" w:rsidP="00852114">
            <w:pPr>
              <w:jc w:val="both"/>
              <w:rPr>
                <w:sz w:val="20"/>
                <w:szCs w:val="22"/>
                <w:lang w:val="pt-BR"/>
              </w:rPr>
            </w:pPr>
          </w:p>
          <w:p w14:paraId="194040C4" w14:textId="77777777" w:rsidR="006220A2" w:rsidRPr="00706DDF" w:rsidRDefault="006220A2" w:rsidP="00852114">
            <w:pPr>
              <w:jc w:val="both"/>
              <w:rPr>
                <w:sz w:val="20"/>
                <w:szCs w:val="22"/>
                <w:lang w:val="pt-BR"/>
              </w:rPr>
            </w:pPr>
          </w:p>
          <w:p w14:paraId="51016A0E" w14:textId="77777777" w:rsidR="006220A2" w:rsidRPr="00706DDF" w:rsidRDefault="006220A2" w:rsidP="00852114">
            <w:pPr>
              <w:jc w:val="both"/>
              <w:rPr>
                <w:sz w:val="20"/>
                <w:szCs w:val="22"/>
              </w:rPr>
            </w:pPr>
          </w:p>
        </w:tc>
      </w:tr>
      <w:tr w:rsidR="006220A2" w:rsidRPr="00706DDF" w14:paraId="7132D2E6" w14:textId="77777777" w:rsidTr="00852114">
        <w:trPr>
          <w:trHeight w:val="1405"/>
        </w:trPr>
        <w:tc>
          <w:tcPr>
            <w:tcW w:w="4328" w:type="dxa"/>
          </w:tcPr>
          <w:p w14:paraId="658BFB60" w14:textId="77777777" w:rsidR="006220A2" w:rsidRPr="00706DDF" w:rsidRDefault="006220A2" w:rsidP="00852114">
            <w:pPr>
              <w:rPr>
                <w:sz w:val="20"/>
                <w:szCs w:val="22"/>
                <w:lang w:val="pt-BR"/>
              </w:rPr>
            </w:pPr>
            <w:r w:rsidRPr="00706DDF">
              <w:rPr>
                <w:sz w:val="20"/>
                <w:szCs w:val="22"/>
                <w:lang w:val="pt-BR"/>
              </w:rPr>
              <w:t xml:space="preserve">D. Jorge Marichal González </w:t>
            </w:r>
          </w:p>
          <w:p w14:paraId="46378843" w14:textId="77777777" w:rsidR="006220A2" w:rsidRPr="00706DDF" w:rsidRDefault="006220A2" w:rsidP="00852114">
            <w:pPr>
              <w:rPr>
                <w:sz w:val="20"/>
                <w:szCs w:val="22"/>
                <w:lang w:val="pt-BR"/>
              </w:rPr>
            </w:pPr>
          </w:p>
        </w:tc>
        <w:tc>
          <w:tcPr>
            <w:tcW w:w="4427" w:type="dxa"/>
          </w:tcPr>
          <w:p w14:paraId="5B734BE1" w14:textId="77777777" w:rsidR="006220A2" w:rsidRPr="00706DDF" w:rsidRDefault="006220A2" w:rsidP="00852114">
            <w:pPr>
              <w:rPr>
                <w:sz w:val="20"/>
                <w:szCs w:val="22"/>
                <w:lang w:val="pt-BR"/>
              </w:rPr>
            </w:pPr>
            <w:r w:rsidRPr="00706DDF">
              <w:rPr>
                <w:sz w:val="20"/>
                <w:szCs w:val="22"/>
                <w:lang w:val="pt-BR"/>
              </w:rPr>
              <w:t xml:space="preserve">D. Antonio Hormiga Alonso </w:t>
            </w:r>
          </w:p>
        </w:tc>
      </w:tr>
      <w:tr w:rsidR="006220A2" w:rsidRPr="00706DDF" w14:paraId="74FCA1DA" w14:textId="77777777" w:rsidTr="00852114">
        <w:trPr>
          <w:trHeight w:val="1426"/>
        </w:trPr>
        <w:tc>
          <w:tcPr>
            <w:tcW w:w="4328" w:type="dxa"/>
          </w:tcPr>
          <w:p w14:paraId="45D1AB6E" w14:textId="77777777" w:rsidR="006220A2" w:rsidRPr="00706DDF" w:rsidRDefault="006220A2" w:rsidP="00852114">
            <w:pPr>
              <w:jc w:val="both"/>
              <w:rPr>
                <w:sz w:val="20"/>
                <w:szCs w:val="22"/>
              </w:rPr>
            </w:pPr>
            <w:r w:rsidRPr="00706DDF">
              <w:rPr>
                <w:sz w:val="20"/>
                <w:szCs w:val="22"/>
              </w:rPr>
              <w:t xml:space="preserve"> D. José Miguel Barragán Cabrera</w:t>
            </w:r>
          </w:p>
          <w:p w14:paraId="17AA67C4" w14:textId="77777777" w:rsidR="006220A2" w:rsidRPr="00706DDF" w:rsidRDefault="006220A2" w:rsidP="00852114">
            <w:pPr>
              <w:rPr>
                <w:sz w:val="20"/>
                <w:szCs w:val="22"/>
                <w:lang w:val="pt-BR"/>
              </w:rPr>
            </w:pPr>
          </w:p>
        </w:tc>
        <w:tc>
          <w:tcPr>
            <w:tcW w:w="4427" w:type="dxa"/>
          </w:tcPr>
          <w:p w14:paraId="7F5B84A5" w14:textId="77777777" w:rsidR="006220A2" w:rsidRPr="00706DDF" w:rsidRDefault="006220A2" w:rsidP="00852114">
            <w:pPr>
              <w:rPr>
                <w:sz w:val="20"/>
                <w:szCs w:val="22"/>
                <w:lang w:val="pt-BR"/>
              </w:rPr>
            </w:pPr>
            <w:r w:rsidRPr="00706DDF">
              <w:rPr>
                <w:sz w:val="20"/>
                <w:szCs w:val="22"/>
                <w:lang w:val="pt-BR"/>
              </w:rPr>
              <w:t>D. Constantino Luis González</w:t>
            </w:r>
          </w:p>
        </w:tc>
      </w:tr>
    </w:tbl>
    <w:p w14:paraId="1ADA2866" w14:textId="77777777" w:rsidR="00D95B27" w:rsidRPr="00852114" w:rsidRDefault="00852114" w:rsidP="006220A2">
      <w:pPr>
        <w:pStyle w:val="bullet"/>
        <w:numPr>
          <w:ilvl w:val="0"/>
          <w:numId w:val="0"/>
        </w:numPr>
        <w:ind w:left="720" w:hanging="360"/>
        <w:rPr>
          <w:sz w:val="20"/>
          <w:szCs w:val="20"/>
          <w:lang w:val="es-ES"/>
        </w:rPr>
      </w:pPr>
      <w:r w:rsidRPr="00706DDF">
        <w:rPr>
          <w:sz w:val="20"/>
          <w:szCs w:val="20"/>
          <w:lang w:val="es-ES"/>
        </w:rPr>
        <w:t>D. Lope Domingo Afonso Hernández</w:t>
      </w:r>
    </w:p>
    <w:sectPr w:rsidR="00D95B27" w:rsidRPr="00852114" w:rsidSect="0071126B">
      <w:headerReference w:type="default" r:id="rId14"/>
      <w:pgSz w:w="11900" w:h="16840" w:code="9"/>
      <w:pgMar w:top="1701" w:right="1418" w:bottom="1418" w:left="1701" w:header="124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AD3B9" w14:textId="77777777" w:rsidR="00ED23D8" w:rsidRDefault="00ED23D8" w:rsidP="00A06021">
      <w:r>
        <w:separator/>
      </w:r>
    </w:p>
  </w:endnote>
  <w:endnote w:type="continuationSeparator" w:id="0">
    <w:p w14:paraId="72F71DEC" w14:textId="77777777" w:rsidR="00ED23D8" w:rsidRDefault="00ED23D8" w:rsidP="00A0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Omega">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rutiger-Light">
    <w:altName w:val="Times New Roman"/>
    <w:panose1 w:val="00000000000000000000"/>
    <w:charset w:val="00"/>
    <w:family w:val="auto"/>
    <w:notTrueType/>
    <w:pitch w:val="variable"/>
    <w:sig w:usb0="00000003" w:usb1="00000000" w:usb2="00000000" w:usb3="00000000" w:csb0="00000001" w:csb1="00000000"/>
  </w:font>
  <w:font w:name="Frutiger-Bold">
    <w:altName w:val="Times New Roman"/>
    <w:charset w:val="00"/>
    <w:family w:val="auto"/>
    <w:pitch w:val="variable"/>
    <w:sig w:usb0="800000A3" w:usb1="00000000" w:usb2="00000000" w:usb3="00000000" w:csb0="00000009"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AD64" w14:textId="77777777" w:rsidR="003A4111" w:rsidRPr="0071126B" w:rsidRDefault="003A4111" w:rsidP="0045206D">
    <w:pPr>
      <w:pStyle w:val="Piedepgina"/>
      <w:jc w:val="right"/>
      <w:rPr>
        <w:sz w:val="20"/>
        <w:szCs w:val="20"/>
      </w:rPr>
    </w:pPr>
    <w:r w:rsidRPr="0071126B">
      <w:rPr>
        <w:sz w:val="20"/>
        <w:szCs w:val="20"/>
      </w:rPr>
      <w:t xml:space="preserve">Página </w:t>
    </w:r>
    <w:r w:rsidRPr="0071126B">
      <w:rPr>
        <w:sz w:val="20"/>
        <w:szCs w:val="20"/>
      </w:rPr>
      <w:fldChar w:fldCharType="begin"/>
    </w:r>
    <w:r w:rsidRPr="0071126B">
      <w:rPr>
        <w:sz w:val="20"/>
        <w:szCs w:val="20"/>
      </w:rPr>
      <w:instrText>PAGE</w:instrText>
    </w:r>
    <w:r w:rsidRPr="0071126B">
      <w:rPr>
        <w:sz w:val="20"/>
        <w:szCs w:val="20"/>
      </w:rPr>
      <w:fldChar w:fldCharType="separate"/>
    </w:r>
    <w:r w:rsidR="00A75530">
      <w:rPr>
        <w:noProof/>
        <w:sz w:val="20"/>
        <w:szCs w:val="20"/>
      </w:rPr>
      <w:t>33</w:t>
    </w:r>
    <w:r w:rsidRPr="0071126B">
      <w:rPr>
        <w:sz w:val="20"/>
        <w:szCs w:val="20"/>
      </w:rPr>
      <w:fldChar w:fldCharType="end"/>
    </w:r>
    <w:r w:rsidRPr="0071126B">
      <w:rPr>
        <w:sz w:val="20"/>
        <w:szCs w:val="20"/>
      </w:rPr>
      <w:t xml:space="preserve"> de </w:t>
    </w:r>
    <w:r w:rsidR="00A75530">
      <w:rPr>
        <w:sz w:val="20"/>
        <w:szCs w:val="20"/>
      </w:rPr>
      <w:t>33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189E8" w14:textId="77777777" w:rsidR="003A4111" w:rsidRDefault="001A7C10" w:rsidP="00A06021">
    <w:pPr>
      <w:pStyle w:val="Piedepgina"/>
    </w:pPr>
    <w:r>
      <w:rPr>
        <w:noProof/>
      </w:rPr>
      <w:pict w14:anchorId="51CD1C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2052" type="#_x0000_t75" style="position:absolute;margin-left:-52.3pt;margin-top:-7.65pt;width:559.7pt;height:74.6pt;z-index:-6;visibility:visible">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CF72F" w14:textId="77777777" w:rsidR="00ED23D8" w:rsidRDefault="00ED23D8" w:rsidP="00A06021">
      <w:r>
        <w:separator/>
      </w:r>
    </w:p>
  </w:footnote>
  <w:footnote w:type="continuationSeparator" w:id="0">
    <w:p w14:paraId="60398BD0" w14:textId="77777777" w:rsidR="00ED23D8" w:rsidRDefault="00ED23D8" w:rsidP="00A06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F8448" w14:textId="77777777" w:rsidR="003A4111" w:rsidRDefault="003A4111" w:rsidP="003849D9">
    <w:pPr>
      <w:pStyle w:val="Encabezado"/>
      <w:rPr>
        <w:b/>
        <w:snapToGrid w:val="0"/>
        <w:sz w:val="20"/>
      </w:rPr>
    </w:pPr>
  </w:p>
  <w:p w14:paraId="7EE27B25" w14:textId="77777777" w:rsidR="003A4111" w:rsidRPr="003A4111" w:rsidRDefault="001A7C10" w:rsidP="003849D9">
    <w:pPr>
      <w:pStyle w:val="Encabezado"/>
      <w:rPr>
        <w:b/>
        <w:snapToGrid w:val="0"/>
        <w:sz w:val="18"/>
        <w:szCs w:val="18"/>
      </w:rPr>
    </w:pPr>
    <w:r>
      <w:rPr>
        <w:noProof/>
      </w:rPr>
      <w:pict w14:anchorId="185274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2055" type="#_x0000_t75" style="position:absolute;margin-left:-77.95pt;margin-top:-66.7pt;width:577.1pt;height:73.7pt;z-index:-4;visibility:visible">
          <v:imagedata r:id="rId1" o:title=""/>
        </v:shape>
      </w:pict>
    </w:r>
  </w:p>
  <w:p w14:paraId="519B3519" w14:textId="77777777" w:rsidR="003A4111" w:rsidRPr="003A4111" w:rsidRDefault="003A4111" w:rsidP="003849D9">
    <w:pPr>
      <w:pStyle w:val="Encabezado"/>
      <w:rPr>
        <w:i/>
        <w:sz w:val="18"/>
        <w:szCs w:val="18"/>
      </w:rPr>
    </w:pPr>
    <w:r w:rsidRPr="003A4111">
      <w:rPr>
        <w:i/>
        <w:snapToGrid w:val="0"/>
        <w:sz w:val="18"/>
        <w:szCs w:val="18"/>
      </w:rPr>
      <w:t>Cuentas Anuales de Promotur Turismo Canarias, S.A. – Ejercicio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5A14D" w14:textId="77777777" w:rsidR="003A4111" w:rsidRDefault="001A7C10" w:rsidP="00A06021">
    <w:pPr>
      <w:pStyle w:val="Encabezado"/>
    </w:pPr>
    <w:r>
      <w:rPr>
        <w:noProof/>
      </w:rPr>
      <w:pict w14:anchorId="2E4F9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2054" type="#_x0000_t75" style="position:absolute;margin-left:-77.6pt;margin-top:-85.35pt;width:577.1pt;height:73.7pt;z-index:-5;visibility:visible">
          <v:imagedata r:id="rId1" o:title=""/>
        </v:shape>
      </w:pict>
    </w:r>
    <w:r>
      <w:rPr>
        <w:noProof/>
      </w:rPr>
      <w:pict w14:anchorId="3D827B9D">
        <v:shape id="Imagen 4" o:spid="_x0000_s2053" type="#_x0000_t75" style="position:absolute;margin-left:-86.85pt;margin-top:133.7pt;width:50.45pt;height:547.05pt;z-index:-7;visibility:visible;mso-position-vertical-relative:page">
          <v:imagedata r:id="rId2" o:title="" cropright="14720f"/>
          <w10:wrap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E87F8" w14:textId="77777777" w:rsidR="003A4111" w:rsidRPr="003A4111" w:rsidRDefault="001A7C10" w:rsidP="003849D9">
    <w:pPr>
      <w:pStyle w:val="Encabezado"/>
      <w:rPr>
        <w:b/>
        <w:snapToGrid w:val="0"/>
        <w:sz w:val="18"/>
        <w:szCs w:val="18"/>
      </w:rPr>
    </w:pPr>
    <w:r>
      <w:rPr>
        <w:noProof/>
      </w:rPr>
      <w:pict w14:anchorId="44C40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51" type="#_x0000_t75" style="position:absolute;margin-left:-77.95pt;margin-top:-62.2pt;width:577.1pt;height:73.7pt;z-index:-3;visibility:visible">
          <v:imagedata r:id="rId1" o:title=""/>
        </v:shape>
      </w:pict>
    </w:r>
  </w:p>
  <w:p w14:paraId="2DB30A24" w14:textId="77777777" w:rsidR="003A4111" w:rsidRPr="003A4111" w:rsidRDefault="003A4111" w:rsidP="003849D9">
    <w:pPr>
      <w:pStyle w:val="Encabezado"/>
      <w:rPr>
        <w:i/>
        <w:sz w:val="18"/>
        <w:szCs w:val="18"/>
      </w:rPr>
    </w:pPr>
    <w:r w:rsidRPr="003A4111">
      <w:rPr>
        <w:i/>
        <w:snapToGrid w:val="0"/>
        <w:sz w:val="18"/>
        <w:szCs w:val="18"/>
      </w:rPr>
      <w:t>Cuentas Anuales de Promotur Turismo Canarias, S.A. – Ejercicio 2018</w:t>
    </w:r>
  </w:p>
  <w:p w14:paraId="4898C0C6" w14:textId="77777777" w:rsidR="003A4111" w:rsidRDefault="003A4111" w:rsidP="003849D9">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314A" w14:textId="77777777" w:rsidR="003A4111" w:rsidRPr="00A75530" w:rsidRDefault="001A7C10" w:rsidP="003849D9">
    <w:pPr>
      <w:pStyle w:val="Encabezado"/>
      <w:rPr>
        <w:b/>
        <w:snapToGrid w:val="0"/>
        <w:sz w:val="18"/>
        <w:szCs w:val="18"/>
      </w:rPr>
    </w:pPr>
    <w:r>
      <w:rPr>
        <w:noProof/>
      </w:rPr>
      <w:pict w14:anchorId="2E570D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2050" type="#_x0000_t75" style="position:absolute;margin-left:-77.95pt;margin-top:-62.2pt;width:577.1pt;height:73.7pt;z-index:-2;visibility:visible">
          <v:imagedata r:id="rId1" o:title=""/>
        </v:shape>
      </w:pict>
    </w:r>
  </w:p>
  <w:p w14:paraId="0FAFD135" w14:textId="77777777" w:rsidR="003A4111" w:rsidRPr="00A75530" w:rsidRDefault="003A4111" w:rsidP="003849D9">
    <w:pPr>
      <w:pStyle w:val="Encabezado"/>
      <w:rPr>
        <w:i/>
        <w:snapToGrid w:val="0"/>
        <w:sz w:val="18"/>
        <w:szCs w:val="18"/>
      </w:rPr>
    </w:pPr>
    <w:r w:rsidRPr="00A75530">
      <w:rPr>
        <w:i/>
        <w:snapToGrid w:val="0"/>
        <w:sz w:val="18"/>
        <w:szCs w:val="18"/>
      </w:rPr>
      <w:t>I</w:t>
    </w:r>
    <w:r w:rsidR="00A75530" w:rsidRPr="00A75530">
      <w:rPr>
        <w:i/>
        <w:snapToGrid w:val="0"/>
        <w:sz w:val="18"/>
        <w:szCs w:val="18"/>
      </w:rPr>
      <w:t xml:space="preserve">nforme de Gestión de Promotur Turismo Canarias, S.A. - </w:t>
    </w:r>
    <w:r w:rsidRPr="00A75530">
      <w:rPr>
        <w:i/>
        <w:snapToGrid w:val="0"/>
        <w:sz w:val="18"/>
        <w:szCs w:val="18"/>
      </w:rPr>
      <w:t>E</w:t>
    </w:r>
    <w:r w:rsidR="00A75530" w:rsidRPr="00A75530">
      <w:rPr>
        <w:i/>
        <w:snapToGrid w:val="0"/>
        <w:sz w:val="18"/>
        <w:szCs w:val="18"/>
      </w:rPr>
      <w:t>jercicio</w:t>
    </w:r>
    <w:r w:rsidRPr="00A75530">
      <w:rPr>
        <w:i/>
        <w:snapToGrid w:val="0"/>
        <w:sz w:val="18"/>
        <w:szCs w:val="18"/>
      </w:rPr>
      <w:t xml:space="preserve"> 2018</w:t>
    </w:r>
  </w:p>
  <w:p w14:paraId="66F99241" w14:textId="77777777" w:rsidR="003A4111" w:rsidRPr="00A75530" w:rsidRDefault="003A4111" w:rsidP="003849D9">
    <w:pPr>
      <w:pStyle w:val="Encabezado"/>
      <w:rPr>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ECEF" w14:textId="77777777" w:rsidR="003A4111" w:rsidRDefault="001A7C10" w:rsidP="003849D9">
    <w:pPr>
      <w:pStyle w:val="Encabezado"/>
      <w:rPr>
        <w:b/>
        <w:snapToGrid w:val="0"/>
        <w:sz w:val="20"/>
      </w:rPr>
    </w:pPr>
    <w:r>
      <w:rPr>
        <w:noProof/>
      </w:rPr>
      <w:pict w14:anchorId="5CB18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2049" type="#_x0000_t75" style="position:absolute;margin-left:-77.95pt;margin-top:-62.2pt;width:577.1pt;height:73.7pt;z-index:-1;visibility:visible">
          <v:imagedata r:id="rId1" o:title=""/>
        </v:shape>
      </w:pict>
    </w:r>
  </w:p>
  <w:p w14:paraId="4B1E5DAC" w14:textId="77777777" w:rsidR="003A4111" w:rsidRDefault="003A4111" w:rsidP="003849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73687A"/>
    <w:multiLevelType w:val="hybridMultilevel"/>
    <w:tmpl w:val="02E45DD0"/>
    <w:numStyleLink w:val="Estiloimportado1"/>
  </w:abstractNum>
  <w:abstractNum w:abstractNumId="2" w15:restartNumberingAfterBreak="0">
    <w:nsid w:val="07B431FF"/>
    <w:multiLevelType w:val="hybridMultilevel"/>
    <w:tmpl w:val="8A2EB29E"/>
    <w:lvl w:ilvl="0" w:tplc="2A3CB45A">
      <w:start w:val="1"/>
      <w:numFmt w:val="lowerLetter"/>
      <w:lvlText w:val="%1)"/>
      <w:lvlJc w:val="left"/>
      <w:pPr>
        <w:tabs>
          <w:tab w:val="num" w:pos="720"/>
        </w:tabs>
        <w:ind w:left="720" w:hanging="360"/>
      </w:pPr>
      <w:rPr>
        <w:rFonts w:hint="default"/>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9E71ED4"/>
    <w:multiLevelType w:val="singleLevel"/>
    <w:tmpl w:val="5B762884"/>
    <w:lvl w:ilvl="0">
      <w:start w:val="1"/>
      <w:numFmt w:val="bullet"/>
      <w:pStyle w:val="TableBullet"/>
      <w:lvlText w:val="§"/>
      <w:lvlJc w:val="left"/>
      <w:pPr>
        <w:tabs>
          <w:tab w:val="num" w:pos="298"/>
        </w:tabs>
        <w:ind w:left="298" w:hanging="298"/>
      </w:pPr>
      <w:rPr>
        <w:rFonts w:ascii="Wingdings" w:hAnsi="Wingdings" w:hint="default"/>
        <w:sz w:val="18"/>
      </w:rPr>
    </w:lvl>
  </w:abstractNum>
  <w:abstractNum w:abstractNumId="4" w15:restartNumberingAfterBreak="0">
    <w:nsid w:val="11505932"/>
    <w:multiLevelType w:val="hybridMultilevel"/>
    <w:tmpl w:val="2F24D73C"/>
    <w:styleLink w:val="Estiloimportado10"/>
    <w:lvl w:ilvl="0" w:tplc="DB0AA31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1" w:tplc="E618BD1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2" w:tplc="E172881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3" w:tplc="ECC25C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4" w:tplc="531E2D1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5" w:tplc="1756899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6" w:tplc="BA7A6C5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7" w:tplc="A45A9D2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8" w:tplc="11DEE6A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abstractNum>
  <w:abstractNum w:abstractNumId="5" w15:restartNumberingAfterBreak="0">
    <w:nsid w:val="12B60594"/>
    <w:multiLevelType w:val="multilevel"/>
    <w:tmpl w:val="02F0F144"/>
    <w:lvl w:ilvl="0">
      <w:start w:val="1"/>
      <w:numFmt w:val="decimal"/>
      <w:lvlText w:val="%1"/>
      <w:lvlJc w:val="left"/>
      <w:pPr>
        <w:tabs>
          <w:tab w:val="num" w:pos="595"/>
        </w:tabs>
        <w:ind w:left="595" w:hanging="595"/>
      </w:pPr>
    </w:lvl>
    <w:lvl w:ilvl="1">
      <w:start w:val="1"/>
      <w:numFmt w:val="decimal"/>
      <w:pStyle w:val="Listaconnmeros4"/>
      <w:lvlText w:val="%2"/>
      <w:lvlJc w:val="left"/>
      <w:pPr>
        <w:tabs>
          <w:tab w:val="num" w:pos="1191"/>
        </w:tabs>
        <w:ind w:left="1191" w:hanging="595"/>
      </w:pPr>
    </w:lvl>
    <w:lvl w:ilvl="2">
      <w:start w:val="1"/>
      <w:numFmt w:val="decimal"/>
      <w:pStyle w:val="Listaconnmeros5"/>
      <w:lvlText w:val="%3"/>
      <w:lvlJc w:val="left"/>
      <w:pPr>
        <w:tabs>
          <w:tab w:val="num" w:pos="1786"/>
        </w:tabs>
        <w:ind w:left="1786" w:hanging="595"/>
      </w:pPr>
    </w:lvl>
    <w:lvl w:ilvl="3">
      <w:start w:val="1"/>
      <w:numFmt w:val="decimal"/>
      <w:pStyle w:val="Listaconnmeros4"/>
      <w:lvlText w:val="%4"/>
      <w:lvlJc w:val="left"/>
      <w:pPr>
        <w:tabs>
          <w:tab w:val="num" w:pos="2381"/>
        </w:tabs>
        <w:ind w:left="2381" w:hanging="595"/>
      </w:pPr>
    </w:lvl>
    <w:lvl w:ilvl="4">
      <w:start w:val="1"/>
      <w:numFmt w:val="decimal"/>
      <w:pStyle w:val="Listaconnmeros5"/>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6" w15:restartNumberingAfterBreak="0">
    <w:nsid w:val="13A67DC1"/>
    <w:multiLevelType w:val="hybridMultilevel"/>
    <w:tmpl w:val="EA08F104"/>
    <w:lvl w:ilvl="0" w:tplc="7BB8A4B2">
      <w:start w:val="1"/>
      <w:numFmt w:val="lowerLetter"/>
      <w:lvlText w:val="%1)"/>
      <w:lvlJc w:val="left"/>
      <w:pPr>
        <w:tabs>
          <w:tab w:val="num" w:pos="360"/>
        </w:tabs>
        <w:ind w:left="360" w:hanging="360"/>
      </w:pPr>
      <w:rPr>
        <w:rFonts w:hint="default"/>
        <w:u w:val="none"/>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15:restartNumberingAfterBreak="0">
    <w:nsid w:val="189F3717"/>
    <w:multiLevelType w:val="hybridMultilevel"/>
    <w:tmpl w:val="43903E14"/>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D8B1681"/>
    <w:multiLevelType w:val="multilevel"/>
    <w:tmpl w:val="5DF4EF0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773580"/>
    <w:multiLevelType w:val="hybridMultilevel"/>
    <w:tmpl w:val="A848855C"/>
    <w:lvl w:ilvl="0" w:tplc="A77A6FE8">
      <w:start w:val="1"/>
      <w:numFmt w:val="bullet"/>
      <w:pStyle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5D6230E"/>
    <w:multiLevelType w:val="singleLevel"/>
    <w:tmpl w:val="DA0CB540"/>
    <w:lvl w:ilvl="0">
      <w:start w:val="1"/>
      <w:numFmt w:val="decimal"/>
      <w:pStyle w:val="TableListNumber"/>
      <w:lvlText w:val="%1."/>
      <w:lvlJc w:val="left"/>
      <w:pPr>
        <w:tabs>
          <w:tab w:val="num" w:pos="360"/>
        </w:tabs>
        <w:ind w:left="298" w:hanging="298"/>
      </w:pPr>
    </w:lvl>
  </w:abstractNum>
  <w:abstractNum w:abstractNumId="11" w15:restartNumberingAfterBreak="0">
    <w:nsid w:val="3AAC1BC9"/>
    <w:multiLevelType w:val="hybridMultilevel"/>
    <w:tmpl w:val="3B9EA8DA"/>
    <w:numStyleLink w:val="Estiloimportado3"/>
  </w:abstractNum>
  <w:abstractNum w:abstractNumId="12" w15:restartNumberingAfterBreak="0">
    <w:nsid w:val="40D61C80"/>
    <w:multiLevelType w:val="hybridMultilevel"/>
    <w:tmpl w:val="02E45DD0"/>
    <w:styleLink w:val="Estiloimportado1"/>
    <w:lvl w:ilvl="0" w:tplc="73BC6A76">
      <w:start w:val="1"/>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C3C8824A">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5F0367E">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3" w:tplc="0CB265F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3EE6C9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09223C4">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6" w:tplc="9F66899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DBE56F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3EC11C0">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36B2FCF"/>
    <w:multiLevelType w:val="hybridMultilevel"/>
    <w:tmpl w:val="DE308618"/>
    <w:lvl w:ilvl="0" w:tplc="47B2F3A0">
      <w:start w:val="3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713753D"/>
    <w:multiLevelType w:val="hybridMultilevel"/>
    <w:tmpl w:val="2F24D73C"/>
    <w:numStyleLink w:val="Estiloimportado10"/>
  </w:abstractNum>
  <w:abstractNum w:abstractNumId="15" w15:restartNumberingAfterBreak="0">
    <w:nsid w:val="585D330C"/>
    <w:multiLevelType w:val="hybridMultilevel"/>
    <w:tmpl w:val="EB189034"/>
    <w:lvl w:ilvl="0" w:tplc="BE623DA2">
      <w:start w:val="1"/>
      <w:numFmt w:val="decimal"/>
      <w:lvlText w:val="%1."/>
      <w:lvlJc w:val="left"/>
      <w:pPr>
        <w:tabs>
          <w:tab w:val="num" w:pos="644"/>
        </w:tabs>
        <w:ind w:left="644" w:hanging="360"/>
      </w:pPr>
      <w:rPr>
        <w:rFonts w:hint="default"/>
        <w:b/>
        <w:i w:val="0"/>
        <w:sz w:val="20"/>
        <w:szCs w:val="22"/>
      </w:rPr>
    </w:lvl>
    <w:lvl w:ilvl="1" w:tplc="E8443EE8">
      <w:start w:val="1"/>
      <w:numFmt w:val="lowerRoman"/>
      <w:lvlText w:val="(%2)"/>
      <w:lvlJc w:val="left"/>
      <w:pPr>
        <w:tabs>
          <w:tab w:val="num" w:pos="1800"/>
        </w:tabs>
        <w:ind w:left="1800" w:hanging="720"/>
      </w:pPr>
      <w:rPr>
        <w:rFonts w:hint="default"/>
        <w:b w:val="0"/>
        <w:i/>
        <w:sz w:val="20"/>
        <w:szCs w:val="20"/>
      </w:rPr>
    </w:lvl>
    <w:lvl w:ilvl="2" w:tplc="7C52E0C4">
      <w:start w:val="1"/>
      <w:numFmt w:val="lowerRoman"/>
      <w:lvlText w:val="(%3)"/>
      <w:lvlJc w:val="left"/>
      <w:pPr>
        <w:tabs>
          <w:tab w:val="num" w:pos="2700"/>
        </w:tabs>
        <w:ind w:left="2700" w:hanging="720"/>
      </w:pPr>
      <w:rPr>
        <w:rFonts w:hint="default"/>
        <w:b w:val="0"/>
        <w:i/>
        <w:sz w:val="20"/>
        <w:szCs w:val="20"/>
      </w:r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B8C6330"/>
    <w:multiLevelType w:val="hybridMultilevel"/>
    <w:tmpl w:val="2506D886"/>
    <w:lvl w:ilvl="0" w:tplc="0BEA6550">
      <w:start w:val="1"/>
      <w:numFmt w:val="lowerLetter"/>
      <w:lvlText w:val="%1)"/>
      <w:lvlJc w:val="left"/>
      <w:pPr>
        <w:ind w:left="644" w:hanging="360"/>
      </w:pPr>
      <w:rPr>
        <w:rFonts w:hint="default"/>
        <w:i/>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5ED962B4"/>
    <w:multiLevelType w:val="multilevel"/>
    <w:tmpl w:val="C296986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381ACF"/>
    <w:multiLevelType w:val="hybridMultilevel"/>
    <w:tmpl w:val="73589C56"/>
    <w:lvl w:ilvl="0" w:tplc="7BB8A4B2">
      <w:start w:val="1"/>
      <w:numFmt w:val="lowerLetter"/>
      <w:lvlText w:val="%1)"/>
      <w:lvlJc w:val="left"/>
      <w:pPr>
        <w:tabs>
          <w:tab w:val="num" w:pos="360"/>
        </w:tabs>
        <w:ind w:left="360" w:hanging="360"/>
      </w:pPr>
      <w:rPr>
        <w:rFonts w:hint="default"/>
        <w:u w:val="none"/>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15:restartNumberingAfterBreak="0">
    <w:nsid w:val="653A2A41"/>
    <w:multiLevelType w:val="hybridMultilevel"/>
    <w:tmpl w:val="B34E4D14"/>
    <w:lvl w:ilvl="0" w:tplc="0C0A0017">
      <w:start w:val="1"/>
      <w:numFmt w:val="low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5552A59"/>
    <w:multiLevelType w:val="hybridMultilevel"/>
    <w:tmpl w:val="99108868"/>
    <w:lvl w:ilvl="0" w:tplc="9A543296">
      <w:start w:val="1"/>
      <w:numFmt w:val="decimal"/>
      <w:lvlText w:val="%1."/>
      <w:lvlJc w:val="left"/>
      <w:pPr>
        <w:ind w:left="720" w:hanging="360"/>
      </w:pPr>
      <w:rPr>
        <w:rFonts w:ascii="Arial" w:hAnsi="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975037F"/>
    <w:multiLevelType w:val="hybridMultilevel"/>
    <w:tmpl w:val="9E908FF4"/>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6A005ED7"/>
    <w:multiLevelType w:val="hybridMultilevel"/>
    <w:tmpl w:val="3B9EA8DA"/>
    <w:styleLink w:val="Estiloimportado3"/>
    <w:lvl w:ilvl="0" w:tplc="4200485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1" w:tplc="43A0B856">
      <w:start w:val="1"/>
      <w:numFmt w:val="bullet"/>
      <w:lvlText w:val="o"/>
      <w:lvlJc w:val="left"/>
      <w:pPr>
        <w:tabs>
          <w:tab w:val="left" w:pos="720"/>
          <w:tab w:val="left" w:pos="2160"/>
          <w:tab w:val="left" w:pos="2880"/>
          <w:tab w:val="left" w:pos="3600"/>
          <w:tab w:val="left" w:pos="4320"/>
          <w:tab w:val="left" w:pos="5040"/>
          <w:tab w:val="left" w:pos="5760"/>
          <w:tab w:val="left" w:pos="6480"/>
          <w:tab w:val="left" w:pos="7200"/>
          <w:tab w:val="left" w:pos="7920"/>
        </w:tabs>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F40F96">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s>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E2F376">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s>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2EDAC6">
      <w:start w:val="1"/>
      <w:numFmt w:val="bullet"/>
      <w:lvlText w:val="o"/>
      <w:lvlJc w:val="left"/>
      <w:pPr>
        <w:tabs>
          <w:tab w:val="left" w:pos="720"/>
          <w:tab w:val="left" w:pos="1440"/>
          <w:tab w:val="left" w:pos="2160"/>
          <w:tab w:val="left" w:pos="2880"/>
          <w:tab w:val="left" w:pos="4320"/>
          <w:tab w:val="left" w:pos="5040"/>
          <w:tab w:val="left" w:pos="5760"/>
          <w:tab w:val="left" w:pos="6480"/>
          <w:tab w:val="left" w:pos="7200"/>
          <w:tab w:val="left" w:pos="7920"/>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7A80E4">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s>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EE68A2">
      <w:start w:val="1"/>
      <w:numFmt w:val="bullet"/>
      <w:lvlText w:val="·"/>
      <w:lvlJc w:val="left"/>
      <w:pPr>
        <w:tabs>
          <w:tab w:val="left" w:pos="720"/>
          <w:tab w:val="left" w:pos="1440"/>
          <w:tab w:val="left" w:pos="2160"/>
          <w:tab w:val="left" w:pos="2880"/>
          <w:tab w:val="left" w:pos="3600"/>
          <w:tab w:val="left" w:pos="4320"/>
          <w:tab w:val="left" w:pos="5760"/>
          <w:tab w:val="left" w:pos="6480"/>
          <w:tab w:val="left" w:pos="7200"/>
          <w:tab w:val="left" w:pos="7920"/>
        </w:tabs>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70D122">
      <w:start w:val="1"/>
      <w:numFmt w:val="bullet"/>
      <w:lvlText w:val="o"/>
      <w:lvlJc w:val="left"/>
      <w:pPr>
        <w:tabs>
          <w:tab w:val="left" w:pos="720"/>
          <w:tab w:val="left" w:pos="1440"/>
          <w:tab w:val="left" w:pos="2160"/>
          <w:tab w:val="left" w:pos="2880"/>
          <w:tab w:val="left" w:pos="3600"/>
          <w:tab w:val="left" w:pos="4320"/>
          <w:tab w:val="left" w:pos="5040"/>
          <w:tab w:val="left" w:pos="6480"/>
          <w:tab w:val="left" w:pos="7200"/>
          <w:tab w:val="left" w:pos="7920"/>
        </w:tabs>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3A0F7C">
      <w:start w:val="1"/>
      <w:numFmt w:val="bullet"/>
      <w:lvlText w:val="▪"/>
      <w:lvlJc w:val="left"/>
      <w:pPr>
        <w:tabs>
          <w:tab w:val="left" w:pos="720"/>
          <w:tab w:val="left" w:pos="1440"/>
          <w:tab w:val="left" w:pos="2160"/>
          <w:tab w:val="left" w:pos="2880"/>
          <w:tab w:val="left" w:pos="3600"/>
          <w:tab w:val="left" w:pos="4320"/>
          <w:tab w:val="left" w:pos="5040"/>
          <w:tab w:val="left" w:pos="5760"/>
          <w:tab w:val="left" w:pos="7200"/>
          <w:tab w:val="left" w:pos="7920"/>
        </w:tabs>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40A798F"/>
    <w:multiLevelType w:val="hybridMultilevel"/>
    <w:tmpl w:val="5F98D090"/>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793113DD"/>
    <w:multiLevelType w:val="hybridMultilevel"/>
    <w:tmpl w:val="EDD8F5B2"/>
    <w:lvl w:ilvl="0" w:tplc="E0969FD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7D993642"/>
    <w:multiLevelType w:val="hybridMultilevel"/>
    <w:tmpl w:val="A308D14E"/>
    <w:lvl w:ilvl="0" w:tplc="E3503592">
      <w:start w:val="1"/>
      <w:numFmt w:val="lowerLetter"/>
      <w:lvlText w:val="%1)"/>
      <w:lvlJc w:val="left"/>
      <w:pPr>
        <w:ind w:left="750" w:hanging="360"/>
      </w:pPr>
      <w:rPr>
        <w:rFonts w:hint="default"/>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num w:numId="1">
    <w:abstractNumId w:val="12"/>
  </w:num>
  <w:num w:numId="2">
    <w:abstractNumId w:val="1"/>
  </w:num>
  <w:num w:numId="3">
    <w:abstractNumId w:val="7"/>
  </w:num>
  <w:num w:numId="4">
    <w:abstractNumId w:val="7"/>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5">
    <w:abstractNumId w:val="1"/>
    <w:lvlOverride w:ilvl="0">
      <w:startOverride w:val="2"/>
      <w:lvl w:ilvl="0" w:tplc="CB5AC6E8">
        <w:start w:val="2"/>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2402416">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83CCF94">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C728832">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5AA9912">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A023038">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BE2D05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E8E789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1644EF4">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7"/>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7"/>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8">
    <w:abstractNumId w:val="7"/>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9">
    <w:abstractNumId w:val="7"/>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1"/>
    <w:lvlOverride w:ilvl="0">
      <w:startOverride w:val="3"/>
      <w:lvl w:ilvl="0" w:tplc="CB5AC6E8">
        <w:start w:val="3"/>
        <w:numFmt w:val="decimal"/>
        <w:lvlText w:val="%1."/>
        <w:lvlJc w:val="left"/>
        <w:pPr>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2402416">
        <w:start w:val="1"/>
        <w:numFmt w:val="lowerLetter"/>
        <w:lvlText w:val="%2."/>
        <w:lvlJc w:val="left"/>
        <w:pPr>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83CCF94">
        <w:start w:val="1"/>
        <w:numFmt w:val="lowerRoman"/>
        <w:lvlText w:val="%3."/>
        <w:lvlJc w:val="left"/>
        <w:pPr>
          <w:ind w:left="180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EC728832">
        <w:start w:val="1"/>
        <w:numFmt w:val="decimal"/>
        <w:lvlText w:val="%4."/>
        <w:lvlJc w:val="left"/>
        <w:pPr>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75AA9912">
        <w:start w:val="1"/>
        <w:numFmt w:val="lowerLetter"/>
        <w:lvlText w:val="%5."/>
        <w:lvlJc w:val="left"/>
        <w:pPr>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A023038">
        <w:start w:val="1"/>
        <w:numFmt w:val="lowerRoman"/>
        <w:lvlText w:val="%6."/>
        <w:lvlJc w:val="left"/>
        <w:pPr>
          <w:ind w:left="396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3BE2D058">
        <w:start w:val="1"/>
        <w:numFmt w:val="decimal"/>
        <w:lvlText w:val="%7."/>
        <w:lvlJc w:val="left"/>
        <w:pPr>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E8E789A">
        <w:start w:val="1"/>
        <w:numFmt w:val="lowerLetter"/>
        <w:lvlText w:val="%8."/>
        <w:lvlJc w:val="left"/>
        <w:pPr>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31644EF4">
        <w:start w:val="1"/>
        <w:numFmt w:val="lowerRoman"/>
        <w:lvlText w:val="%9."/>
        <w:lvlJc w:val="left"/>
        <w:pPr>
          <w:ind w:left="612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4"/>
  </w:num>
  <w:num w:numId="12">
    <w:abstractNumId w:val="14"/>
  </w:num>
  <w:num w:numId="13">
    <w:abstractNumId w:val="14"/>
    <w:lvlOverride w:ilvl="0">
      <w:lvl w:ilvl="0" w:tplc="C0CA909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CB88A59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6868FD5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AAAA63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87788F4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614ABB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9670C9C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C5E2F33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AEEC1D1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4">
    <w:abstractNumId w:val="1"/>
    <w:lvlOverride w:ilvl="0">
      <w:startOverride w:val="4"/>
      <w:lvl w:ilvl="0" w:tplc="CB5AC6E8">
        <w:start w:val="4"/>
        <w:numFmt w:val="decimal"/>
        <w:suff w:val="nothing"/>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2402416">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83CCF94">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C728832">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5AA9912">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A023038">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BE2D05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E8E789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1644EF4">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abstractNumId w:val="7"/>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6">
    <w:abstractNumId w:val="7"/>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7">
    <w:abstractNumId w:val="7"/>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8">
    <w:abstractNumId w:val="22"/>
  </w:num>
  <w:num w:numId="19">
    <w:abstractNumId w:val="11"/>
  </w:num>
  <w:num w:numId="20">
    <w:abstractNumId w:val="1"/>
    <w:lvlOverride w:ilvl="0">
      <w:startOverride w:val="5"/>
      <w:lvl w:ilvl="0" w:tplc="CB5AC6E8">
        <w:start w:val="5"/>
        <w:numFmt w:val="decimal"/>
        <w:suff w:val="nothing"/>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2402416">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83CCF94">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C728832">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5AA9912">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A023038">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BE2D05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E8E789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1644EF4">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abstractNumId w:val="7"/>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2">
    <w:abstractNumId w:val="7"/>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3">
    <w:abstractNumId w:val="7"/>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4">
    <w:abstractNumId w:val="7"/>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5">
    <w:abstractNumId w:val="7"/>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6">
    <w:abstractNumId w:val="7"/>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7">
    <w:abstractNumId w:val="7"/>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4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8">
    <w:abstractNumId w:val="7"/>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4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9">
    <w:abstractNumId w:val="25"/>
  </w:num>
  <w:num w:numId="30">
    <w:abstractNumId w:val="8"/>
  </w:num>
  <w:num w:numId="31">
    <w:abstractNumId w:val="9"/>
  </w:num>
  <w:num w:numId="32">
    <w:abstractNumId w:val="21"/>
  </w:num>
  <w:num w:numId="33">
    <w:abstractNumId w:val="23"/>
  </w:num>
  <w:num w:numId="34">
    <w:abstractNumId w:val="15"/>
  </w:num>
  <w:num w:numId="35">
    <w:abstractNumId w:val="0"/>
    <w:lvlOverride w:ilvl="0">
      <w:lvl w:ilvl="0">
        <w:start w:val="1"/>
        <w:numFmt w:val="bullet"/>
        <w:lvlText w:val=""/>
        <w:legacy w:legacy="1" w:legacySpace="0" w:legacyIndent="283"/>
        <w:lvlJc w:val="left"/>
        <w:pPr>
          <w:ind w:left="823" w:hanging="283"/>
        </w:pPr>
        <w:rPr>
          <w:rFonts w:ascii="Wingdings" w:hAnsi="Wingdings" w:hint="default"/>
          <w:b w:val="0"/>
          <w:i w:val="0"/>
          <w:sz w:val="24"/>
        </w:rPr>
      </w:lvl>
    </w:lvlOverride>
  </w:num>
  <w:num w:numId="36">
    <w:abstractNumId w:val="5"/>
  </w:num>
  <w:num w:numId="37">
    <w:abstractNumId w:val="3"/>
  </w:num>
  <w:num w:numId="38">
    <w:abstractNumId w:val="10"/>
  </w:num>
  <w:num w:numId="39">
    <w:abstractNumId w:val="6"/>
  </w:num>
  <w:num w:numId="40">
    <w:abstractNumId w:val="2"/>
  </w:num>
  <w:num w:numId="41">
    <w:abstractNumId w:val="18"/>
  </w:num>
  <w:num w:numId="42">
    <w:abstractNumId w:val="16"/>
  </w:num>
  <w:num w:numId="43">
    <w:abstractNumId w:val="24"/>
  </w:num>
  <w:num w:numId="44">
    <w:abstractNumId w:val="19"/>
  </w:num>
  <w:num w:numId="45">
    <w:abstractNumId w:val="17"/>
  </w:num>
  <w:num w:numId="46">
    <w:abstractNumId w:val="13"/>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NotTrackMoves/>
  <w:defaultTabStop w:val="0"/>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20A2"/>
    <w:rsid w:val="00022891"/>
    <w:rsid w:val="00037561"/>
    <w:rsid w:val="00061F97"/>
    <w:rsid w:val="00065019"/>
    <w:rsid w:val="00066C08"/>
    <w:rsid w:val="000724EE"/>
    <w:rsid w:val="000868A4"/>
    <w:rsid w:val="00094C69"/>
    <w:rsid w:val="000A1698"/>
    <w:rsid w:val="000E12D1"/>
    <w:rsid w:val="00136A7F"/>
    <w:rsid w:val="001504BF"/>
    <w:rsid w:val="00173DFA"/>
    <w:rsid w:val="001743D3"/>
    <w:rsid w:val="001823B1"/>
    <w:rsid w:val="00184908"/>
    <w:rsid w:val="001A4656"/>
    <w:rsid w:val="001A7C10"/>
    <w:rsid w:val="001B79CB"/>
    <w:rsid w:val="001C41C7"/>
    <w:rsid w:val="001D401D"/>
    <w:rsid w:val="001D4E55"/>
    <w:rsid w:val="001F7A68"/>
    <w:rsid w:val="00200AD5"/>
    <w:rsid w:val="00203B25"/>
    <w:rsid w:val="00204098"/>
    <w:rsid w:val="00206334"/>
    <w:rsid w:val="002109C5"/>
    <w:rsid w:val="002174D8"/>
    <w:rsid w:val="00232D19"/>
    <w:rsid w:val="00241C65"/>
    <w:rsid w:val="00252876"/>
    <w:rsid w:val="00283801"/>
    <w:rsid w:val="00285677"/>
    <w:rsid w:val="00292276"/>
    <w:rsid w:val="002B1377"/>
    <w:rsid w:val="002C53CE"/>
    <w:rsid w:val="002E2D28"/>
    <w:rsid w:val="00304D7A"/>
    <w:rsid w:val="00306A4F"/>
    <w:rsid w:val="00312C0B"/>
    <w:rsid w:val="00322D31"/>
    <w:rsid w:val="00323C6B"/>
    <w:rsid w:val="003245BF"/>
    <w:rsid w:val="00325C27"/>
    <w:rsid w:val="00345D0E"/>
    <w:rsid w:val="003849D9"/>
    <w:rsid w:val="0039296B"/>
    <w:rsid w:val="003A4111"/>
    <w:rsid w:val="003A50C9"/>
    <w:rsid w:val="003A749C"/>
    <w:rsid w:val="003A7C0E"/>
    <w:rsid w:val="003B2290"/>
    <w:rsid w:val="003B2544"/>
    <w:rsid w:val="003B5254"/>
    <w:rsid w:val="003C1930"/>
    <w:rsid w:val="003D034B"/>
    <w:rsid w:val="003D08A2"/>
    <w:rsid w:val="003D3F6E"/>
    <w:rsid w:val="003D6D7D"/>
    <w:rsid w:val="00403785"/>
    <w:rsid w:val="00403F0F"/>
    <w:rsid w:val="004161BD"/>
    <w:rsid w:val="00416FC5"/>
    <w:rsid w:val="00417BE6"/>
    <w:rsid w:val="00421F84"/>
    <w:rsid w:val="004261D1"/>
    <w:rsid w:val="004318A7"/>
    <w:rsid w:val="0044471E"/>
    <w:rsid w:val="00445336"/>
    <w:rsid w:val="0045206D"/>
    <w:rsid w:val="00472545"/>
    <w:rsid w:val="004959C1"/>
    <w:rsid w:val="004965EB"/>
    <w:rsid w:val="00497BA8"/>
    <w:rsid w:val="00515CDC"/>
    <w:rsid w:val="005434FC"/>
    <w:rsid w:val="00546AFE"/>
    <w:rsid w:val="00556E1C"/>
    <w:rsid w:val="00575E57"/>
    <w:rsid w:val="00576388"/>
    <w:rsid w:val="005A1CFC"/>
    <w:rsid w:val="005B6BD0"/>
    <w:rsid w:val="005C1B95"/>
    <w:rsid w:val="005F4C14"/>
    <w:rsid w:val="006220A2"/>
    <w:rsid w:val="0063334D"/>
    <w:rsid w:val="0063457A"/>
    <w:rsid w:val="0063724F"/>
    <w:rsid w:val="0064184F"/>
    <w:rsid w:val="00644201"/>
    <w:rsid w:val="00652744"/>
    <w:rsid w:val="00652FA1"/>
    <w:rsid w:val="006617F6"/>
    <w:rsid w:val="0066765D"/>
    <w:rsid w:val="00693BB6"/>
    <w:rsid w:val="006A4779"/>
    <w:rsid w:val="006D42A8"/>
    <w:rsid w:val="006D502E"/>
    <w:rsid w:val="006E21EB"/>
    <w:rsid w:val="006E3FEF"/>
    <w:rsid w:val="006F5361"/>
    <w:rsid w:val="007022BA"/>
    <w:rsid w:val="00706DDF"/>
    <w:rsid w:val="0071126B"/>
    <w:rsid w:val="00716059"/>
    <w:rsid w:val="00725D74"/>
    <w:rsid w:val="00750A62"/>
    <w:rsid w:val="0075517F"/>
    <w:rsid w:val="0075646D"/>
    <w:rsid w:val="0075792A"/>
    <w:rsid w:val="007804E8"/>
    <w:rsid w:val="0078563B"/>
    <w:rsid w:val="00787B38"/>
    <w:rsid w:val="00792C0E"/>
    <w:rsid w:val="00797DBD"/>
    <w:rsid w:val="007F48B7"/>
    <w:rsid w:val="007F5EAB"/>
    <w:rsid w:val="00801015"/>
    <w:rsid w:val="00807933"/>
    <w:rsid w:val="00813C69"/>
    <w:rsid w:val="00841182"/>
    <w:rsid w:val="008460A7"/>
    <w:rsid w:val="00852114"/>
    <w:rsid w:val="0086380F"/>
    <w:rsid w:val="008A2B22"/>
    <w:rsid w:val="008B4094"/>
    <w:rsid w:val="008D2839"/>
    <w:rsid w:val="008D7FF4"/>
    <w:rsid w:val="008F635C"/>
    <w:rsid w:val="00900988"/>
    <w:rsid w:val="00920E21"/>
    <w:rsid w:val="0094063E"/>
    <w:rsid w:val="00960E49"/>
    <w:rsid w:val="00964D0D"/>
    <w:rsid w:val="00972FA9"/>
    <w:rsid w:val="00973506"/>
    <w:rsid w:val="0097484D"/>
    <w:rsid w:val="0098694D"/>
    <w:rsid w:val="00990647"/>
    <w:rsid w:val="00991F63"/>
    <w:rsid w:val="009A334E"/>
    <w:rsid w:val="009A4A35"/>
    <w:rsid w:val="009B51EF"/>
    <w:rsid w:val="009D0745"/>
    <w:rsid w:val="009E1CF7"/>
    <w:rsid w:val="00A06021"/>
    <w:rsid w:val="00A25CEC"/>
    <w:rsid w:val="00A304AB"/>
    <w:rsid w:val="00A30AB8"/>
    <w:rsid w:val="00A47E7E"/>
    <w:rsid w:val="00A5196F"/>
    <w:rsid w:val="00A526A7"/>
    <w:rsid w:val="00A54830"/>
    <w:rsid w:val="00A62EFB"/>
    <w:rsid w:val="00A648CF"/>
    <w:rsid w:val="00A6616B"/>
    <w:rsid w:val="00A75530"/>
    <w:rsid w:val="00A95AD9"/>
    <w:rsid w:val="00AB4061"/>
    <w:rsid w:val="00AD7E92"/>
    <w:rsid w:val="00AF19D8"/>
    <w:rsid w:val="00B00A6F"/>
    <w:rsid w:val="00B10DE7"/>
    <w:rsid w:val="00B1785B"/>
    <w:rsid w:val="00B25C3F"/>
    <w:rsid w:val="00B33A26"/>
    <w:rsid w:val="00B4079B"/>
    <w:rsid w:val="00B42311"/>
    <w:rsid w:val="00B615BF"/>
    <w:rsid w:val="00B84CC7"/>
    <w:rsid w:val="00B91626"/>
    <w:rsid w:val="00BA74DA"/>
    <w:rsid w:val="00BF47F0"/>
    <w:rsid w:val="00C01F3D"/>
    <w:rsid w:val="00C113FE"/>
    <w:rsid w:val="00C13F57"/>
    <w:rsid w:val="00C16766"/>
    <w:rsid w:val="00C73E63"/>
    <w:rsid w:val="00C87167"/>
    <w:rsid w:val="00C90531"/>
    <w:rsid w:val="00C93969"/>
    <w:rsid w:val="00C95AAF"/>
    <w:rsid w:val="00CC7A4A"/>
    <w:rsid w:val="00CF69E6"/>
    <w:rsid w:val="00D06769"/>
    <w:rsid w:val="00D36170"/>
    <w:rsid w:val="00D509C6"/>
    <w:rsid w:val="00D63680"/>
    <w:rsid w:val="00D80D91"/>
    <w:rsid w:val="00D95B27"/>
    <w:rsid w:val="00DB4135"/>
    <w:rsid w:val="00DC4B4F"/>
    <w:rsid w:val="00E0430A"/>
    <w:rsid w:val="00E109EE"/>
    <w:rsid w:val="00E15B19"/>
    <w:rsid w:val="00E269EC"/>
    <w:rsid w:val="00E36FF0"/>
    <w:rsid w:val="00E42075"/>
    <w:rsid w:val="00E605E5"/>
    <w:rsid w:val="00E72AE3"/>
    <w:rsid w:val="00E90EEA"/>
    <w:rsid w:val="00EC5A5C"/>
    <w:rsid w:val="00EC5B36"/>
    <w:rsid w:val="00ED23D8"/>
    <w:rsid w:val="00EE2732"/>
    <w:rsid w:val="00EF6EBF"/>
    <w:rsid w:val="00F0611A"/>
    <w:rsid w:val="00F47B07"/>
    <w:rsid w:val="00F605FF"/>
    <w:rsid w:val="00F62799"/>
    <w:rsid w:val="00F86F16"/>
    <w:rsid w:val="00FB27C9"/>
    <w:rsid w:val="00FD1BEA"/>
    <w:rsid w:val="00FD445C"/>
    <w:rsid w:val="00FD5BF3"/>
    <w:rsid w:val="00FE082B"/>
    <w:rsid w:val="00FE44A7"/>
    <w:rsid w:val="00FF35D6"/>
    <w:rsid w:val="00FF54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6"/>
    <o:shapelayout v:ext="edit">
      <o:idmap v:ext="edit" data="1"/>
    </o:shapelayout>
  </w:shapeDefaults>
  <w:decimalSymbol w:val=","/>
  <w:listSeparator w:val=";"/>
  <w14:docId w14:val="4C6B89D9"/>
  <w14:defaultImageDpi w14:val="32767"/>
  <w15:chartTrackingRefBased/>
  <w15:docId w15:val="{F0F020B8-4C58-438C-A14D-3CA1AA3B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0A2"/>
    <w:pPr>
      <w:pBdr>
        <w:top w:val="nil"/>
        <w:left w:val="nil"/>
        <w:bottom w:val="nil"/>
        <w:right w:val="nil"/>
        <w:between w:val="nil"/>
        <w:bar w:val="nil"/>
      </w:pBdr>
      <w:outlineLvl w:val="2"/>
    </w:pPr>
    <w:rPr>
      <w:rFonts w:ascii="Arial" w:eastAsia="Cambria" w:hAnsi="Arial" w:cs="Arial"/>
      <w:color w:val="000000"/>
      <w:sz w:val="24"/>
      <w:szCs w:val="24"/>
      <w:u w:color="000000"/>
      <w:bdr w:val="nil"/>
      <w:lang w:eastAsia="es-ES_tradnl"/>
    </w:rPr>
  </w:style>
  <w:style w:type="paragraph" w:styleId="Ttulo1">
    <w:name w:val="heading 1"/>
    <w:basedOn w:val="Prrafodelista"/>
    <w:next w:val="Normal"/>
    <w:link w:val="Ttulo1Car"/>
    <w:qFormat/>
    <w:rsid w:val="00A06021"/>
    <w:pPr>
      <w:numPr>
        <w:numId w:val="30"/>
      </w:numPr>
      <w:outlineLvl w:val="0"/>
    </w:pPr>
    <w:rPr>
      <w:rFonts w:ascii="Arial" w:hAnsi="Arial" w:cs="Arial"/>
      <w:b/>
    </w:rPr>
  </w:style>
  <w:style w:type="paragraph" w:styleId="Ttulo2">
    <w:name w:val="heading 2"/>
    <w:basedOn w:val="Ttulo1"/>
    <w:next w:val="Normal"/>
    <w:link w:val="Ttulo2Car"/>
    <w:unhideWhenUsed/>
    <w:qFormat/>
    <w:rsid w:val="00A06021"/>
    <w:pPr>
      <w:numPr>
        <w:ilvl w:val="1"/>
      </w:numPr>
      <w:outlineLvl w:val="1"/>
    </w:pPr>
  </w:style>
  <w:style w:type="paragraph" w:styleId="Ttulo3">
    <w:name w:val="heading 3"/>
    <w:basedOn w:val="Ttulo2"/>
    <w:next w:val="Normal"/>
    <w:link w:val="Ttulo3Car"/>
    <w:unhideWhenUsed/>
    <w:qFormat/>
    <w:rsid w:val="00A06021"/>
    <w:pPr>
      <w:numPr>
        <w:ilvl w:val="2"/>
      </w:numPr>
      <w:outlineLvl w:val="2"/>
    </w:pPr>
  </w:style>
  <w:style w:type="paragraph" w:styleId="Ttulo4">
    <w:name w:val="heading 4"/>
    <w:basedOn w:val="Normal"/>
    <w:next w:val="Normal"/>
    <w:link w:val="Ttulo4Car"/>
    <w:qFormat/>
    <w:rsid w:val="006220A2"/>
    <w:pPr>
      <w:keepNex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37"/>
      <w:jc w:val="both"/>
      <w:outlineLvl w:val="3"/>
    </w:pPr>
    <w:rPr>
      <w:rFonts w:ascii="CG Omega" w:eastAsia="Times New Roman" w:hAnsi="CG Omega" w:cs="Times New Roman"/>
      <w:snapToGrid w:val="0"/>
      <w:sz w:val="22"/>
      <w:szCs w:val="20"/>
      <w:u w:val="single"/>
      <w:bdr w:val="none" w:sz="0" w:space="0" w:color="auto"/>
      <w:lang w:eastAsia="es-ES"/>
    </w:rPr>
  </w:style>
  <w:style w:type="paragraph" w:styleId="Ttulo5">
    <w:name w:val="heading 5"/>
    <w:basedOn w:val="Normal"/>
    <w:next w:val="Normal"/>
    <w:link w:val="Ttulo5Car"/>
    <w:unhideWhenUsed/>
    <w:qFormat/>
    <w:rsid w:val="006220A2"/>
    <w:pPr>
      <w:keepNext/>
      <w:keepLines/>
      <w:spacing w:before="40"/>
      <w:outlineLvl w:val="4"/>
    </w:pPr>
    <w:rPr>
      <w:rFonts w:ascii="Calibri Light" w:eastAsia="Times New Roman" w:hAnsi="Calibri Light" w:cs="Times New Roman"/>
      <w:color w:val="2F5496"/>
    </w:rPr>
  </w:style>
  <w:style w:type="paragraph" w:styleId="Ttulo6">
    <w:name w:val="heading 6"/>
    <w:basedOn w:val="Normal"/>
    <w:next w:val="Normal"/>
    <w:link w:val="Ttulo6Car"/>
    <w:qFormat/>
    <w:rsid w:val="006220A2"/>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line="187" w:lineRule="exact"/>
      <w:outlineLvl w:val="5"/>
    </w:pPr>
    <w:rPr>
      <w:rFonts w:ascii="CG Omega" w:eastAsia="Times New Roman" w:hAnsi="CG Omega" w:cs="Times New Roman"/>
      <w:b/>
      <w:snapToGrid w:val="0"/>
      <w:sz w:val="20"/>
      <w:szCs w:val="20"/>
      <w:bdr w:val="none" w:sz="0" w:space="0" w:color="auto"/>
      <w:lang w:eastAsia="es-ES"/>
    </w:rPr>
  </w:style>
  <w:style w:type="paragraph" w:styleId="Ttulo7">
    <w:name w:val="heading 7"/>
    <w:basedOn w:val="Normal"/>
    <w:next w:val="Normal"/>
    <w:link w:val="Ttulo7Car"/>
    <w:qFormat/>
    <w:rsid w:val="006220A2"/>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line="187" w:lineRule="exact"/>
      <w:outlineLvl w:val="6"/>
    </w:pPr>
    <w:rPr>
      <w:rFonts w:ascii="CG Omega" w:eastAsia="Times New Roman" w:hAnsi="CG Omega" w:cs="Times New Roman"/>
      <w:b/>
      <w:snapToGrid w:val="0"/>
      <w:sz w:val="18"/>
      <w:szCs w:val="20"/>
      <w:bdr w:val="none" w:sz="0" w:space="0" w:color="auto"/>
      <w:lang w:eastAsia="es-ES"/>
    </w:rPr>
  </w:style>
  <w:style w:type="paragraph" w:styleId="Ttulo8">
    <w:name w:val="heading 8"/>
    <w:basedOn w:val="Normal"/>
    <w:next w:val="Normal"/>
    <w:link w:val="Ttulo8Car"/>
    <w:qFormat/>
    <w:rsid w:val="006220A2"/>
    <w:pPr>
      <w:keepNext/>
      <w:widowControl w:val="0"/>
      <w:pBdr>
        <w:top w:val="none" w:sz="0" w:space="0" w:color="auto"/>
        <w:left w:val="none" w:sz="0" w:space="0" w:color="auto"/>
        <w:bottom w:val="none" w:sz="0" w:space="0" w:color="auto"/>
        <w:right w:val="none" w:sz="0" w:space="0" w:color="auto"/>
        <w:between w:val="none" w:sz="0" w:space="0" w:color="auto"/>
        <w:bar w:val="none" w:sz="0" w:color="auto"/>
      </w:pBdr>
      <w:outlineLvl w:val="7"/>
    </w:pPr>
    <w:rPr>
      <w:rFonts w:ascii="CG Omega" w:eastAsia="Times New Roman" w:hAnsi="CG Omega" w:cs="Times New Roman"/>
      <w:b/>
      <w:snapToGrid w:val="0"/>
      <w:sz w:val="18"/>
      <w:szCs w:val="20"/>
      <w:u w:val="single"/>
      <w:bdr w:val="none" w:sz="0" w:space="0" w:color="auto"/>
      <w:lang w:eastAsia="es-ES"/>
    </w:rPr>
  </w:style>
  <w:style w:type="paragraph" w:styleId="Ttulo9">
    <w:name w:val="heading 9"/>
    <w:basedOn w:val="Normal"/>
    <w:next w:val="Normal"/>
    <w:link w:val="Ttulo9Car"/>
    <w:qFormat/>
    <w:rsid w:val="006220A2"/>
    <w:pPr>
      <w:keepNext/>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8"/>
    </w:pPr>
    <w:rPr>
      <w:rFonts w:ascii="CG Omega" w:eastAsia="Times New Roman" w:hAnsi="CG Omega" w:cs="Times New Roman"/>
      <w:b/>
      <w:snapToGrid w:val="0"/>
      <w:sz w:val="18"/>
      <w:szCs w:val="20"/>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804E8"/>
    <w:pPr>
      <w:tabs>
        <w:tab w:val="center" w:pos="4252"/>
        <w:tab w:val="right" w:pos="8504"/>
      </w:tabs>
    </w:pPr>
  </w:style>
  <w:style w:type="character" w:customStyle="1" w:styleId="EncabezadoCar">
    <w:name w:val="Encabezado Car"/>
    <w:link w:val="Encabezado"/>
    <w:uiPriority w:val="99"/>
    <w:rsid w:val="007804E8"/>
    <w:rPr>
      <w:rFonts w:eastAsia="Times New Roman"/>
    </w:rPr>
  </w:style>
  <w:style w:type="paragraph" w:styleId="Piedepgina">
    <w:name w:val="footer"/>
    <w:basedOn w:val="Normal"/>
    <w:link w:val="PiedepginaCar"/>
    <w:uiPriority w:val="99"/>
    <w:unhideWhenUsed/>
    <w:rsid w:val="007804E8"/>
    <w:pPr>
      <w:tabs>
        <w:tab w:val="center" w:pos="4252"/>
        <w:tab w:val="right" w:pos="8504"/>
      </w:tabs>
    </w:pPr>
  </w:style>
  <w:style w:type="character" w:customStyle="1" w:styleId="PiedepginaCar">
    <w:name w:val="Pie de página Car"/>
    <w:link w:val="Piedepgina"/>
    <w:uiPriority w:val="99"/>
    <w:rsid w:val="007804E8"/>
    <w:rPr>
      <w:rFonts w:eastAsia="Times New Roman"/>
    </w:rPr>
  </w:style>
  <w:style w:type="paragraph" w:customStyle="1" w:styleId="Cuerpo">
    <w:name w:val="Cuerpo"/>
    <w:rsid w:val="0075646D"/>
    <w:pPr>
      <w:pBdr>
        <w:top w:val="nil"/>
        <w:left w:val="nil"/>
        <w:bottom w:val="nil"/>
        <w:right w:val="nil"/>
        <w:between w:val="nil"/>
        <w:bar w:val="nil"/>
      </w:pBdr>
    </w:pPr>
    <w:rPr>
      <w:rFonts w:ascii="Cambria" w:eastAsia="Cambria" w:hAnsi="Cambria" w:cs="Cambria"/>
      <w:color w:val="000000"/>
      <w:sz w:val="24"/>
      <w:szCs w:val="24"/>
      <w:u w:color="000000"/>
      <w:bdr w:val="nil"/>
      <w:lang w:val="es-ES_tradnl" w:eastAsia="es-ES_tradnl"/>
    </w:rPr>
  </w:style>
  <w:style w:type="character" w:customStyle="1" w:styleId="Ninguno">
    <w:name w:val="Ninguno"/>
    <w:rsid w:val="0075646D"/>
    <w:rPr>
      <w:lang w:val="es-ES_tradnl"/>
    </w:rPr>
  </w:style>
  <w:style w:type="paragraph" w:styleId="Prrafodelista">
    <w:name w:val="List Paragraph"/>
    <w:link w:val="PrrafodelistaCar"/>
    <w:uiPriority w:val="34"/>
    <w:qFormat/>
    <w:rsid w:val="0075646D"/>
    <w:pPr>
      <w:pBdr>
        <w:top w:val="nil"/>
        <w:left w:val="nil"/>
        <w:bottom w:val="nil"/>
        <w:right w:val="nil"/>
        <w:between w:val="nil"/>
        <w:bar w:val="nil"/>
      </w:pBdr>
      <w:ind w:left="720"/>
    </w:pPr>
    <w:rPr>
      <w:rFonts w:ascii="Cambria" w:eastAsia="Cambria" w:hAnsi="Cambria" w:cs="Cambria"/>
      <w:color w:val="000000"/>
      <w:sz w:val="24"/>
      <w:szCs w:val="24"/>
      <w:u w:color="000000"/>
      <w:bdr w:val="nil"/>
      <w:lang w:val="es-ES_tradnl" w:eastAsia="es-ES_tradnl"/>
    </w:rPr>
  </w:style>
  <w:style w:type="numbering" w:customStyle="1" w:styleId="Estiloimportado1">
    <w:name w:val="Estilo importado 1"/>
    <w:rsid w:val="0075646D"/>
    <w:pPr>
      <w:numPr>
        <w:numId w:val="1"/>
      </w:numPr>
    </w:pPr>
  </w:style>
  <w:style w:type="character" w:customStyle="1" w:styleId="Hyperlink0">
    <w:name w:val="Hyperlink.0"/>
    <w:rsid w:val="0075646D"/>
    <w:rPr>
      <w:color w:val="0000FF"/>
      <w:u w:val="single" w:color="0000FF"/>
    </w:rPr>
  </w:style>
  <w:style w:type="numbering" w:customStyle="1" w:styleId="Estiloimportado10">
    <w:name w:val="Estilo importado 1.0"/>
    <w:rsid w:val="0075646D"/>
    <w:pPr>
      <w:numPr>
        <w:numId w:val="11"/>
      </w:numPr>
    </w:pPr>
  </w:style>
  <w:style w:type="character" w:customStyle="1" w:styleId="Hyperlink1">
    <w:name w:val="Hyperlink.1"/>
    <w:rsid w:val="0075646D"/>
    <w:rPr>
      <w:color w:val="000000"/>
      <w:u w:val="single" w:color="0000FF"/>
    </w:rPr>
  </w:style>
  <w:style w:type="numbering" w:customStyle="1" w:styleId="Estiloimportado3">
    <w:name w:val="Estilo importado 3"/>
    <w:rsid w:val="0075646D"/>
    <w:pPr>
      <w:numPr>
        <w:numId w:val="18"/>
      </w:numPr>
    </w:pPr>
  </w:style>
  <w:style w:type="paragraph" w:customStyle="1" w:styleId="Poromisin">
    <w:name w:val="Por omisión"/>
    <w:rsid w:val="0075646D"/>
    <w:pPr>
      <w:pBdr>
        <w:top w:val="nil"/>
        <w:left w:val="nil"/>
        <w:bottom w:val="nil"/>
        <w:right w:val="nil"/>
        <w:between w:val="nil"/>
        <w:bar w:val="nil"/>
      </w:pBdr>
    </w:pPr>
    <w:rPr>
      <w:rFonts w:ascii="Helvetica Neue" w:eastAsia="Helvetica Neue" w:hAnsi="Helvetica Neue" w:cs="Helvetica Neue"/>
      <w:color w:val="000000"/>
      <w:sz w:val="22"/>
      <w:szCs w:val="22"/>
      <w:bdr w:val="nil"/>
      <w:lang w:val="es-ES_tradnl" w:eastAsia="es-ES_tradnl"/>
    </w:rPr>
  </w:style>
  <w:style w:type="character" w:styleId="Hipervnculo">
    <w:name w:val="Hyperlink"/>
    <w:unhideWhenUsed/>
    <w:rsid w:val="0075646D"/>
    <w:rPr>
      <w:color w:val="0563C1"/>
      <w:u w:val="single"/>
    </w:rPr>
  </w:style>
  <w:style w:type="character" w:customStyle="1" w:styleId="Ttulo1Car">
    <w:name w:val="Título 1 Car"/>
    <w:link w:val="Ttulo1"/>
    <w:rsid w:val="00A06021"/>
    <w:rPr>
      <w:rFonts w:ascii="Arial" w:eastAsia="Cambria" w:hAnsi="Arial" w:cs="Arial"/>
      <w:b/>
      <w:color w:val="000000"/>
      <w:u w:color="000000"/>
      <w:bdr w:val="nil"/>
      <w:lang w:eastAsia="es-ES_tradnl"/>
    </w:rPr>
  </w:style>
  <w:style w:type="character" w:customStyle="1" w:styleId="Ttulo2Car">
    <w:name w:val="Título 2 Car"/>
    <w:link w:val="Ttulo2"/>
    <w:rsid w:val="00A06021"/>
    <w:rPr>
      <w:rFonts w:ascii="Arial" w:eastAsia="Cambria" w:hAnsi="Arial" w:cs="Arial"/>
      <w:b/>
      <w:color w:val="000000"/>
      <w:u w:color="000000"/>
      <w:bdr w:val="nil"/>
      <w:lang w:eastAsia="es-ES_tradnl"/>
    </w:rPr>
  </w:style>
  <w:style w:type="character" w:customStyle="1" w:styleId="Ttulo3Car">
    <w:name w:val="Título 3 Car"/>
    <w:link w:val="Ttulo3"/>
    <w:rsid w:val="00A06021"/>
    <w:rPr>
      <w:rFonts w:ascii="Arial" w:eastAsia="Cambria" w:hAnsi="Arial" w:cs="Arial"/>
      <w:b/>
      <w:color w:val="000000"/>
      <w:u w:color="000000"/>
      <w:bdr w:val="nil"/>
      <w:lang w:eastAsia="es-ES_tradnl"/>
    </w:rPr>
  </w:style>
  <w:style w:type="paragraph" w:customStyle="1" w:styleId="bullet">
    <w:name w:val="bullet"/>
    <w:basedOn w:val="Prrafodelista"/>
    <w:link w:val="bulletCar"/>
    <w:rsid w:val="00D95B27"/>
    <w:pPr>
      <w:numPr>
        <w:numId w:val="31"/>
      </w:num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w:rPr>
  </w:style>
  <w:style w:type="character" w:customStyle="1" w:styleId="PrrafodelistaCar">
    <w:name w:val="Párrafo de lista Car"/>
    <w:link w:val="Prrafodelista"/>
    <w:rsid w:val="00D95B27"/>
    <w:rPr>
      <w:rFonts w:ascii="Cambria" w:eastAsia="Cambria" w:hAnsi="Cambria" w:cs="Cambria"/>
      <w:color w:val="000000"/>
      <w:u w:color="000000"/>
      <w:bdr w:val="nil"/>
      <w:lang w:eastAsia="es-ES_tradnl"/>
    </w:rPr>
  </w:style>
  <w:style w:type="character" w:customStyle="1" w:styleId="bulletCar">
    <w:name w:val="bullet Car"/>
    <w:link w:val="bullet"/>
    <w:rsid w:val="00D95B27"/>
    <w:rPr>
      <w:rFonts w:ascii="Arial" w:eastAsia="Cambria" w:hAnsi="Arial" w:cs="Arial"/>
      <w:color w:val="000000"/>
      <w:u w:color="000000"/>
      <w:bdr w:val="nil"/>
      <w:lang w:eastAsia="es-ES_tradnl"/>
    </w:rPr>
  </w:style>
  <w:style w:type="paragraph" w:customStyle="1" w:styleId="TextePrinc">
    <w:name w:val="TextePrinc"/>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textAlignment w:val="baseline"/>
      <w:outlineLvl w:val="9"/>
    </w:pPr>
    <w:rPr>
      <w:rFonts w:eastAsia="Times New Roman" w:cs="Times New Roman"/>
      <w:noProof/>
      <w:sz w:val="18"/>
      <w:szCs w:val="20"/>
      <w:bdr w:val="none" w:sz="0" w:space="0" w:color="auto"/>
      <w:lang w:eastAsia="es-ES"/>
    </w:rPr>
  </w:style>
  <w:style w:type="character" w:customStyle="1" w:styleId="Ttulo5Car">
    <w:name w:val="Título 5 Car"/>
    <w:link w:val="Ttulo5"/>
    <w:rsid w:val="006220A2"/>
    <w:rPr>
      <w:rFonts w:ascii="Calibri Light" w:eastAsia="Times New Roman" w:hAnsi="Calibri Light" w:cs="Times New Roman"/>
      <w:color w:val="2F5496"/>
      <w:u w:color="000000"/>
      <w:bdr w:val="nil"/>
      <w:lang w:val="es-ES" w:eastAsia="es-ES_tradnl"/>
    </w:rPr>
  </w:style>
  <w:style w:type="character" w:customStyle="1" w:styleId="Ttulo4Car">
    <w:name w:val="Título 4 Car"/>
    <w:link w:val="Ttulo4"/>
    <w:rsid w:val="006220A2"/>
    <w:rPr>
      <w:rFonts w:ascii="CG Omega" w:eastAsia="Times New Roman" w:hAnsi="CG Omega" w:cs="Times New Roman"/>
      <w:snapToGrid w:val="0"/>
      <w:color w:val="000000"/>
      <w:sz w:val="22"/>
      <w:szCs w:val="20"/>
      <w:u w:val="single" w:color="000000"/>
      <w:lang w:val="es-ES" w:eastAsia="es-ES"/>
    </w:rPr>
  </w:style>
  <w:style w:type="character" w:customStyle="1" w:styleId="Ttulo6Car">
    <w:name w:val="Título 6 Car"/>
    <w:link w:val="Ttulo6"/>
    <w:rsid w:val="006220A2"/>
    <w:rPr>
      <w:rFonts w:ascii="CG Omega" w:eastAsia="Times New Roman" w:hAnsi="CG Omega" w:cs="Times New Roman"/>
      <w:b/>
      <w:snapToGrid w:val="0"/>
      <w:color w:val="000000"/>
      <w:sz w:val="20"/>
      <w:szCs w:val="20"/>
      <w:u w:color="000000"/>
      <w:lang w:val="es-ES" w:eastAsia="es-ES"/>
    </w:rPr>
  </w:style>
  <w:style w:type="character" w:customStyle="1" w:styleId="Ttulo7Car">
    <w:name w:val="Título 7 Car"/>
    <w:link w:val="Ttulo7"/>
    <w:rsid w:val="006220A2"/>
    <w:rPr>
      <w:rFonts w:ascii="CG Omega" w:eastAsia="Times New Roman" w:hAnsi="CG Omega" w:cs="Times New Roman"/>
      <w:b/>
      <w:snapToGrid w:val="0"/>
      <w:color w:val="000000"/>
      <w:sz w:val="18"/>
      <w:szCs w:val="20"/>
      <w:u w:color="000000"/>
      <w:lang w:val="es-ES" w:eastAsia="es-ES"/>
    </w:rPr>
  </w:style>
  <w:style w:type="character" w:customStyle="1" w:styleId="Ttulo8Car">
    <w:name w:val="Título 8 Car"/>
    <w:link w:val="Ttulo8"/>
    <w:rsid w:val="006220A2"/>
    <w:rPr>
      <w:rFonts w:ascii="CG Omega" w:eastAsia="Times New Roman" w:hAnsi="CG Omega" w:cs="Times New Roman"/>
      <w:b/>
      <w:snapToGrid w:val="0"/>
      <w:color w:val="000000"/>
      <w:sz w:val="18"/>
      <w:szCs w:val="20"/>
      <w:u w:val="single" w:color="000000"/>
      <w:lang w:val="es-ES" w:eastAsia="es-ES"/>
    </w:rPr>
  </w:style>
  <w:style w:type="character" w:customStyle="1" w:styleId="Ttulo9Car">
    <w:name w:val="Título 9 Car"/>
    <w:link w:val="Ttulo9"/>
    <w:rsid w:val="006220A2"/>
    <w:rPr>
      <w:rFonts w:ascii="CG Omega" w:eastAsia="Times New Roman" w:hAnsi="CG Omega" w:cs="Times New Roman"/>
      <w:b/>
      <w:snapToGrid w:val="0"/>
      <w:color w:val="000000"/>
      <w:sz w:val="18"/>
      <w:szCs w:val="20"/>
      <w:u w:color="000000"/>
      <w:lang w:val="es-ES" w:eastAsia="es-ES"/>
    </w:rPr>
  </w:style>
  <w:style w:type="character" w:styleId="Nmerodepgina">
    <w:name w:val="page number"/>
    <w:basedOn w:val="Fuentedeprrafopredeter"/>
    <w:rsid w:val="006220A2"/>
  </w:style>
  <w:style w:type="paragraph" w:styleId="Sangradetextonormal">
    <w:name w:val="Body Text Indent"/>
    <w:basedOn w:val="Normal"/>
    <w:link w:val="SangradetextonormalCar"/>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37"/>
      <w:outlineLvl w:val="9"/>
    </w:pPr>
    <w:rPr>
      <w:rFonts w:ascii="CG Omega" w:eastAsia="Times New Roman" w:hAnsi="CG Omega" w:cs="Times New Roman"/>
      <w:snapToGrid w:val="0"/>
      <w:szCs w:val="20"/>
      <w:bdr w:val="none" w:sz="0" w:space="0" w:color="auto"/>
      <w:lang w:eastAsia="es-ES"/>
    </w:rPr>
  </w:style>
  <w:style w:type="character" w:customStyle="1" w:styleId="SangradetextonormalCar">
    <w:name w:val="Sangría de texto normal Car"/>
    <w:link w:val="Sangradetextonormal"/>
    <w:rsid w:val="006220A2"/>
    <w:rPr>
      <w:rFonts w:ascii="CG Omega" w:eastAsia="Times New Roman" w:hAnsi="CG Omega" w:cs="Times New Roman"/>
      <w:snapToGrid w:val="0"/>
      <w:color w:val="000000"/>
      <w:szCs w:val="20"/>
      <w:u w:color="000000"/>
      <w:lang w:val="es-ES" w:eastAsia="es-ES"/>
    </w:rPr>
  </w:style>
  <w:style w:type="paragraph" w:styleId="Mapadeldocumento">
    <w:name w:val="Document Map"/>
    <w:basedOn w:val="Normal"/>
    <w:link w:val="MapadeldocumentoCar"/>
    <w:semiHidden/>
    <w:rsid w:val="006220A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outlineLvl w:val="9"/>
    </w:pPr>
    <w:rPr>
      <w:rFonts w:ascii="Tahoma" w:eastAsia="Times New Roman" w:hAnsi="Tahoma" w:cs="Times New Roman"/>
      <w:color w:val="auto"/>
      <w:sz w:val="22"/>
      <w:szCs w:val="20"/>
      <w:bdr w:val="none" w:sz="0" w:space="0" w:color="auto"/>
      <w:lang w:eastAsia="en-US"/>
    </w:rPr>
  </w:style>
  <w:style w:type="character" w:customStyle="1" w:styleId="MapadeldocumentoCar">
    <w:name w:val="Mapa del documento Car"/>
    <w:link w:val="Mapadeldocumento"/>
    <w:semiHidden/>
    <w:rsid w:val="006220A2"/>
    <w:rPr>
      <w:rFonts w:ascii="Tahoma" w:eastAsia="Times New Roman" w:hAnsi="Tahoma" w:cs="Times New Roman"/>
      <w:sz w:val="22"/>
      <w:szCs w:val="20"/>
      <w:u w:color="000000"/>
      <w:shd w:val="clear" w:color="auto" w:fill="000080"/>
      <w:lang w:val="es-ES"/>
    </w:rPr>
  </w:style>
  <w:style w:type="paragraph" w:styleId="Textoindependiente">
    <w:name w:val="Body Text"/>
    <w:basedOn w:val="Normal"/>
    <w:link w:val="TextoindependienteCar"/>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G Omega" w:eastAsia="Times New Roman" w:hAnsi="CG Omega" w:cs="Times New Roman"/>
      <w:i/>
      <w:snapToGrid w:val="0"/>
      <w:color w:val="FF0000"/>
      <w:sz w:val="28"/>
      <w:szCs w:val="20"/>
      <w:bdr w:val="none" w:sz="0" w:space="0" w:color="auto"/>
      <w:lang w:eastAsia="es-ES"/>
    </w:rPr>
  </w:style>
  <w:style w:type="character" w:customStyle="1" w:styleId="TextoindependienteCar">
    <w:name w:val="Texto independiente Car"/>
    <w:link w:val="Textoindependiente"/>
    <w:rsid w:val="006220A2"/>
    <w:rPr>
      <w:rFonts w:ascii="CG Omega" w:eastAsia="Times New Roman" w:hAnsi="CG Omega" w:cs="Times New Roman"/>
      <w:i/>
      <w:snapToGrid w:val="0"/>
      <w:color w:val="FF0000"/>
      <w:sz w:val="28"/>
      <w:szCs w:val="20"/>
      <w:u w:color="000000"/>
      <w:lang w:val="es-ES" w:eastAsia="es-ES"/>
    </w:rPr>
  </w:style>
  <w:style w:type="paragraph" w:styleId="Sangra2detindependiente">
    <w:name w:val="Body Text Indent 2"/>
    <w:basedOn w:val="Normal"/>
    <w:link w:val="Sangra2detindependienteCar"/>
    <w:rsid w:val="006220A2"/>
    <w:pPr>
      <w:keepLine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outlineLvl w:val="9"/>
    </w:pPr>
    <w:rPr>
      <w:rFonts w:ascii="CG Omega" w:eastAsia="Times New Roman" w:hAnsi="CG Omega" w:cs="Times New Roman"/>
      <w:snapToGrid w:val="0"/>
      <w:sz w:val="22"/>
      <w:szCs w:val="20"/>
      <w:bdr w:val="none" w:sz="0" w:space="0" w:color="auto"/>
      <w:lang w:eastAsia="es-ES"/>
    </w:rPr>
  </w:style>
  <w:style w:type="character" w:customStyle="1" w:styleId="Sangra2detindependienteCar">
    <w:name w:val="Sangría 2 de t. independiente Car"/>
    <w:link w:val="Sangra2detindependiente"/>
    <w:rsid w:val="006220A2"/>
    <w:rPr>
      <w:rFonts w:ascii="CG Omega" w:eastAsia="Times New Roman" w:hAnsi="CG Omega" w:cs="Times New Roman"/>
      <w:snapToGrid w:val="0"/>
      <w:color w:val="000000"/>
      <w:sz w:val="22"/>
      <w:szCs w:val="20"/>
      <w:u w:color="000000"/>
      <w:lang w:val="es-ES" w:eastAsia="es-ES"/>
    </w:rPr>
  </w:style>
  <w:style w:type="paragraph" w:styleId="Textoindependiente2">
    <w:name w:val="Body Text 2"/>
    <w:basedOn w:val="Normal"/>
    <w:link w:val="Textoindependiente2Car"/>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outlineLvl w:val="9"/>
    </w:pPr>
    <w:rPr>
      <w:rFonts w:ascii="CG Omega" w:eastAsia="Times New Roman" w:hAnsi="CG Omega" w:cs="Times New Roman"/>
      <w:i/>
      <w:snapToGrid w:val="0"/>
      <w:sz w:val="22"/>
      <w:szCs w:val="20"/>
      <w:bdr w:val="none" w:sz="0" w:space="0" w:color="auto"/>
      <w:lang w:eastAsia="es-ES"/>
    </w:rPr>
  </w:style>
  <w:style w:type="character" w:customStyle="1" w:styleId="Textoindependiente2Car">
    <w:name w:val="Texto independiente 2 Car"/>
    <w:link w:val="Textoindependiente2"/>
    <w:rsid w:val="006220A2"/>
    <w:rPr>
      <w:rFonts w:ascii="CG Omega" w:eastAsia="Times New Roman" w:hAnsi="CG Omega" w:cs="Times New Roman"/>
      <w:i/>
      <w:snapToGrid w:val="0"/>
      <w:color w:val="000000"/>
      <w:sz w:val="22"/>
      <w:szCs w:val="20"/>
      <w:u w:color="000000"/>
      <w:lang w:val="es-ES" w:eastAsia="es-ES"/>
    </w:rPr>
  </w:style>
  <w:style w:type="paragraph" w:styleId="Textoindependiente3">
    <w:name w:val="Body Text 3"/>
    <w:basedOn w:val="Normal"/>
    <w:link w:val="Textoindependiente3Car"/>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pPr>
    <w:rPr>
      <w:rFonts w:ascii="CG Omega" w:eastAsia="Times New Roman" w:hAnsi="CG Omega" w:cs="Times New Roman"/>
      <w:i/>
      <w:snapToGrid w:val="0"/>
      <w:sz w:val="22"/>
      <w:szCs w:val="20"/>
      <w:bdr w:val="none" w:sz="0" w:space="0" w:color="auto"/>
      <w:lang w:eastAsia="es-ES"/>
    </w:rPr>
  </w:style>
  <w:style w:type="character" w:customStyle="1" w:styleId="Textoindependiente3Car">
    <w:name w:val="Texto independiente 3 Car"/>
    <w:link w:val="Textoindependiente3"/>
    <w:rsid w:val="006220A2"/>
    <w:rPr>
      <w:rFonts w:ascii="CG Omega" w:eastAsia="Times New Roman" w:hAnsi="CG Omega" w:cs="Times New Roman"/>
      <w:i/>
      <w:snapToGrid w:val="0"/>
      <w:color w:val="000000"/>
      <w:sz w:val="22"/>
      <w:szCs w:val="20"/>
      <w:u w:color="000000"/>
      <w:lang w:val="es-ES" w:eastAsia="es-ES"/>
    </w:rPr>
  </w:style>
  <w:style w:type="paragraph" w:styleId="Sangra3detindependiente">
    <w:name w:val="Body Text Indent 3"/>
    <w:basedOn w:val="Normal"/>
    <w:link w:val="Sangra3detindependienteCar"/>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37"/>
      <w:outlineLvl w:val="9"/>
    </w:pPr>
    <w:rPr>
      <w:rFonts w:ascii="CG Omega" w:eastAsia="Times New Roman" w:hAnsi="CG Omega" w:cs="Times New Roman"/>
      <w:snapToGrid w:val="0"/>
      <w:sz w:val="22"/>
      <w:szCs w:val="20"/>
      <w:bdr w:val="none" w:sz="0" w:space="0" w:color="auto"/>
      <w:lang w:eastAsia="es-ES"/>
    </w:rPr>
  </w:style>
  <w:style w:type="character" w:customStyle="1" w:styleId="Sangra3detindependienteCar">
    <w:name w:val="Sangría 3 de t. independiente Car"/>
    <w:link w:val="Sangra3detindependiente"/>
    <w:rsid w:val="006220A2"/>
    <w:rPr>
      <w:rFonts w:ascii="CG Omega" w:eastAsia="Times New Roman" w:hAnsi="CG Omega" w:cs="Times New Roman"/>
      <w:snapToGrid w:val="0"/>
      <w:color w:val="000000"/>
      <w:sz w:val="22"/>
      <w:szCs w:val="20"/>
      <w:u w:color="000000"/>
      <w:lang w:val="es-ES" w:eastAsia="es-ES"/>
    </w:rPr>
  </w:style>
  <w:style w:type="paragraph" w:customStyle="1" w:styleId="Disclaimer">
    <w:name w:val="Disclaimer"/>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spacing w:line="200" w:lineRule="exact"/>
      <w:outlineLvl w:val="9"/>
    </w:pPr>
    <w:rPr>
      <w:rFonts w:ascii="Times New Roman" w:eastAsia="Times New Roman" w:hAnsi="Times New Roman" w:cs="Times New Roman"/>
      <w:color w:val="auto"/>
      <w:sz w:val="16"/>
      <w:szCs w:val="20"/>
      <w:bdr w:val="none" w:sz="0" w:space="0" w:color="auto"/>
      <w:lang w:val="es-ES_tradnl" w:eastAsia="en-US"/>
    </w:rPr>
  </w:style>
  <w:style w:type="paragraph" w:customStyle="1" w:styleId="Address">
    <w:name w:val="Address"/>
    <w:basedOn w:val="Normal"/>
    <w:rsid w:val="006220A2"/>
    <w:pPr>
      <w:pBdr>
        <w:top w:val="none" w:sz="0" w:space="0" w:color="auto"/>
        <w:left w:val="single" w:sz="4" w:space="6" w:color="auto"/>
        <w:bottom w:val="none" w:sz="0" w:space="0" w:color="auto"/>
        <w:right w:val="none" w:sz="0" w:space="0" w:color="auto"/>
        <w:between w:val="none" w:sz="0" w:space="0" w:color="auto"/>
        <w:bar w:val="none" w:sz="0" w:color="auto"/>
      </w:pBdr>
      <w:spacing w:line="200" w:lineRule="exact"/>
      <w:outlineLvl w:val="9"/>
    </w:pPr>
    <w:rPr>
      <w:rFonts w:ascii="Times New Roman" w:eastAsia="Times New Roman" w:hAnsi="Times New Roman" w:cs="Times New Roman"/>
      <w:color w:val="auto"/>
      <w:sz w:val="16"/>
      <w:szCs w:val="20"/>
      <w:bdr w:val="none" w:sz="0" w:space="0" w:color="auto"/>
      <w:lang w:val="es-ES_tradnl" w:eastAsia="en-US"/>
    </w:rPr>
  </w:style>
  <w:style w:type="paragraph" w:customStyle="1" w:styleId="Indent3">
    <w:name w:val="Indent 3"/>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spacing w:line="290" w:lineRule="atLeast"/>
      <w:ind w:left="2160"/>
      <w:outlineLvl w:val="9"/>
    </w:pPr>
    <w:rPr>
      <w:rFonts w:ascii="Times New Roman" w:eastAsia="Times New Roman" w:hAnsi="Times New Roman" w:cs="Times New Roman"/>
      <w:color w:val="auto"/>
      <w:szCs w:val="20"/>
      <w:bdr w:val="none" w:sz="0" w:space="0" w:color="auto"/>
      <w:lang w:val="es-ES_tradnl" w:eastAsia="en-US"/>
    </w:rPr>
  </w:style>
  <w:style w:type="paragraph" w:styleId="Textonotapie">
    <w:name w:val="footnote text"/>
    <w:basedOn w:val="Normal"/>
    <w:link w:val="TextonotapieCar"/>
    <w:semiHidden/>
    <w:rsid w:val="006220A2"/>
    <w:pPr>
      <w:pBdr>
        <w:top w:val="none" w:sz="0" w:space="0" w:color="auto"/>
        <w:left w:val="none" w:sz="0" w:space="0" w:color="auto"/>
        <w:bottom w:val="none" w:sz="0" w:space="0" w:color="auto"/>
        <w:right w:val="none" w:sz="0" w:space="0" w:color="auto"/>
        <w:between w:val="none" w:sz="0" w:space="0" w:color="auto"/>
        <w:bar w:val="none" w:sz="0" w:color="auto"/>
      </w:pBdr>
      <w:outlineLvl w:val="9"/>
    </w:pPr>
    <w:rPr>
      <w:rFonts w:ascii="CG Omega" w:eastAsia="Times New Roman" w:hAnsi="CG Omega" w:cs="Times New Roman"/>
      <w:color w:val="auto"/>
      <w:sz w:val="20"/>
      <w:szCs w:val="20"/>
      <w:bdr w:val="none" w:sz="0" w:space="0" w:color="auto"/>
      <w:lang w:eastAsia="en-US"/>
    </w:rPr>
  </w:style>
  <w:style w:type="character" w:customStyle="1" w:styleId="TextonotapieCar">
    <w:name w:val="Texto nota pie Car"/>
    <w:link w:val="Textonotapie"/>
    <w:semiHidden/>
    <w:rsid w:val="006220A2"/>
    <w:rPr>
      <w:rFonts w:ascii="CG Omega" w:eastAsia="Times New Roman" w:hAnsi="CG Omega" w:cs="Times New Roman"/>
      <w:sz w:val="20"/>
      <w:szCs w:val="20"/>
      <w:u w:color="000000"/>
      <w:lang w:val="es-ES"/>
    </w:rPr>
  </w:style>
  <w:style w:type="paragraph" w:customStyle="1" w:styleId="Estilo1">
    <w:name w:val="Estilo1"/>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num" w:pos="1134"/>
      </w:tabs>
      <w:ind w:left="1134" w:hanging="1134"/>
      <w:outlineLvl w:val="9"/>
    </w:pPr>
    <w:rPr>
      <w:rFonts w:ascii="CG Omega" w:eastAsia="Times New Roman" w:hAnsi="CG Omega" w:cs="Times New Roman"/>
      <w:b/>
      <w:caps/>
      <w:color w:val="auto"/>
      <w:sz w:val="22"/>
      <w:szCs w:val="20"/>
      <w:bdr w:val="none" w:sz="0" w:space="0" w:color="auto"/>
      <w:lang w:eastAsia="en-US"/>
    </w:rPr>
  </w:style>
  <w:style w:type="paragraph" w:customStyle="1" w:styleId="Pdc">
    <w:name w:val="Pdc"/>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leader="dot" w:pos="285"/>
        <w:tab w:val="left" w:leader="dot" w:pos="567"/>
        <w:tab w:val="left" w:leader="dot" w:pos="852"/>
        <w:tab w:val="left" w:leader="dot" w:pos="1134"/>
        <w:tab w:val="left" w:leader="dot" w:pos="1419"/>
        <w:tab w:val="left" w:leader="dot" w:pos="1701"/>
        <w:tab w:val="left" w:leader="dot" w:pos="1986"/>
        <w:tab w:val="left" w:leader="dot" w:pos="2268"/>
        <w:tab w:val="left" w:leader="dot" w:pos="2553"/>
        <w:tab w:val="left" w:leader="dot" w:pos="2835"/>
        <w:tab w:val="left" w:leader="dot" w:pos="3120"/>
        <w:tab w:val="left" w:leader="dot" w:pos="3402"/>
        <w:tab w:val="left" w:leader="dot" w:pos="3687"/>
        <w:tab w:val="left" w:leader="dot" w:pos="3969"/>
        <w:tab w:val="left" w:leader="dot" w:pos="4254"/>
        <w:tab w:val="left" w:leader="dot" w:pos="4536"/>
        <w:tab w:val="left" w:leader="dot" w:pos="4821"/>
        <w:tab w:val="left" w:leader="dot" w:pos="5100"/>
        <w:tab w:val="left" w:leader="dot" w:pos="5382"/>
        <w:tab w:val="left" w:leader="dot" w:pos="5667"/>
        <w:tab w:val="left" w:leader="dot" w:pos="5949"/>
        <w:tab w:val="left" w:leader="dot" w:pos="6234"/>
        <w:tab w:val="left" w:leader="dot" w:pos="6516"/>
        <w:tab w:val="left" w:leader="dot" w:pos="6801"/>
        <w:tab w:val="left" w:leader="dot" w:pos="7083"/>
        <w:tab w:val="left" w:leader="dot" w:pos="7368"/>
      </w:tabs>
      <w:overflowPunct w:val="0"/>
      <w:autoSpaceDE w:val="0"/>
      <w:autoSpaceDN w:val="0"/>
      <w:adjustRightInd w:val="0"/>
      <w:jc w:val="both"/>
      <w:textAlignment w:val="baseline"/>
      <w:outlineLvl w:val="9"/>
    </w:pPr>
    <w:rPr>
      <w:rFonts w:ascii="Times New Roman" w:eastAsia="Times New Roman" w:hAnsi="Times New Roman" w:cs="Times New Roman"/>
      <w:noProof/>
      <w:color w:val="FFFF00"/>
      <w:sz w:val="20"/>
      <w:szCs w:val="20"/>
      <w:bdr w:val="none" w:sz="0" w:space="0" w:color="auto"/>
      <w:lang w:eastAsia="es-ES"/>
    </w:rPr>
  </w:style>
  <w:style w:type="paragraph" w:customStyle="1" w:styleId="CelluleCourant">
    <w:name w:val="CelluleCourant"/>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outlineLvl w:val="9"/>
    </w:pPr>
    <w:rPr>
      <w:rFonts w:ascii="Times New Roman" w:eastAsia="Times New Roman" w:hAnsi="Times New Roman" w:cs="Times New Roman"/>
      <w:noProof/>
      <w:szCs w:val="20"/>
      <w:bdr w:val="none" w:sz="0" w:space="0" w:color="auto"/>
      <w:lang w:eastAsia="es-ES"/>
    </w:rPr>
  </w:style>
  <w:style w:type="character" w:customStyle="1" w:styleId="fmteuro">
    <w:name w:val="fmteuro"/>
    <w:rsid w:val="006220A2"/>
    <w:rPr>
      <w:rFonts w:ascii="Times" w:hAnsi="Times"/>
      <w:sz w:val="24"/>
    </w:rPr>
  </w:style>
  <w:style w:type="paragraph" w:styleId="Remitedesobre">
    <w:name w:val="envelope return"/>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utlineLvl w:val="9"/>
    </w:pPr>
    <w:rPr>
      <w:rFonts w:ascii="Frutiger-Light" w:eastAsia="Times New Roman" w:hAnsi="Frutiger-Light" w:cs="Times New Roman"/>
      <w:color w:val="auto"/>
      <w:sz w:val="20"/>
      <w:szCs w:val="20"/>
      <w:bdr w:val="none" w:sz="0" w:space="0" w:color="auto"/>
      <w:lang w:val="es-ES_tradnl" w:eastAsia="es-ES"/>
    </w:rPr>
  </w:style>
  <w:style w:type="paragraph" w:customStyle="1" w:styleId="Numeros">
    <w:name w:val="Numeros"/>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80"/>
      <w:textAlignment w:val="baseline"/>
      <w:outlineLvl w:val="9"/>
    </w:pPr>
    <w:rPr>
      <w:rFonts w:eastAsia="Times New Roman" w:cs="Times New Roman"/>
      <w:b/>
      <w:noProof/>
      <w:color w:val="FFFF00"/>
      <w:szCs w:val="20"/>
      <w:bdr w:val="none" w:sz="0" w:space="0" w:color="auto"/>
      <w:lang w:eastAsia="es-ES"/>
    </w:rPr>
  </w:style>
  <w:style w:type="paragraph" w:customStyle="1" w:styleId="Style1">
    <w:name w:val="Style 1"/>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9"/>
    </w:pPr>
    <w:rPr>
      <w:rFonts w:ascii="Times New Roman" w:eastAsia="Times New Roman" w:hAnsi="Times New Roman" w:cs="Times New Roman"/>
      <w:color w:val="auto"/>
      <w:sz w:val="20"/>
      <w:bdr w:val="none" w:sz="0" w:space="0" w:color="auto"/>
      <w:lang w:val="en-US" w:eastAsia="en-US"/>
    </w:rPr>
  </w:style>
  <w:style w:type="paragraph" w:customStyle="1" w:styleId="Style2">
    <w:name w:val="Style 2"/>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tLeast"/>
      <w:ind w:left="288" w:hanging="252"/>
      <w:outlineLvl w:val="9"/>
    </w:pPr>
    <w:rPr>
      <w:rFonts w:ascii="Times New Roman" w:eastAsia="Times New Roman" w:hAnsi="Times New Roman" w:cs="Times New Roman"/>
      <w:color w:val="auto"/>
      <w:sz w:val="20"/>
      <w:bdr w:val="none" w:sz="0" w:space="0" w:color="auto"/>
      <w:lang w:val="en-US" w:eastAsia="en-US"/>
    </w:rPr>
  </w:style>
  <w:style w:type="paragraph" w:customStyle="1" w:styleId="Preci">
    <w:name w:val="Preci"/>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ind w:left="285"/>
      <w:jc w:val="both"/>
      <w:textAlignment w:val="baseline"/>
      <w:outlineLvl w:val="9"/>
    </w:pPr>
    <w:rPr>
      <w:rFonts w:eastAsia="Times New Roman" w:cs="Times New Roman"/>
      <w:noProof/>
      <w:sz w:val="18"/>
      <w:szCs w:val="20"/>
      <w:bdr w:val="none" w:sz="0" w:space="0" w:color="auto"/>
      <w:lang w:eastAsia="es-ES"/>
    </w:rPr>
  </w:style>
  <w:style w:type="paragraph" w:customStyle="1" w:styleId="TableFootnote">
    <w:name w:val="TableFootnote"/>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utlineLvl w:val="9"/>
    </w:pPr>
    <w:rPr>
      <w:rFonts w:ascii="Times New Roman" w:eastAsia="Times New Roman" w:hAnsi="Times New Roman" w:cs="Times New Roman"/>
      <w:noProof/>
      <w:sz w:val="20"/>
      <w:szCs w:val="20"/>
      <w:bdr w:val="none" w:sz="0" w:space="0" w:color="auto"/>
      <w:lang w:eastAsia="es-ES"/>
    </w:rPr>
  </w:style>
  <w:style w:type="paragraph" w:customStyle="1" w:styleId="TableTitle">
    <w:name w:val="TableTitle"/>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center"/>
      <w:textAlignment w:val="baseline"/>
      <w:outlineLvl w:val="9"/>
    </w:pPr>
    <w:rPr>
      <w:rFonts w:ascii="Times New Roman" w:eastAsia="Times New Roman" w:hAnsi="Times New Roman" w:cs="Times New Roman"/>
      <w:b/>
      <w:noProof/>
      <w:szCs w:val="20"/>
      <w:bdr w:val="none" w:sz="0" w:space="0" w:color="auto"/>
      <w:lang w:eastAsia="es-ES"/>
    </w:rPr>
  </w:style>
  <w:style w:type="paragraph" w:customStyle="1" w:styleId="Titre10">
    <w:name w:val="Titre 10"/>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textAlignment w:val="baseline"/>
      <w:outlineLvl w:val="9"/>
    </w:pPr>
    <w:rPr>
      <w:rFonts w:ascii="Times New Roman" w:eastAsia="Times New Roman" w:hAnsi="Times New Roman" w:cs="Times New Roman"/>
      <w:b/>
      <w:noProof/>
      <w:szCs w:val="20"/>
      <w:bdr w:val="none" w:sz="0" w:space="0" w:color="auto"/>
      <w:lang w:eastAsia="es-ES"/>
    </w:rPr>
  </w:style>
  <w:style w:type="paragraph" w:customStyle="1" w:styleId="Style8">
    <w:name w:val="Style 8"/>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16" w:line="228" w:lineRule="atLeast"/>
      <w:jc w:val="center"/>
      <w:outlineLvl w:val="9"/>
    </w:pPr>
    <w:rPr>
      <w:rFonts w:ascii="Times New Roman" w:eastAsia="Times New Roman" w:hAnsi="Times New Roman" w:cs="Times New Roman"/>
      <w:color w:val="auto"/>
      <w:sz w:val="20"/>
      <w:bdr w:val="none" w:sz="0" w:space="0" w:color="auto"/>
      <w:lang w:val="en-US" w:eastAsia="en-US"/>
    </w:rPr>
  </w:style>
  <w:style w:type="paragraph" w:customStyle="1" w:styleId="Style4">
    <w:name w:val="Style 4"/>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600" w:lineRule="atLeast"/>
      <w:outlineLvl w:val="9"/>
    </w:pPr>
    <w:rPr>
      <w:rFonts w:ascii="Times New Roman" w:eastAsia="Times New Roman" w:hAnsi="Times New Roman" w:cs="Times New Roman"/>
      <w:color w:val="auto"/>
      <w:sz w:val="20"/>
      <w:bdr w:val="none" w:sz="0" w:space="0" w:color="auto"/>
      <w:lang w:val="en-US" w:eastAsia="en-US"/>
    </w:rPr>
  </w:style>
  <w:style w:type="paragraph" w:customStyle="1" w:styleId="Style3">
    <w:name w:val="Style 3"/>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24"/>
      <w:outlineLvl w:val="9"/>
    </w:pPr>
    <w:rPr>
      <w:rFonts w:ascii="Times New Roman" w:eastAsia="Times New Roman" w:hAnsi="Times New Roman" w:cs="Times New Roman"/>
      <w:color w:val="auto"/>
      <w:sz w:val="20"/>
      <w:bdr w:val="none" w:sz="0" w:space="0" w:color="auto"/>
      <w:lang w:val="en-US" w:eastAsia="en-US"/>
    </w:rPr>
  </w:style>
  <w:style w:type="paragraph" w:customStyle="1" w:styleId="Style5">
    <w:name w:val="Style 5"/>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2" w:after="252" w:line="168" w:lineRule="exact"/>
      <w:ind w:right="216"/>
      <w:outlineLvl w:val="9"/>
    </w:pPr>
    <w:rPr>
      <w:rFonts w:ascii="Times New Roman" w:eastAsia="Times New Roman" w:hAnsi="Times New Roman" w:cs="Times New Roman"/>
      <w:color w:val="auto"/>
      <w:sz w:val="20"/>
      <w:bdr w:val="none" w:sz="0" w:space="0" w:color="auto"/>
      <w:lang w:val="en-US" w:eastAsia="en-US"/>
    </w:rPr>
  </w:style>
  <w:style w:type="paragraph" w:customStyle="1" w:styleId="Style7">
    <w:name w:val="Style 7"/>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52" w:line="240" w:lineRule="atLeast"/>
      <w:jc w:val="center"/>
      <w:outlineLvl w:val="9"/>
    </w:pPr>
    <w:rPr>
      <w:rFonts w:ascii="Times New Roman" w:eastAsia="Times New Roman" w:hAnsi="Times New Roman" w:cs="Times New Roman"/>
      <w:color w:val="auto"/>
      <w:sz w:val="20"/>
      <w:bdr w:val="none" w:sz="0" w:space="0" w:color="auto"/>
      <w:lang w:val="en-US" w:eastAsia="en-US"/>
    </w:rPr>
  </w:style>
  <w:style w:type="paragraph" w:customStyle="1" w:styleId="Style6">
    <w:name w:val="Style 6"/>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76" w:hanging="288"/>
      <w:outlineLvl w:val="9"/>
    </w:pPr>
    <w:rPr>
      <w:rFonts w:ascii="Times New Roman" w:eastAsia="Times New Roman" w:hAnsi="Times New Roman" w:cs="Times New Roman"/>
      <w:color w:val="auto"/>
      <w:sz w:val="20"/>
      <w:bdr w:val="none" w:sz="0" w:space="0" w:color="auto"/>
      <w:lang w:val="en-US" w:eastAsia="en-US"/>
    </w:rPr>
  </w:style>
  <w:style w:type="paragraph" w:customStyle="1" w:styleId="Style9">
    <w:name w:val="Style 9"/>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2" w:after="252" w:line="168" w:lineRule="exact"/>
      <w:ind w:right="216" w:firstLine="576"/>
      <w:outlineLvl w:val="9"/>
    </w:pPr>
    <w:rPr>
      <w:rFonts w:ascii="Times New Roman" w:eastAsia="Times New Roman" w:hAnsi="Times New Roman" w:cs="Times New Roman"/>
      <w:color w:val="auto"/>
      <w:sz w:val="20"/>
      <w:bdr w:val="none" w:sz="0" w:space="0" w:color="auto"/>
      <w:lang w:val="en-US" w:eastAsia="en-US"/>
    </w:rPr>
  </w:style>
  <w:style w:type="paragraph" w:customStyle="1" w:styleId="Style10">
    <w:name w:val="Style 10"/>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2" w:after="252" w:line="168" w:lineRule="exact"/>
      <w:ind w:left="216"/>
      <w:outlineLvl w:val="9"/>
    </w:pPr>
    <w:rPr>
      <w:rFonts w:ascii="Times New Roman" w:eastAsia="Times New Roman" w:hAnsi="Times New Roman" w:cs="Times New Roman"/>
      <w:color w:val="auto"/>
      <w:sz w:val="20"/>
      <w:bdr w:val="none" w:sz="0" w:space="0" w:color="auto"/>
      <w:lang w:val="en-US" w:eastAsia="en-US"/>
    </w:rPr>
  </w:style>
  <w:style w:type="paragraph" w:customStyle="1" w:styleId="Style11">
    <w:name w:val="Style 11"/>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624" w:lineRule="exact"/>
      <w:jc w:val="center"/>
      <w:outlineLvl w:val="9"/>
    </w:pPr>
    <w:rPr>
      <w:rFonts w:ascii="Times New Roman" w:eastAsia="Times New Roman" w:hAnsi="Times New Roman" w:cs="Times New Roman"/>
      <w:color w:val="auto"/>
      <w:sz w:val="20"/>
      <w:bdr w:val="none" w:sz="0" w:space="0" w:color="auto"/>
      <w:lang w:val="en-US" w:eastAsia="en-US"/>
    </w:rPr>
  </w:style>
  <w:style w:type="paragraph" w:styleId="Textodebloque">
    <w:name w:val="Block Text"/>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76" w:right="142"/>
      <w:outlineLvl w:val="9"/>
    </w:pPr>
    <w:rPr>
      <w:rFonts w:ascii="Times New Roman" w:eastAsia="Times New Roman" w:hAnsi="Times New Roman" w:cs="Times New Roman"/>
      <w:color w:val="auto"/>
      <w:spacing w:val="-2"/>
      <w:sz w:val="16"/>
      <w:szCs w:val="16"/>
      <w:bdr w:val="none" w:sz="0" w:space="0" w:color="auto"/>
      <w:lang w:val="en-US" w:eastAsia="en-US"/>
    </w:rPr>
  </w:style>
  <w:style w:type="paragraph" w:styleId="Listaconvietas">
    <w:name w:val="List Bullet"/>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num" w:pos="735"/>
      </w:tabs>
      <w:spacing w:after="240" w:line="240" w:lineRule="atLeast"/>
      <w:ind w:left="735" w:hanging="735"/>
      <w:outlineLvl w:val="9"/>
    </w:pPr>
    <w:rPr>
      <w:rFonts w:eastAsia="Times New Roman" w:cs="Times New Roman"/>
      <w:color w:val="auto"/>
      <w:sz w:val="20"/>
      <w:szCs w:val="20"/>
      <w:bdr w:val="none" w:sz="0" w:space="0" w:color="auto"/>
      <w:lang w:val="en-GB" w:eastAsia="en-US"/>
    </w:rPr>
  </w:style>
  <w:style w:type="paragraph" w:styleId="Listaconvietas2">
    <w:name w:val="List Bullet 2"/>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num" w:pos="735"/>
      </w:tabs>
      <w:spacing w:after="240" w:line="240" w:lineRule="atLeast"/>
      <w:ind w:left="735" w:hanging="735"/>
      <w:outlineLvl w:val="9"/>
    </w:pPr>
    <w:rPr>
      <w:rFonts w:eastAsia="Times New Roman" w:cs="Times New Roman"/>
      <w:color w:val="auto"/>
      <w:sz w:val="20"/>
      <w:szCs w:val="20"/>
      <w:bdr w:val="none" w:sz="0" w:space="0" w:color="auto"/>
      <w:lang w:val="en-GB" w:eastAsia="en-US"/>
    </w:rPr>
  </w:style>
  <w:style w:type="paragraph" w:styleId="Listaconvietas3">
    <w:name w:val="List Bullet 3"/>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num" w:pos="735"/>
      </w:tabs>
      <w:spacing w:after="240" w:line="240" w:lineRule="atLeast"/>
      <w:ind w:left="735" w:hanging="735"/>
      <w:outlineLvl w:val="9"/>
    </w:pPr>
    <w:rPr>
      <w:rFonts w:eastAsia="Times New Roman" w:cs="Times New Roman"/>
      <w:color w:val="auto"/>
      <w:sz w:val="20"/>
      <w:szCs w:val="20"/>
      <w:bdr w:val="none" w:sz="0" w:space="0" w:color="auto"/>
      <w:lang w:val="en-GB" w:eastAsia="en-US"/>
    </w:rPr>
  </w:style>
  <w:style w:type="paragraph" w:styleId="Listaconvietas4">
    <w:name w:val="List Bullet 4"/>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num" w:pos="735"/>
      </w:tabs>
      <w:spacing w:after="240" w:line="240" w:lineRule="atLeast"/>
      <w:ind w:left="735" w:hanging="735"/>
      <w:outlineLvl w:val="9"/>
    </w:pPr>
    <w:rPr>
      <w:rFonts w:eastAsia="Times New Roman" w:cs="Times New Roman"/>
      <w:color w:val="auto"/>
      <w:sz w:val="20"/>
      <w:szCs w:val="20"/>
      <w:bdr w:val="none" w:sz="0" w:space="0" w:color="auto"/>
      <w:lang w:val="en-GB" w:eastAsia="en-US"/>
    </w:rPr>
  </w:style>
  <w:style w:type="paragraph" w:styleId="Listaconvietas5">
    <w:name w:val="List Bullet 5"/>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num" w:pos="735"/>
      </w:tabs>
      <w:spacing w:after="240" w:line="240" w:lineRule="atLeast"/>
      <w:ind w:left="735" w:hanging="735"/>
      <w:outlineLvl w:val="9"/>
    </w:pPr>
    <w:rPr>
      <w:rFonts w:eastAsia="Times New Roman" w:cs="Times New Roman"/>
      <w:color w:val="auto"/>
      <w:sz w:val="20"/>
      <w:szCs w:val="20"/>
      <w:bdr w:val="none" w:sz="0" w:space="0" w:color="auto"/>
      <w:lang w:val="en-GB" w:eastAsia="en-US"/>
    </w:rPr>
  </w:style>
  <w:style w:type="paragraph" w:styleId="Listaconnmeros">
    <w:name w:val="List Number"/>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num" w:pos="595"/>
      </w:tabs>
      <w:spacing w:after="240" w:line="240" w:lineRule="atLeast"/>
      <w:ind w:left="595" w:hanging="595"/>
      <w:outlineLvl w:val="9"/>
    </w:pPr>
    <w:rPr>
      <w:rFonts w:eastAsia="Times New Roman" w:cs="Times New Roman"/>
      <w:color w:val="auto"/>
      <w:sz w:val="20"/>
      <w:szCs w:val="20"/>
      <w:bdr w:val="none" w:sz="0" w:space="0" w:color="auto"/>
      <w:lang w:val="en-GB" w:eastAsia="en-US"/>
    </w:rPr>
  </w:style>
  <w:style w:type="paragraph" w:styleId="Listaconnmeros2">
    <w:name w:val="List Number 2"/>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num" w:pos="1191"/>
      </w:tabs>
      <w:spacing w:after="240" w:line="240" w:lineRule="atLeast"/>
      <w:ind w:left="1191" w:hanging="595"/>
      <w:outlineLvl w:val="9"/>
    </w:pPr>
    <w:rPr>
      <w:rFonts w:eastAsia="Times New Roman" w:cs="Times New Roman"/>
      <w:color w:val="auto"/>
      <w:sz w:val="20"/>
      <w:szCs w:val="20"/>
      <w:bdr w:val="none" w:sz="0" w:space="0" w:color="auto"/>
      <w:lang w:val="en-GB" w:eastAsia="en-US"/>
    </w:rPr>
  </w:style>
  <w:style w:type="paragraph" w:styleId="Listaconnmeros3">
    <w:name w:val="List Number 3"/>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num" w:pos="1786"/>
      </w:tabs>
      <w:spacing w:after="240" w:line="240" w:lineRule="atLeast"/>
      <w:ind w:left="1786" w:hanging="595"/>
      <w:outlineLvl w:val="9"/>
    </w:pPr>
    <w:rPr>
      <w:rFonts w:eastAsia="Times New Roman" w:cs="Times New Roman"/>
      <w:color w:val="auto"/>
      <w:sz w:val="20"/>
      <w:szCs w:val="20"/>
      <w:bdr w:val="none" w:sz="0" w:space="0" w:color="auto"/>
      <w:lang w:val="en-GB" w:eastAsia="en-US"/>
    </w:rPr>
  </w:style>
  <w:style w:type="paragraph" w:styleId="Listaconnmeros4">
    <w:name w:val="List Number 4"/>
    <w:basedOn w:val="Normal"/>
    <w:rsid w:val="006220A2"/>
    <w:pPr>
      <w:numPr>
        <w:ilvl w:val="3"/>
        <w:numId w:val="36"/>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outlineLvl w:val="9"/>
    </w:pPr>
    <w:rPr>
      <w:rFonts w:eastAsia="Times New Roman" w:cs="Times New Roman"/>
      <w:color w:val="auto"/>
      <w:sz w:val="20"/>
      <w:szCs w:val="20"/>
      <w:bdr w:val="none" w:sz="0" w:space="0" w:color="auto"/>
      <w:lang w:val="en-GB" w:eastAsia="en-US"/>
    </w:rPr>
  </w:style>
  <w:style w:type="paragraph" w:styleId="Listaconnmeros5">
    <w:name w:val="List Number 5"/>
    <w:basedOn w:val="Normal"/>
    <w:rsid w:val="006220A2"/>
    <w:pPr>
      <w:numPr>
        <w:ilvl w:val="4"/>
        <w:numId w:val="36"/>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outlineLvl w:val="9"/>
    </w:pPr>
    <w:rPr>
      <w:rFonts w:eastAsia="Times New Roman" w:cs="Times New Roman"/>
      <w:color w:val="auto"/>
      <w:sz w:val="20"/>
      <w:szCs w:val="20"/>
      <w:bdr w:val="none" w:sz="0" w:space="0" w:color="auto"/>
      <w:lang w:val="en-GB" w:eastAsia="en-US"/>
    </w:rPr>
  </w:style>
  <w:style w:type="paragraph" w:customStyle="1" w:styleId="TableBullet">
    <w:name w:val="Table Bullet"/>
    <w:basedOn w:val="TableText"/>
    <w:rsid w:val="006220A2"/>
    <w:pPr>
      <w:numPr>
        <w:numId w:val="37"/>
      </w:numPr>
    </w:pPr>
  </w:style>
  <w:style w:type="paragraph" w:customStyle="1" w:styleId="TableText">
    <w:name w:val="Table Text"/>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spacing w:before="120" w:after="170" w:line="240" w:lineRule="atLeast"/>
      <w:outlineLvl w:val="9"/>
    </w:pPr>
    <w:rPr>
      <w:rFonts w:eastAsia="Times New Roman" w:cs="Times New Roman"/>
      <w:color w:val="auto"/>
      <w:sz w:val="20"/>
      <w:szCs w:val="20"/>
      <w:bdr w:val="none" w:sz="0" w:space="0" w:color="auto"/>
      <w:lang w:val="en-GB" w:eastAsia="en-US"/>
    </w:rPr>
  </w:style>
  <w:style w:type="paragraph" w:customStyle="1" w:styleId="TableListNumber">
    <w:name w:val="Table List Number"/>
    <w:basedOn w:val="TableText"/>
    <w:rsid w:val="006220A2"/>
    <w:pPr>
      <w:numPr>
        <w:numId w:val="38"/>
      </w:numPr>
      <w:tabs>
        <w:tab w:val="left" w:pos="298"/>
      </w:tabs>
    </w:pPr>
  </w:style>
  <w:style w:type="paragraph" w:customStyle="1" w:styleId="TableColumnHeader">
    <w:name w:val="Table Column Header"/>
    <w:basedOn w:val="TableText"/>
    <w:rsid w:val="006220A2"/>
    <w:rPr>
      <w:b/>
    </w:rPr>
  </w:style>
  <w:style w:type="character" w:styleId="Refdecomentario">
    <w:name w:val="annotation reference"/>
    <w:semiHidden/>
    <w:rsid w:val="006220A2"/>
    <w:rPr>
      <w:sz w:val="16"/>
      <w:szCs w:val="16"/>
    </w:rPr>
  </w:style>
  <w:style w:type="paragraph" w:customStyle="1" w:styleId="TableRowHeader">
    <w:name w:val="Table Row Header"/>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08"/>
      <w:outlineLvl w:val="9"/>
    </w:pPr>
    <w:rPr>
      <w:rFonts w:ascii="Times New Roman" w:eastAsia="Times New Roman" w:hAnsi="Times New Roman" w:cs="Times New Roman"/>
      <w:color w:val="auto"/>
      <w:spacing w:val="-2"/>
      <w:sz w:val="16"/>
      <w:szCs w:val="16"/>
      <w:bdr w:val="none" w:sz="0" w:space="0" w:color="auto"/>
      <w:lang w:val="en-GB" w:eastAsia="en-US"/>
    </w:rPr>
  </w:style>
  <w:style w:type="paragraph" w:customStyle="1" w:styleId="Body">
    <w:name w:val="Body"/>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Bulleted">
    <w:name w:val="Bulleted"/>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overflowPunct w:val="0"/>
      <w:autoSpaceDE w:val="0"/>
      <w:autoSpaceDN w:val="0"/>
      <w:adjustRightInd w:val="0"/>
      <w:ind w:left="285" w:hanging="285"/>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CellBody">
    <w:name w:val="CellBody"/>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CellHeading">
    <w:name w:val="CellHeading"/>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center"/>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CelluleIntitul">
    <w:name w:val="Cellule Intitulé"/>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Footnote">
    <w:name w:val="Footnote"/>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utlineLvl w:val="9"/>
    </w:pPr>
    <w:rPr>
      <w:rFonts w:ascii="Times New Roman" w:eastAsia="Times New Roman" w:hAnsi="Times New Roman" w:cs="Times New Roman"/>
      <w:noProof/>
      <w:sz w:val="20"/>
      <w:szCs w:val="20"/>
      <w:bdr w:val="none" w:sz="0" w:space="0" w:color="auto"/>
      <w:lang w:eastAsia="es-ES"/>
    </w:rPr>
  </w:style>
  <w:style w:type="paragraph" w:customStyle="1" w:styleId="Heading1">
    <w:name w:val="Heading1"/>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280" w:after="120"/>
      <w:textAlignment w:val="baseline"/>
      <w:outlineLvl w:val="9"/>
    </w:pPr>
    <w:rPr>
      <w:rFonts w:ascii="Times New Roman" w:eastAsia="Times New Roman" w:hAnsi="Times New Roman" w:cs="Times New Roman"/>
      <w:b/>
      <w:noProof/>
      <w:sz w:val="28"/>
      <w:szCs w:val="20"/>
      <w:bdr w:val="none" w:sz="0" w:space="0" w:color="auto"/>
      <w:lang w:eastAsia="es-ES"/>
    </w:rPr>
  </w:style>
  <w:style w:type="paragraph" w:customStyle="1" w:styleId="Heading2">
    <w:name w:val="Heading2"/>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240" w:after="60"/>
      <w:textAlignment w:val="baseline"/>
      <w:outlineLvl w:val="9"/>
    </w:pPr>
    <w:rPr>
      <w:rFonts w:ascii="Times New Roman" w:eastAsia="Times New Roman" w:hAnsi="Times New Roman" w:cs="Times New Roman"/>
      <w:b/>
      <w:noProof/>
      <w:szCs w:val="20"/>
      <w:bdr w:val="none" w:sz="0" w:space="0" w:color="auto"/>
      <w:lang w:eastAsia="es-ES"/>
    </w:rPr>
  </w:style>
  <w:style w:type="paragraph" w:customStyle="1" w:styleId="HeadingRunIn">
    <w:name w:val="HeadingRunIn"/>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20"/>
      <w:textAlignment w:val="baseline"/>
      <w:outlineLvl w:val="9"/>
    </w:pPr>
    <w:rPr>
      <w:rFonts w:ascii="Times New Roman" w:eastAsia="Times New Roman" w:hAnsi="Times New Roman" w:cs="Times New Roman"/>
      <w:b/>
      <w:noProof/>
      <w:szCs w:val="20"/>
      <w:bdr w:val="none" w:sz="0" w:space="0" w:color="auto"/>
      <w:lang w:eastAsia="es-ES"/>
    </w:rPr>
  </w:style>
  <w:style w:type="paragraph" w:customStyle="1" w:styleId="Indented">
    <w:name w:val="Indented"/>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overflowPunct w:val="0"/>
      <w:autoSpaceDE w:val="0"/>
      <w:autoSpaceDN w:val="0"/>
      <w:adjustRightInd w:val="0"/>
      <w:ind w:left="285"/>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Numbered">
    <w:name w:val="Numbered"/>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overflowPunct w:val="0"/>
      <w:autoSpaceDE w:val="0"/>
      <w:autoSpaceDN w:val="0"/>
      <w:adjustRightInd w:val="0"/>
      <w:ind w:left="285" w:hanging="285"/>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Numbered1">
    <w:name w:val="Numbered1"/>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overflowPunct w:val="0"/>
      <w:autoSpaceDE w:val="0"/>
      <w:autoSpaceDN w:val="0"/>
      <w:adjustRightInd w:val="0"/>
      <w:ind w:left="285" w:hanging="285"/>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TextePreci">
    <w:name w:val="TextePreci"/>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ind w:left="285"/>
      <w:jc w:val="both"/>
      <w:textAlignment w:val="baseline"/>
      <w:outlineLvl w:val="9"/>
    </w:pPr>
    <w:rPr>
      <w:rFonts w:eastAsia="Times New Roman" w:cs="Times New Roman"/>
      <w:noProof/>
      <w:sz w:val="18"/>
      <w:szCs w:val="20"/>
      <w:bdr w:val="none" w:sz="0" w:space="0" w:color="auto"/>
      <w:lang w:eastAsia="es-ES"/>
    </w:rPr>
  </w:style>
  <w:style w:type="paragraph" w:customStyle="1" w:styleId="TexteSecond">
    <w:name w:val="TexteSecond"/>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ind w:left="433"/>
      <w:jc w:val="both"/>
      <w:textAlignment w:val="baseline"/>
      <w:outlineLvl w:val="9"/>
    </w:pPr>
    <w:rPr>
      <w:rFonts w:eastAsia="Times New Roman" w:cs="Times New Roman"/>
      <w:noProof/>
      <w:sz w:val="18"/>
      <w:szCs w:val="20"/>
      <w:bdr w:val="none" w:sz="0" w:space="0" w:color="auto"/>
      <w:lang w:eastAsia="es-ES"/>
    </w:rPr>
  </w:style>
  <w:style w:type="paragraph" w:customStyle="1" w:styleId="TexteSecondNonRet">
    <w:name w:val="TexteSecondNonRet"/>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outlineLvl w:val="9"/>
    </w:pPr>
    <w:rPr>
      <w:rFonts w:eastAsia="Times New Roman" w:cs="Times New Roman"/>
      <w:noProof/>
      <w:sz w:val="18"/>
      <w:szCs w:val="20"/>
      <w:bdr w:val="none" w:sz="0" w:space="0" w:color="auto"/>
      <w:lang w:eastAsia="es-ES"/>
    </w:rPr>
  </w:style>
  <w:style w:type="paragraph" w:customStyle="1" w:styleId="Title1">
    <w:name w:val="Title1"/>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480" w:after="240" w:line="360" w:lineRule="atLeast"/>
      <w:jc w:val="center"/>
      <w:textAlignment w:val="baseline"/>
      <w:outlineLvl w:val="9"/>
    </w:pPr>
    <w:rPr>
      <w:rFonts w:ascii="Times New Roman" w:eastAsia="Times New Roman" w:hAnsi="Times New Roman" w:cs="Times New Roman"/>
      <w:b/>
      <w:noProof/>
      <w:sz w:val="36"/>
      <w:szCs w:val="20"/>
      <w:bdr w:val="none" w:sz="0" w:space="0" w:color="auto"/>
      <w:lang w:eastAsia="es-ES"/>
    </w:rPr>
  </w:style>
  <w:style w:type="paragraph" w:customStyle="1" w:styleId="Titre1">
    <w:name w:val="Titre 1"/>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jc w:val="center"/>
      <w:textAlignment w:val="baseline"/>
      <w:outlineLvl w:val="9"/>
    </w:pPr>
    <w:rPr>
      <w:rFonts w:ascii="Times New Roman" w:eastAsia="Times New Roman" w:hAnsi="Times New Roman" w:cs="Times New Roman"/>
      <w:b/>
      <w:noProof/>
      <w:sz w:val="48"/>
      <w:szCs w:val="20"/>
      <w:bdr w:val="none" w:sz="0" w:space="0" w:color="auto"/>
      <w:lang w:eastAsia="es-ES"/>
    </w:rPr>
  </w:style>
  <w:style w:type="paragraph" w:customStyle="1" w:styleId="Titre1Intro">
    <w:name w:val="Titre 1 Intro"/>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200" w:line="260" w:lineRule="atLeast"/>
      <w:jc w:val="center"/>
      <w:textAlignment w:val="baseline"/>
      <w:outlineLvl w:val="9"/>
    </w:pPr>
    <w:rPr>
      <w:rFonts w:ascii="Times New Roman" w:eastAsia="Times New Roman" w:hAnsi="Times New Roman" w:cs="Times New Roman"/>
      <w:b/>
      <w:noProof/>
      <w:sz w:val="32"/>
      <w:szCs w:val="20"/>
      <w:bdr w:val="none" w:sz="0" w:space="0" w:color="auto"/>
      <w:lang w:eastAsia="es-ES"/>
    </w:rPr>
  </w:style>
  <w:style w:type="paragraph" w:customStyle="1" w:styleId="Titre10Bis">
    <w:name w:val="Titre 10 Bis"/>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textAlignment w:val="baseline"/>
      <w:outlineLvl w:val="9"/>
    </w:pPr>
    <w:rPr>
      <w:rFonts w:ascii="Times New Roman" w:eastAsia="Times New Roman" w:hAnsi="Times New Roman" w:cs="Times New Roman"/>
      <w:b/>
      <w:noProof/>
      <w:color w:val="0000FF"/>
      <w:sz w:val="28"/>
      <w:szCs w:val="20"/>
      <w:bdr w:val="none" w:sz="0" w:space="0" w:color="auto"/>
      <w:lang w:eastAsia="es-ES"/>
    </w:rPr>
  </w:style>
  <w:style w:type="paragraph" w:customStyle="1" w:styleId="Titre11">
    <w:name w:val="Titre 11"/>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textAlignment w:val="baseline"/>
      <w:outlineLvl w:val="9"/>
    </w:pPr>
    <w:rPr>
      <w:rFonts w:ascii="Times New Roman" w:eastAsia="Times New Roman" w:hAnsi="Times New Roman" w:cs="Times New Roman"/>
      <w:b/>
      <w:noProof/>
      <w:szCs w:val="20"/>
      <w:bdr w:val="none" w:sz="0" w:space="0" w:color="auto"/>
      <w:lang w:eastAsia="es-ES"/>
    </w:rPr>
  </w:style>
  <w:style w:type="paragraph" w:customStyle="1" w:styleId="Titre2">
    <w:name w:val="Titre 2"/>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jc w:val="center"/>
      <w:textAlignment w:val="baseline"/>
      <w:outlineLvl w:val="9"/>
    </w:pPr>
    <w:rPr>
      <w:rFonts w:ascii="Times New Roman" w:eastAsia="Times New Roman" w:hAnsi="Times New Roman" w:cs="Times New Roman"/>
      <w:b/>
      <w:noProof/>
      <w:sz w:val="48"/>
      <w:szCs w:val="20"/>
      <w:bdr w:val="none" w:sz="0" w:space="0" w:color="auto"/>
      <w:lang w:eastAsia="es-ES"/>
    </w:rPr>
  </w:style>
  <w:style w:type="paragraph" w:customStyle="1" w:styleId="Titre2bis">
    <w:name w:val="Titre 2 bis"/>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jc w:val="center"/>
      <w:textAlignment w:val="baseline"/>
      <w:outlineLvl w:val="9"/>
    </w:pPr>
    <w:rPr>
      <w:rFonts w:ascii="Times New Roman" w:eastAsia="Times New Roman" w:hAnsi="Times New Roman" w:cs="Times New Roman"/>
      <w:b/>
      <w:noProof/>
      <w:sz w:val="48"/>
      <w:szCs w:val="20"/>
      <w:bdr w:val="none" w:sz="0" w:space="0" w:color="auto"/>
      <w:lang w:eastAsia="es-ES"/>
    </w:rPr>
  </w:style>
  <w:style w:type="paragraph" w:customStyle="1" w:styleId="Titre2Intro">
    <w:name w:val="Titre 2 Intro"/>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417" w:line="260" w:lineRule="atLeast"/>
      <w:jc w:val="center"/>
      <w:textAlignment w:val="baseline"/>
      <w:outlineLvl w:val="9"/>
    </w:pPr>
    <w:rPr>
      <w:rFonts w:ascii="Times New Roman" w:eastAsia="Times New Roman" w:hAnsi="Times New Roman" w:cs="Times New Roman"/>
      <w:b/>
      <w:noProof/>
      <w:sz w:val="32"/>
      <w:szCs w:val="20"/>
      <w:bdr w:val="none" w:sz="0" w:space="0" w:color="auto"/>
      <w:lang w:eastAsia="es-ES"/>
    </w:rPr>
  </w:style>
  <w:style w:type="paragraph" w:customStyle="1" w:styleId="Titre3">
    <w:name w:val="Titre 3"/>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400" w:lineRule="atLeast"/>
      <w:jc w:val="center"/>
      <w:textAlignment w:val="baseline"/>
      <w:outlineLvl w:val="9"/>
    </w:pPr>
    <w:rPr>
      <w:rFonts w:ascii="Times New Roman" w:eastAsia="Times New Roman" w:hAnsi="Times New Roman" w:cs="Times New Roman"/>
      <w:b/>
      <w:noProof/>
      <w:sz w:val="32"/>
      <w:szCs w:val="20"/>
      <w:bdr w:val="none" w:sz="0" w:space="0" w:color="auto"/>
      <w:lang w:eastAsia="es-ES"/>
    </w:rPr>
  </w:style>
  <w:style w:type="paragraph" w:customStyle="1" w:styleId="Titre3Bis">
    <w:name w:val="Titre 3 Bis"/>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400" w:lineRule="atLeast"/>
      <w:jc w:val="center"/>
      <w:textAlignment w:val="baseline"/>
      <w:outlineLvl w:val="9"/>
    </w:pPr>
    <w:rPr>
      <w:rFonts w:ascii="Times New Roman" w:eastAsia="Times New Roman" w:hAnsi="Times New Roman" w:cs="Times New Roman"/>
      <w:b/>
      <w:noProof/>
      <w:sz w:val="32"/>
      <w:szCs w:val="20"/>
      <w:bdr w:val="none" w:sz="0" w:space="0" w:color="auto"/>
      <w:lang w:eastAsia="es-ES"/>
    </w:rPr>
  </w:style>
  <w:style w:type="paragraph" w:customStyle="1" w:styleId="Titre3Intro">
    <w:name w:val="Titre 3 Intro"/>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jc w:val="center"/>
      <w:textAlignment w:val="baseline"/>
      <w:outlineLvl w:val="9"/>
    </w:pPr>
    <w:rPr>
      <w:rFonts w:eastAsia="Times New Roman" w:cs="Times New Roman"/>
      <w:b/>
      <w:noProof/>
      <w:szCs w:val="20"/>
      <w:bdr w:val="none" w:sz="0" w:space="0" w:color="auto"/>
      <w:lang w:eastAsia="es-ES"/>
    </w:rPr>
  </w:style>
  <w:style w:type="paragraph" w:customStyle="1" w:styleId="Titre4">
    <w:name w:val="Titre 4"/>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380" w:lineRule="atLeast"/>
      <w:jc w:val="center"/>
      <w:textAlignment w:val="baseline"/>
      <w:outlineLvl w:val="9"/>
    </w:pPr>
    <w:rPr>
      <w:rFonts w:ascii="Times New Roman" w:eastAsia="Times New Roman" w:hAnsi="Times New Roman" w:cs="Times New Roman"/>
      <w:b/>
      <w:noProof/>
      <w:sz w:val="28"/>
      <w:szCs w:val="20"/>
      <w:bdr w:val="none" w:sz="0" w:space="0" w:color="auto"/>
      <w:lang w:eastAsia="es-ES"/>
    </w:rPr>
  </w:style>
  <w:style w:type="paragraph" w:customStyle="1" w:styleId="Titre4Intro">
    <w:name w:val="Titre 4 Intro"/>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200" w:line="260" w:lineRule="atLeast"/>
      <w:jc w:val="center"/>
      <w:textAlignment w:val="baseline"/>
      <w:outlineLvl w:val="9"/>
    </w:pPr>
    <w:rPr>
      <w:rFonts w:eastAsia="Times New Roman" w:cs="Times New Roman"/>
      <w:b/>
      <w:noProof/>
      <w:szCs w:val="20"/>
      <w:bdr w:val="none" w:sz="0" w:space="0" w:color="auto"/>
      <w:lang w:eastAsia="es-ES"/>
    </w:rPr>
  </w:style>
  <w:style w:type="paragraph" w:customStyle="1" w:styleId="Titre5">
    <w:name w:val="Titre 5"/>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200"/>
      <w:jc w:val="center"/>
      <w:textAlignment w:val="baseline"/>
      <w:outlineLvl w:val="9"/>
    </w:pPr>
    <w:rPr>
      <w:rFonts w:ascii="Times New Roman" w:eastAsia="Times New Roman" w:hAnsi="Times New Roman" w:cs="Times New Roman"/>
      <w:b/>
      <w:noProof/>
      <w:sz w:val="28"/>
      <w:szCs w:val="20"/>
      <w:bdr w:val="none" w:sz="0" w:space="0" w:color="auto"/>
      <w:lang w:eastAsia="es-ES"/>
    </w:rPr>
  </w:style>
  <w:style w:type="paragraph" w:customStyle="1" w:styleId="Titre6">
    <w:name w:val="Titre 6"/>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200"/>
      <w:jc w:val="center"/>
      <w:textAlignment w:val="baseline"/>
      <w:outlineLvl w:val="9"/>
    </w:pPr>
    <w:rPr>
      <w:rFonts w:ascii="Times New Roman" w:eastAsia="Times New Roman" w:hAnsi="Times New Roman" w:cs="Times New Roman"/>
      <w:b/>
      <w:noProof/>
      <w:sz w:val="28"/>
      <w:szCs w:val="20"/>
      <w:bdr w:val="none" w:sz="0" w:space="0" w:color="auto"/>
      <w:lang w:eastAsia="es-ES"/>
    </w:rPr>
  </w:style>
  <w:style w:type="paragraph" w:customStyle="1" w:styleId="Titre7">
    <w:name w:val="Titre 7"/>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after="240"/>
      <w:jc w:val="center"/>
      <w:textAlignment w:val="baseline"/>
      <w:outlineLvl w:val="9"/>
    </w:pPr>
    <w:rPr>
      <w:rFonts w:ascii="Times New Roman" w:eastAsia="Times New Roman" w:hAnsi="Times New Roman" w:cs="Times New Roman"/>
      <w:b/>
      <w:noProof/>
      <w:szCs w:val="20"/>
      <w:bdr w:val="none" w:sz="0" w:space="0" w:color="auto"/>
      <w:lang w:eastAsia="es-ES"/>
    </w:rPr>
  </w:style>
  <w:style w:type="paragraph" w:customStyle="1" w:styleId="Titre8">
    <w:name w:val="Titre 8"/>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line="260" w:lineRule="atLeast"/>
      <w:jc w:val="center"/>
      <w:textAlignment w:val="baseline"/>
      <w:outlineLvl w:val="9"/>
    </w:pPr>
    <w:rPr>
      <w:rFonts w:ascii="Times New Roman" w:eastAsia="Times New Roman" w:hAnsi="Times New Roman" w:cs="Times New Roman"/>
      <w:b/>
      <w:noProof/>
      <w:sz w:val="20"/>
      <w:szCs w:val="20"/>
      <w:bdr w:val="none" w:sz="0" w:space="0" w:color="auto"/>
      <w:lang w:eastAsia="es-ES"/>
    </w:rPr>
  </w:style>
  <w:style w:type="paragraph" w:customStyle="1" w:styleId="Titre9">
    <w:name w:val="Titre 9"/>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line="260" w:lineRule="atLeast"/>
      <w:textAlignment w:val="baseline"/>
      <w:outlineLvl w:val="9"/>
    </w:pPr>
    <w:rPr>
      <w:rFonts w:ascii="Times New Roman" w:eastAsia="Times New Roman" w:hAnsi="Times New Roman" w:cs="Times New Roman"/>
      <w:b/>
      <w:noProof/>
      <w:color w:val="FFFF00"/>
      <w:sz w:val="28"/>
      <w:szCs w:val="20"/>
      <w:bdr w:val="none" w:sz="0" w:space="0" w:color="auto"/>
      <w:lang w:eastAsia="es-ES"/>
    </w:rPr>
  </w:style>
  <w:style w:type="paragraph" w:customStyle="1" w:styleId="Titre9Bis">
    <w:name w:val="Titre 9 Bis"/>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TitreTableau">
    <w:name w:val="TitreTableau"/>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285"/>
      <w:textAlignment w:val="baseline"/>
      <w:outlineLvl w:val="9"/>
    </w:pPr>
    <w:rPr>
      <w:rFonts w:ascii="Times New Roman" w:eastAsia="Times New Roman" w:hAnsi="Times New Roman" w:cs="Times New Roman"/>
      <w:b/>
      <w:noProof/>
      <w:sz w:val="20"/>
      <w:szCs w:val="20"/>
      <w:bdr w:val="none" w:sz="0" w:space="0" w:color="auto"/>
      <w:lang w:eastAsia="es-ES"/>
    </w:rPr>
  </w:style>
  <w:style w:type="paragraph" w:customStyle="1" w:styleId="TM">
    <w:name w:val="TM"/>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line="260" w:lineRule="atLeast"/>
      <w:textAlignment w:val="baseline"/>
      <w:outlineLvl w:val="9"/>
    </w:pPr>
    <w:rPr>
      <w:rFonts w:ascii="Times New Roman" w:eastAsia="Times New Roman" w:hAnsi="Times New Roman" w:cs="Times New Roman"/>
      <w:noProof/>
      <w:color w:val="0000FF"/>
      <w:sz w:val="26"/>
      <w:szCs w:val="20"/>
      <w:bdr w:val="none" w:sz="0" w:space="0" w:color="auto"/>
      <w:lang w:eastAsia="es-ES"/>
    </w:rPr>
  </w:style>
  <w:style w:type="paragraph" w:customStyle="1" w:styleId="Tniv">
    <w:name w:val="Tniv"/>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textAlignment w:val="baseline"/>
      <w:outlineLvl w:val="9"/>
    </w:pPr>
    <w:rPr>
      <w:rFonts w:ascii="Times New Roman" w:eastAsia="Times New Roman" w:hAnsi="Times New Roman" w:cs="Times New Roman"/>
      <w:b/>
      <w:noProof/>
      <w:szCs w:val="20"/>
      <w:bdr w:val="none" w:sz="0" w:space="0" w:color="auto"/>
      <w:lang w:eastAsia="es-ES"/>
    </w:rPr>
  </w:style>
  <w:style w:type="paragraph" w:customStyle="1" w:styleId="TnivIntro">
    <w:name w:val="Tniv Intro"/>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textAlignment w:val="baseline"/>
      <w:outlineLvl w:val="9"/>
    </w:pPr>
    <w:rPr>
      <w:rFonts w:ascii="Times New Roman" w:eastAsia="Times New Roman" w:hAnsi="Times New Roman" w:cs="Times New Roman"/>
      <w:b/>
      <w:noProof/>
      <w:szCs w:val="20"/>
      <w:bdr w:val="none" w:sz="0" w:space="0" w:color="auto"/>
      <w:lang w:eastAsia="es-ES"/>
    </w:rPr>
  </w:style>
  <w:style w:type="paragraph" w:customStyle="1" w:styleId="TP">
    <w:name w:val="TP"/>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00"/>
      <w:jc w:val="both"/>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Tpc">
    <w:name w:val="Tpc"/>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433"/>
      <w:jc w:val="both"/>
      <w:textAlignment w:val="baseline"/>
      <w:outlineLvl w:val="9"/>
    </w:pPr>
    <w:rPr>
      <w:rFonts w:eastAsia="Times New Roman" w:cs="Times New Roman"/>
      <w:b/>
      <w:noProof/>
      <w:sz w:val="20"/>
      <w:szCs w:val="20"/>
      <w:bdr w:val="none" w:sz="0" w:space="0" w:color="auto"/>
      <w:lang w:eastAsia="es-ES"/>
    </w:rPr>
  </w:style>
  <w:style w:type="character" w:customStyle="1" w:styleId="Emphasis1">
    <w:name w:val="Emphasis1"/>
    <w:rsid w:val="006220A2"/>
    <w:rPr>
      <w:i/>
    </w:rPr>
  </w:style>
  <w:style w:type="character" w:customStyle="1" w:styleId="EquationVariables">
    <w:name w:val="EquationVariables"/>
    <w:rsid w:val="006220A2"/>
    <w:rPr>
      <w:i/>
    </w:rPr>
  </w:style>
  <w:style w:type="character" w:customStyle="1" w:styleId="Euro">
    <w:name w:val="Euro"/>
    <w:rsid w:val="006220A2"/>
    <w:rPr>
      <w:rFonts w:ascii="Times" w:hAnsi="Times"/>
      <w:sz w:val="24"/>
    </w:rPr>
  </w:style>
  <w:style w:type="character" w:customStyle="1" w:styleId="euro0">
    <w:name w:val="euro"/>
    <w:rsid w:val="006220A2"/>
    <w:rPr>
      <w:rFonts w:ascii="Times New Roman" w:hAnsi="Times New Roman"/>
      <w:color w:val="000000"/>
      <w:sz w:val="22"/>
    </w:rPr>
  </w:style>
  <w:style w:type="character" w:customStyle="1" w:styleId="FmArial">
    <w:name w:val="FmArial"/>
    <w:rsid w:val="006220A2"/>
    <w:rPr>
      <w:rFonts w:ascii="Arial" w:hAnsi="Arial"/>
      <w:sz w:val="24"/>
    </w:rPr>
  </w:style>
  <w:style w:type="character" w:customStyle="1" w:styleId="FmSymbol">
    <w:name w:val="FmSymbol"/>
    <w:rsid w:val="006220A2"/>
    <w:rPr>
      <w:rFonts w:ascii="Symbol" w:hAnsi="Symbol"/>
      <w:sz w:val="24"/>
    </w:rPr>
  </w:style>
  <w:style w:type="character" w:customStyle="1" w:styleId="FmWingdings">
    <w:name w:val="FmWingdings"/>
    <w:rsid w:val="006220A2"/>
    <w:rPr>
      <w:rFonts w:ascii="Wingdings" w:hAnsi="Wingdings"/>
      <w:sz w:val="24"/>
    </w:rPr>
  </w:style>
  <w:style w:type="character" w:customStyle="1" w:styleId="Gras">
    <w:name w:val="Gras"/>
    <w:rsid w:val="006220A2"/>
    <w:rPr>
      <w:rFonts w:ascii="Arial" w:hAnsi="Arial"/>
      <w:b/>
      <w:sz w:val="24"/>
    </w:rPr>
  </w:style>
  <w:style w:type="character" w:customStyle="1" w:styleId="GrasItal">
    <w:name w:val="GrasItal"/>
    <w:rsid w:val="006220A2"/>
    <w:rPr>
      <w:rFonts w:ascii="Arial" w:hAnsi="Arial"/>
      <w:b/>
      <w:i/>
      <w:sz w:val="24"/>
    </w:rPr>
  </w:style>
  <w:style w:type="character" w:customStyle="1" w:styleId="Refdoc">
    <w:name w:val="Refdoc"/>
    <w:basedOn w:val="Fuentedeprrafopredeter"/>
    <w:rsid w:val="006220A2"/>
  </w:style>
  <w:style w:type="character" w:customStyle="1" w:styleId="Rtx">
    <w:name w:val="Rtx"/>
    <w:basedOn w:val="Fuentedeprrafopredeter"/>
    <w:rsid w:val="006220A2"/>
  </w:style>
  <w:style w:type="character" w:customStyle="1" w:styleId="Sno">
    <w:name w:val="Sno"/>
    <w:rsid w:val="006220A2"/>
    <w:rPr>
      <w:rFonts w:ascii="Times" w:hAnsi="Times"/>
      <w:sz w:val="18"/>
    </w:rPr>
  </w:style>
  <w:style w:type="paragraph" w:customStyle="1" w:styleId="xl27">
    <w:name w:val="xl27"/>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outlineLvl w:val="9"/>
    </w:pPr>
    <w:rPr>
      <w:rFonts w:ascii="Frutiger-Bold" w:eastAsia="Arial Unicode MS" w:hAnsi="Frutiger-Bold" w:cs="Arial Unicode MS"/>
      <w:color w:val="auto"/>
      <w:sz w:val="16"/>
      <w:szCs w:val="16"/>
      <w:bdr w:val="none" w:sz="0" w:space="0" w:color="auto"/>
      <w:lang w:eastAsia="es-ES"/>
    </w:rPr>
  </w:style>
  <w:style w:type="paragraph" w:customStyle="1" w:styleId="sangrado1">
    <w:name w:val="sangrado1"/>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outlineLvl w:val="9"/>
    </w:pPr>
    <w:rPr>
      <w:rFonts w:ascii="Univers" w:eastAsia="Times New Roman" w:hAnsi="Univers" w:cs="Times New Roman"/>
      <w:color w:val="auto"/>
      <w:sz w:val="22"/>
      <w:szCs w:val="20"/>
      <w:bdr w:val="none" w:sz="0" w:space="0" w:color="auto"/>
      <w:lang w:val="es-ES_tradnl" w:eastAsia="es-ES"/>
    </w:rPr>
  </w:style>
  <w:style w:type="paragraph" w:customStyle="1" w:styleId="sangrado2">
    <w:name w:val="sangrado2"/>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ind w:left="1418" w:hanging="709"/>
      <w:jc w:val="both"/>
      <w:outlineLvl w:val="9"/>
    </w:pPr>
    <w:rPr>
      <w:rFonts w:ascii="Univers" w:eastAsia="Times New Roman" w:hAnsi="Univers" w:cs="Times New Roman"/>
      <w:color w:val="auto"/>
      <w:sz w:val="22"/>
      <w:szCs w:val="20"/>
      <w:bdr w:val="none" w:sz="0" w:space="0" w:color="auto"/>
      <w:lang w:val="es-ES_tradnl" w:eastAsia="es-ES"/>
    </w:rPr>
  </w:style>
  <w:style w:type="table" w:styleId="Tablaconcuadrcula">
    <w:name w:val="Table Grid"/>
    <w:basedOn w:val="Tablanormal"/>
    <w:rsid w:val="006220A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6220A2"/>
    <w:pPr>
      <w:pBdr>
        <w:top w:val="none" w:sz="0" w:space="0" w:color="auto"/>
        <w:left w:val="none" w:sz="0" w:space="0" w:color="auto"/>
        <w:bottom w:val="none" w:sz="0" w:space="0" w:color="auto"/>
        <w:right w:val="none" w:sz="0" w:space="0" w:color="auto"/>
        <w:between w:val="none" w:sz="0" w:space="0" w:color="auto"/>
        <w:bar w:val="none" w:sz="0" w:color="auto"/>
      </w:pBdr>
      <w:outlineLvl w:val="9"/>
    </w:pPr>
    <w:rPr>
      <w:rFonts w:ascii="Courier New" w:eastAsia="Times New Roman" w:hAnsi="Courier New" w:cs="Courier New"/>
      <w:color w:val="auto"/>
      <w:sz w:val="20"/>
      <w:szCs w:val="20"/>
      <w:bdr w:val="none" w:sz="0" w:space="0" w:color="auto"/>
      <w:lang w:eastAsia="es-ES"/>
    </w:rPr>
  </w:style>
  <w:style w:type="character" w:customStyle="1" w:styleId="TextosinformatoCar">
    <w:name w:val="Texto sin formato Car"/>
    <w:link w:val="Textosinformato"/>
    <w:rsid w:val="006220A2"/>
    <w:rPr>
      <w:rFonts w:ascii="Courier New" w:eastAsia="Times New Roman" w:hAnsi="Courier New" w:cs="Courier New"/>
      <w:sz w:val="20"/>
      <w:szCs w:val="20"/>
      <w:u w:color="000000"/>
      <w:lang w:val="es-ES" w:eastAsia="es-ES"/>
    </w:rPr>
  </w:style>
  <w:style w:type="paragraph" w:styleId="Tabladeilustraciones">
    <w:name w:val="table of figures"/>
    <w:basedOn w:val="Normal"/>
    <w:next w:val="Normal"/>
    <w:semiHidden/>
    <w:rsid w:val="006220A2"/>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pPr>
    <w:rPr>
      <w:rFonts w:ascii="Book Antiqua" w:eastAsia="Times New Roman" w:hAnsi="Book Antiqua" w:cs="Times New Roman"/>
      <w:color w:val="auto"/>
      <w:sz w:val="20"/>
      <w:szCs w:val="20"/>
      <w:bdr w:val="none" w:sz="0" w:space="0" w:color="auto"/>
      <w:lang w:eastAsia="en-US"/>
    </w:rPr>
  </w:style>
  <w:style w:type="paragraph" w:customStyle="1" w:styleId="a">
    <w:name w:val="a"/>
    <w:basedOn w:val="Normal"/>
    <w:rsid w:val="006220A2"/>
    <w:pPr>
      <w:keepLines/>
      <w:pBdr>
        <w:top w:val="none" w:sz="0" w:space="0" w:color="auto"/>
        <w:left w:val="none" w:sz="0" w:space="0" w:color="auto"/>
        <w:bottom w:val="none" w:sz="0" w:space="0" w:color="auto"/>
        <w:right w:val="none" w:sz="0" w:space="0" w:color="auto"/>
        <w:between w:val="none" w:sz="0" w:space="0" w:color="auto"/>
        <w:bar w:val="none" w:sz="0" w:color="auto"/>
      </w:pBdr>
      <w:spacing w:before="240"/>
      <w:ind w:left="1276" w:right="-28" w:hanging="284"/>
      <w:jc w:val="both"/>
      <w:outlineLvl w:val="9"/>
    </w:pPr>
    <w:rPr>
      <w:rFonts w:ascii="Times New Roman" w:eastAsia="Times New Roman" w:hAnsi="Times New Roman" w:cs="Times New Roman"/>
      <w:color w:val="auto"/>
      <w:szCs w:val="20"/>
      <w:bdr w:val="none" w:sz="0" w:space="0" w:color="auto"/>
      <w:lang w:eastAsia="en-US"/>
    </w:rPr>
  </w:style>
  <w:style w:type="paragraph" w:customStyle="1" w:styleId="tab">
    <w:name w:val="tab"/>
    <w:basedOn w:val="Normal"/>
    <w:rsid w:val="006220A2"/>
    <w:pPr>
      <w:keepLines/>
      <w:pBdr>
        <w:top w:val="none" w:sz="0" w:space="0" w:color="auto"/>
        <w:left w:val="none" w:sz="0" w:space="0" w:color="auto"/>
        <w:bottom w:val="none" w:sz="0" w:space="0" w:color="auto"/>
        <w:right w:val="none" w:sz="0" w:space="0" w:color="auto"/>
        <w:between w:val="none" w:sz="0" w:space="0" w:color="auto"/>
        <w:bar w:val="none" w:sz="0" w:color="auto"/>
      </w:pBdr>
      <w:ind w:left="20"/>
      <w:jc w:val="both"/>
      <w:outlineLvl w:val="9"/>
    </w:pPr>
    <w:rPr>
      <w:rFonts w:ascii="Times" w:eastAsia="Times New Roman" w:hAnsi="Times" w:cs="Times New Roman"/>
      <w:color w:val="auto"/>
      <w:sz w:val="28"/>
      <w:szCs w:val="20"/>
      <w:bdr w:val="none" w:sz="0" w:space="0" w:color="auto"/>
      <w:lang w:eastAsia="en-US"/>
    </w:rPr>
  </w:style>
  <w:style w:type="paragraph" w:customStyle="1" w:styleId="F2-normal">
    <w:name w:val="_F2-normal"/>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jc w:val="both"/>
      <w:outlineLvl w:val="9"/>
    </w:pPr>
    <w:rPr>
      <w:rFonts w:ascii="Times New Roman" w:eastAsia="Times New Roman" w:hAnsi="Times New Roman" w:cs="Times New Roman"/>
      <w:color w:val="auto"/>
      <w:szCs w:val="20"/>
      <w:bdr w:val="none" w:sz="0" w:space="0" w:color="auto"/>
      <w:lang w:eastAsia="en-US"/>
    </w:rPr>
  </w:style>
  <w:style w:type="paragraph" w:styleId="NormalWeb">
    <w:name w:val="Normal (Web)"/>
    <w:basedOn w:val="Normal"/>
    <w:uiPriority w:val="99"/>
    <w:unhideWhenUsed/>
    <w:rsid w:val="00622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9"/>
    </w:pPr>
    <w:rPr>
      <w:rFonts w:ascii="Times New Roman" w:eastAsia="Times New Roman" w:hAnsi="Times New Roman" w:cs="Times New Roman"/>
      <w:color w:val="auto"/>
      <w:bdr w:val="none" w:sz="0" w:space="0" w:color="auto"/>
      <w:lang w:eastAsia="es-ES"/>
    </w:rPr>
  </w:style>
  <w:style w:type="paragraph" w:styleId="Textodeglobo">
    <w:name w:val="Balloon Text"/>
    <w:basedOn w:val="Normal"/>
    <w:link w:val="TextodegloboCar"/>
    <w:rsid w:val="006220A2"/>
    <w:pPr>
      <w:pBdr>
        <w:top w:val="none" w:sz="0" w:space="0" w:color="auto"/>
        <w:left w:val="none" w:sz="0" w:space="0" w:color="auto"/>
        <w:bottom w:val="none" w:sz="0" w:space="0" w:color="auto"/>
        <w:right w:val="none" w:sz="0" w:space="0" w:color="auto"/>
        <w:between w:val="none" w:sz="0" w:space="0" w:color="auto"/>
        <w:bar w:val="none" w:sz="0" w:color="auto"/>
      </w:pBdr>
      <w:ind w:left="284"/>
      <w:outlineLvl w:val="9"/>
    </w:pPr>
    <w:rPr>
      <w:rFonts w:ascii="Tahoma" w:eastAsia="Times" w:hAnsi="Tahoma" w:cs="Tahoma"/>
      <w:color w:val="auto"/>
      <w:sz w:val="16"/>
      <w:szCs w:val="16"/>
      <w:bdr w:val="none" w:sz="0" w:space="0" w:color="auto"/>
      <w:lang w:val="es-ES_tradnl" w:eastAsia="es-ES"/>
    </w:rPr>
  </w:style>
  <w:style w:type="character" w:customStyle="1" w:styleId="TextodegloboCar">
    <w:name w:val="Texto de globo Car"/>
    <w:link w:val="Textodeglobo"/>
    <w:rsid w:val="006220A2"/>
    <w:rPr>
      <w:rFonts w:ascii="Tahoma" w:eastAsia="Times" w:hAnsi="Tahoma" w:cs="Tahoma"/>
      <w:sz w:val="16"/>
      <w:szCs w:val="16"/>
      <w:u w:color="000000"/>
      <w:lang w:eastAsia="es-ES"/>
    </w:rPr>
  </w:style>
  <w:style w:type="paragraph" w:styleId="Textocomentario">
    <w:name w:val="annotation text"/>
    <w:basedOn w:val="Normal"/>
    <w:link w:val="TextocomentarioCar"/>
    <w:semiHidden/>
    <w:unhideWhenUsed/>
    <w:rsid w:val="006220A2"/>
    <w:pPr>
      <w:pBdr>
        <w:top w:val="none" w:sz="0" w:space="0" w:color="auto"/>
        <w:left w:val="none" w:sz="0" w:space="0" w:color="auto"/>
        <w:bottom w:val="none" w:sz="0" w:space="0" w:color="auto"/>
        <w:right w:val="none" w:sz="0" w:space="0" w:color="auto"/>
        <w:between w:val="none" w:sz="0" w:space="0" w:color="auto"/>
        <w:bar w:val="none" w:sz="0" w:color="auto"/>
      </w:pBdr>
      <w:ind w:left="284"/>
      <w:outlineLvl w:val="9"/>
    </w:pPr>
    <w:rPr>
      <w:rFonts w:ascii="Times" w:eastAsia="Times" w:hAnsi="Times" w:cs="Times New Roman"/>
      <w:color w:val="auto"/>
      <w:sz w:val="20"/>
      <w:szCs w:val="20"/>
      <w:bdr w:val="none" w:sz="0" w:space="0" w:color="auto"/>
      <w:lang w:val="es-ES_tradnl" w:eastAsia="es-ES"/>
    </w:rPr>
  </w:style>
  <w:style w:type="character" w:customStyle="1" w:styleId="TextocomentarioCar">
    <w:name w:val="Texto comentario Car"/>
    <w:link w:val="Textocomentario"/>
    <w:semiHidden/>
    <w:rsid w:val="006220A2"/>
    <w:rPr>
      <w:rFonts w:ascii="Times" w:eastAsia="Times" w:hAnsi="Times" w:cs="Times New Roman"/>
      <w:sz w:val="20"/>
      <w:szCs w:val="20"/>
      <w:u w:color="000000"/>
      <w:lang w:eastAsia="es-ES"/>
    </w:rPr>
  </w:style>
  <w:style w:type="paragraph" w:styleId="Asuntodelcomentario">
    <w:name w:val="annotation subject"/>
    <w:basedOn w:val="Textocomentario"/>
    <w:next w:val="Textocomentario"/>
    <w:link w:val="AsuntodelcomentarioCar"/>
    <w:semiHidden/>
    <w:unhideWhenUsed/>
    <w:rsid w:val="006220A2"/>
    <w:rPr>
      <w:b/>
      <w:bCs/>
    </w:rPr>
  </w:style>
  <w:style w:type="character" w:customStyle="1" w:styleId="AsuntodelcomentarioCar">
    <w:name w:val="Asunto del comentario Car"/>
    <w:link w:val="Asuntodelcomentario"/>
    <w:semiHidden/>
    <w:rsid w:val="006220A2"/>
    <w:rPr>
      <w:rFonts w:ascii="Times" w:eastAsia="Times" w:hAnsi="Times" w:cs="Times New Roman"/>
      <w:b/>
      <w:bCs/>
      <w:sz w:val="20"/>
      <w:szCs w:val="20"/>
      <w:u w:color="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5571">
      <w:bodyDiv w:val="1"/>
      <w:marLeft w:val="0"/>
      <w:marRight w:val="0"/>
      <w:marTop w:val="0"/>
      <w:marBottom w:val="0"/>
      <w:divBdr>
        <w:top w:val="none" w:sz="0" w:space="0" w:color="auto"/>
        <w:left w:val="none" w:sz="0" w:space="0" w:color="auto"/>
        <w:bottom w:val="none" w:sz="0" w:space="0" w:color="auto"/>
        <w:right w:val="none" w:sz="0" w:space="0" w:color="auto"/>
      </w:divBdr>
    </w:div>
    <w:div w:id="41446437">
      <w:bodyDiv w:val="1"/>
      <w:marLeft w:val="0"/>
      <w:marRight w:val="0"/>
      <w:marTop w:val="0"/>
      <w:marBottom w:val="0"/>
      <w:divBdr>
        <w:top w:val="none" w:sz="0" w:space="0" w:color="auto"/>
        <w:left w:val="none" w:sz="0" w:space="0" w:color="auto"/>
        <w:bottom w:val="none" w:sz="0" w:space="0" w:color="auto"/>
        <w:right w:val="none" w:sz="0" w:space="0" w:color="auto"/>
      </w:divBdr>
    </w:div>
    <w:div w:id="175001121">
      <w:bodyDiv w:val="1"/>
      <w:marLeft w:val="0"/>
      <w:marRight w:val="0"/>
      <w:marTop w:val="0"/>
      <w:marBottom w:val="0"/>
      <w:divBdr>
        <w:top w:val="none" w:sz="0" w:space="0" w:color="auto"/>
        <w:left w:val="none" w:sz="0" w:space="0" w:color="auto"/>
        <w:bottom w:val="none" w:sz="0" w:space="0" w:color="auto"/>
        <w:right w:val="none" w:sz="0" w:space="0" w:color="auto"/>
      </w:divBdr>
    </w:div>
    <w:div w:id="210581528">
      <w:bodyDiv w:val="1"/>
      <w:marLeft w:val="0"/>
      <w:marRight w:val="0"/>
      <w:marTop w:val="0"/>
      <w:marBottom w:val="0"/>
      <w:divBdr>
        <w:top w:val="none" w:sz="0" w:space="0" w:color="auto"/>
        <w:left w:val="none" w:sz="0" w:space="0" w:color="auto"/>
        <w:bottom w:val="none" w:sz="0" w:space="0" w:color="auto"/>
        <w:right w:val="none" w:sz="0" w:space="0" w:color="auto"/>
      </w:divBdr>
    </w:div>
    <w:div w:id="302317671">
      <w:bodyDiv w:val="1"/>
      <w:marLeft w:val="0"/>
      <w:marRight w:val="0"/>
      <w:marTop w:val="0"/>
      <w:marBottom w:val="0"/>
      <w:divBdr>
        <w:top w:val="none" w:sz="0" w:space="0" w:color="auto"/>
        <w:left w:val="none" w:sz="0" w:space="0" w:color="auto"/>
        <w:bottom w:val="none" w:sz="0" w:space="0" w:color="auto"/>
        <w:right w:val="none" w:sz="0" w:space="0" w:color="auto"/>
      </w:divBdr>
    </w:div>
    <w:div w:id="308247441">
      <w:bodyDiv w:val="1"/>
      <w:marLeft w:val="0"/>
      <w:marRight w:val="0"/>
      <w:marTop w:val="0"/>
      <w:marBottom w:val="0"/>
      <w:divBdr>
        <w:top w:val="none" w:sz="0" w:space="0" w:color="auto"/>
        <w:left w:val="none" w:sz="0" w:space="0" w:color="auto"/>
        <w:bottom w:val="none" w:sz="0" w:space="0" w:color="auto"/>
        <w:right w:val="none" w:sz="0" w:space="0" w:color="auto"/>
      </w:divBdr>
    </w:div>
    <w:div w:id="424427077">
      <w:bodyDiv w:val="1"/>
      <w:marLeft w:val="0"/>
      <w:marRight w:val="0"/>
      <w:marTop w:val="0"/>
      <w:marBottom w:val="0"/>
      <w:divBdr>
        <w:top w:val="none" w:sz="0" w:space="0" w:color="auto"/>
        <w:left w:val="none" w:sz="0" w:space="0" w:color="auto"/>
        <w:bottom w:val="none" w:sz="0" w:space="0" w:color="auto"/>
        <w:right w:val="none" w:sz="0" w:space="0" w:color="auto"/>
      </w:divBdr>
    </w:div>
    <w:div w:id="511144908">
      <w:bodyDiv w:val="1"/>
      <w:marLeft w:val="0"/>
      <w:marRight w:val="0"/>
      <w:marTop w:val="0"/>
      <w:marBottom w:val="0"/>
      <w:divBdr>
        <w:top w:val="none" w:sz="0" w:space="0" w:color="auto"/>
        <w:left w:val="none" w:sz="0" w:space="0" w:color="auto"/>
        <w:bottom w:val="none" w:sz="0" w:space="0" w:color="auto"/>
        <w:right w:val="none" w:sz="0" w:space="0" w:color="auto"/>
      </w:divBdr>
    </w:div>
    <w:div w:id="551965782">
      <w:bodyDiv w:val="1"/>
      <w:marLeft w:val="0"/>
      <w:marRight w:val="0"/>
      <w:marTop w:val="0"/>
      <w:marBottom w:val="0"/>
      <w:divBdr>
        <w:top w:val="none" w:sz="0" w:space="0" w:color="auto"/>
        <w:left w:val="none" w:sz="0" w:space="0" w:color="auto"/>
        <w:bottom w:val="none" w:sz="0" w:space="0" w:color="auto"/>
        <w:right w:val="none" w:sz="0" w:space="0" w:color="auto"/>
      </w:divBdr>
    </w:div>
    <w:div w:id="723338305">
      <w:bodyDiv w:val="1"/>
      <w:marLeft w:val="0"/>
      <w:marRight w:val="0"/>
      <w:marTop w:val="0"/>
      <w:marBottom w:val="0"/>
      <w:divBdr>
        <w:top w:val="none" w:sz="0" w:space="0" w:color="auto"/>
        <w:left w:val="none" w:sz="0" w:space="0" w:color="auto"/>
        <w:bottom w:val="none" w:sz="0" w:space="0" w:color="auto"/>
        <w:right w:val="none" w:sz="0" w:space="0" w:color="auto"/>
      </w:divBdr>
    </w:div>
    <w:div w:id="916749494">
      <w:bodyDiv w:val="1"/>
      <w:marLeft w:val="0"/>
      <w:marRight w:val="0"/>
      <w:marTop w:val="0"/>
      <w:marBottom w:val="0"/>
      <w:divBdr>
        <w:top w:val="none" w:sz="0" w:space="0" w:color="auto"/>
        <w:left w:val="none" w:sz="0" w:space="0" w:color="auto"/>
        <w:bottom w:val="none" w:sz="0" w:space="0" w:color="auto"/>
        <w:right w:val="none" w:sz="0" w:space="0" w:color="auto"/>
      </w:divBdr>
    </w:div>
    <w:div w:id="942689450">
      <w:bodyDiv w:val="1"/>
      <w:marLeft w:val="0"/>
      <w:marRight w:val="0"/>
      <w:marTop w:val="0"/>
      <w:marBottom w:val="0"/>
      <w:divBdr>
        <w:top w:val="none" w:sz="0" w:space="0" w:color="auto"/>
        <w:left w:val="none" w:sz="0" w:space="0" w:color="auto"/>
        <w:bottom w:val="none" w:sz="0" w:space="0" w:color="auto"/>
        <w:right w:val="none" w:sz="0" w:space="0" w:color="auto"/>
      </w:divBdr>
    </w:div>
    <w:div w:id="1114596825">
      <w:bodyDiv w:val="1"/>
      <w:marLeft w:val="0"/>
      <w:marRight w:val="0"/>
      <w:marTop w:val="0"/>
      <w:marBottom w:val="0"/>
      <w:divBdr>
        <w:top w:val="none" w:sz="0" w:space="0" w:color="auto"/>
        <w:left w:val="none" w:sz="0" w:space="0" w:color="auto"/>
        <w:bottom w:val="none" w:sz="0" w:space="0" w:color="auto"/>
        <w:right w:val="none" w:sz="0" w:space="0" w:color="auto"/>
      </w:divBdr>
    </w:div>
    <w:div w:id="1141194674">
      <w:bodyDiv w:val="1"/>
      <w:marLeft w:val="0"/>
      <w:marRight w:val="0"/>
      <w:marTop w:val="0"/>
      <w:marBottom w:val="0"/>
      <w:divBdr>
        <w:top w:val="none" w:sz="0" w:space="0" w:color="auto"/>
        <w:left w:val="none" w:sz="0" w:space="0" w:color="auto"/>
        <w:bottom w:val="none" w:sz="0" w:space="0" w:color="auto"/>
        <w:right w:val="none" w:sz="0" w:space="0" w:color="auto"/>
      </w:divBdr>
    </w:div>
    <w:div w:id="1171070356">
      <w:bodyDiv w:val="1"/>
      <w:marLeft w:val="0"/>
      <w:marRight w:val="0"/>
      <w:marTop w:val="0"/>
      <w:marBottom w:val="0"/>
      <w:divBdr>
        <w:top w:val="none" w:sz="0" w:space="0" w:color="auto"/>
        <w:left w:val="none" w:sz="0" w:space="0" w:color="auto"/>
        <w:bottom w:val="none" w:sz="0" w:space="0" w:color="auto"/>
        <w:right w:val="none" w:sz="0" w:space="0" w:color="auto"/>
      </w:divBdr>
    </w:div>
    <w:div w:id="1188174603">
      <w:bodyDiv w:val="1"/>
      <w:marLeft w:val="0"/>
      <w:marRight w:val="0"/>
      <w:marTop w:val="0"/>
      <w:marBottom w:val="0"/>
      <w:divBdr>
        <w:top w:val="none" w:sz="0" w:space="0" w:color="auto"/>
        <w:left w:val="none" w:sz="0" w:space="0" w:color="auto"/>
        <w:bottom w:val="none" w:sz="0" w:space="0" w:color="auto"/>
        <w:right w:val="none" w:sz="0" w:space="0" w:color="auto"/>
      </w:divBdr>
    </w:div>
    <w:div w:id="1191265417">
      <w:bodyDiv w:val="1"/>
      <w:marLeft w:val="0"/>
      <w:marRight w:val="0"/>
      <w:marTop w:val="0"/>
      <w:marBottom w:val="0"/>
      <w:divBdr>
        <w:top w:val="none" w:sz="0" w:space="0" w:color="auto"/>
        <w:left w:val="none" w:sz="0" w:space="0" w:color="auto"/>
        <w:bottom w:val="none" w:sz="0" w:space="0" w:color="auto"/>
        <w:right w:val="none" w:sz="0" w:space="0" w:color="auto"/>
      </w:divBdr>
    </w:div>
    <w:div w:id="1220820127">
      <w:bodyDiv w:val="1"/>
      <w:marLeft w:val="0"/>
      <w:marRight w:val="0"/>
      <w:marTop w:val="0"/>
      <w:marBottom w:val="0"/>
      <w:divBdr>
        <w:top w:val="none" w:sz="0" w:space="0" w:color="auto"/>
        <w:left w:val="none" w:sz="0" w:space="0" w:color="auto"/>
        <w:bottom w:val="none" w:sz="0" w:space="0" w:color="auto"/>
        <w:right w:val="none" w:sz="0" w:space="0" w:color="auto"/>
      </w:divBdr>
    </w:div>
    <w:div w:id="1276252945">
      <w:bodyDiv w:val="1"/>
      <w:marLeft w:val="0"/>
      <w:marRight w:val="0"/>
      <w:marTop w:val="0"/>
      <w:marBottom w:val="0"/>
      <w:divBdr>
        <w:top w:val="none" w:sz="0" w:space="0" w:color="auto"/>
        <w:left w:val="none" w:sz="0" w:space="0" w:color="auto"/>
        <w:bottom w:val="none" w:sz="0" w:space="0" w:color="auto"/>
        <w:right w:val="none" w:sz="0" w:space="0" w:color="auto"/>
      </w:divBdr>
    </w:div>
    <w:div w:id="1282300765">
      <w:bodyDiv w:val="1"/>
      <w:marLeft w:val="0"/>
      <w:marRight w:val="0"/>
      <w:marTop w:val="0"/>
      <w:marBottom w:val="0"/>
      <w:divBdr>
        <w:top w:val="none" w:sz="0" w:space="0" w:color="auto"/>
        <w:left w:val="none" w:sz="0" w:space="0" w:color="auto"/>
        <w:bottom w:val="none" w:sz="0" w:space="0" w:color="auto"/>
        <w:right w:val="none" w:sz="0" w:space="0" w:color="auto"/>
      </w:divBdr>
    </w:div>
    <w:div w:id="1407603633">
      <w:bodyDiv w:val="1"/>
      <w:marLeft w:val="0"/>
      <w:marRight w:val="0"/>
      <w:marTop w:val="0"/>
      <w:marBottom w:val="0"/>
      <w:divBdr>
        <w:top w:val="none" w:sz="0" w:space="0" w:color="auto"/>
        <w:left w:val="none" w:sz="0" w:space="0" w:color="auto"/>
        <w:bottom w:val="none" w:sz="0" w:space="0" w:color="auto"/>
        <w:right w:val="none" w:sz="0" w:space="0" w:color="auto"/>
      </w:divBdr>
    </w:div>
    <w:div w:id="1622690614">
      <w:bodyDiv w:val="1"/>
      <w:marLeft w:val="0"/>
      <w:marRight w:val="0"/>
      <w:marTop w:val="0"/>
      <w:marBottom w:val="0"/>
      <w:divBdr>
        <w:top w:val="none" w:sz="0" w:space="0" w:color="auto"/>
        <w:left w:val="none" w:sz="0" w:space="0" w:color="auto"/>
        <w:bottom w:val="none" w:sz="0" w:space="0" w:color="auto"/>
        <w:right w:val="none" w:sz="0" w:space="0" w:color="auto"/>
      </w:divBdr>
    </w:div>
    <w:div w:id="207357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RG\Documents\Plantillas%20personalizadas%20de%20Office\PLANTILLA%20CAR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E3F9F-3912-4254-ACB2-A0DB129E5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CARTA.dotx</Template>
  <TotalTime>0</TotalTime>
  <Pages>7</Pages>
  <Words>11330</Words>
  <Characters>62320</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Rodríguez</dc:creator>
  <cp:keywords/>
  <dc:description/>
  <cp:lastModifiedBy>Luis Hernández Molina</cp:lastModifiedBy>
  <cp:revision>2</cp:revision>
  <cp:lastPrinted>2019-03-11T08:34:00Z</cp:lastPrinted>
  <dcterms:created xsi:type="dcterms:W3CDTF">2021-05-19T11:33:00Z</dcterms:created>
  <dcterms:modified xsi:type="dcterms:W3CDTF">2021-05-19T11:33:00Z</dcterms:modified>
</cp:coreProperties>
</file>