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D108" w14:textId="77777777" w:rsidR="00022891"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2C6BC66C" w14:textId="77777777" w:rsidR="00022891"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3DA7DEA6" w14:textId="77777777" w:rsidR="00022891"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6C155B3C" w14:textId="77777777" w:rsidR="00022891"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0A59F58D" w14:textId="77777777" w:rsidR="00022891"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382DD34D" w14:textId="77777777" w:rsidR="00022891" w:rsidRPr="00052BF5"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48"/>
          <w:szCs w:val="48"/>
        </w:rPr>
      </w:pPr>
      <w:r w:rsidRPr="00052BF5">
        <w:rPr>
          <w:b/>
          <w:snapToGrid w:val="0"/>
          <w:sz w:val="48"/>
          <w:szCs w:val="48"/>
        </w:rPr>
        <w:t>Promotur Turismo Canarias S.A.</w:t>
      </w:r>
    </w:p>
    <w:p w14:paraId="511009D6" w14:textId="77777777" w:rsidR="00022891" w:rsidRPr="00052BF5"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9"/>
        <w:rPr>
          <w:b/>
          <w:snapToGrid w:val="0"/>
          <w:sz w:val="48"/>
          <w:szCs w:val="48"/>
        </w:rPr>
      </w:pPr>
    </w:p>
    <w:p w14:paraId="6F5640EA" w14:textId="77777777" w:rsidR="00022891" w:rsidRPr="00052BF5"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9"/>
        <w:rPr>
          <w:b/>
          <w:snapToGrid w:val="0"/>
          <w:sz w:val="48"/>
          <w:szCs w:val="48"/>
        </w:rPr>
      </w:pPr>
      <w:r w:rsidRPr="00052BF5">
        <w:rPr>
          <w:b/>
          <w:snapToGrid w:val="0"/>
          <w:sz w:val="48"/>
          <w:szCs w:val="48"/>
        </w:rPr>
        <w:t>Cuentas Anuales e</w:t>
      </w:r>
    </w:p>
    <w:p w14:paraId="5B05399B" w14:textId="77777777" w:rsidR="00022891" w:rsidRPr="00052BF5"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9"/>
        <w:rPr>
          <w:b/>
          <w:snapToGrid w:val="0"/>
          <w:sz w:val="48"/>
          <w:szCs w:val="48"/>
        </w:rPr>
      </w:pPr>
      <w:r w:rsidRPr="00052BF5">
        <w:rPr>
          <w:b/>
          <w:snapToGrid w:val="0"/>
          <w:sz w:val="48"/>
          <w:szCs w:val="48"/>
        </w:rPr>
        <w:t>Informe de Gestión</w:t>
      </w:r>
    </w:p>
    <w:p w14:paraId="727FDF06" w14:textId="0245BC7A" w:rsidR="00022891" w:rsidRPr="00052BF5"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9"/>
        <w:rPr>
          <w:b/>
          <w:snapToGrid w:val="0"/>
          <w:sz w:val="48"/>
          <w:szCs w:val="48"/>
        </w:rPr>
      </w:pPr>
      <w:r w:rsidRPr="00052BF5">
        <w:rPr>
          <w:b/>
          <w:snapToGrid w:val="0"/>
          <w:sz w:val="48"/>
          <w:szCs w:val="48"/>
        </w:rPr>
        <w:t>31 de diciembre de 20</w:t>
      </w:r>
      <w:r w:rsidR="006C61B5" w:rsidRPr="00052BF5">
        <w:rPr>
          <w:b/>
          <w:snapToGrid w:val="0"/>
          <w:sz w:val="48"/>
          <w:szCs w:val="48"/>
        </w:rPr>
        <w:t>2</w:t>
      </w:r>
      <w:r w:rsidR="003D20EB" w:rsidRPr="00052BF5">
        <w:rPr>
          <w:b/>
          <w:snapToGrid w:val="0"/>
          <w:sz w:val="48"/>
          <w:szCs w:val="48"/>
        </w:rPr>
        <w:t>1</w:t>
      </w:r>
    </w:p>
    <w:p w14:paraId="2E9BE2B7" w14:textId="77777777" w:rsidR="00022891" w:rsidRPr="0083433F"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2D5551EF" w14:textId="77777777" w:rsidR="00022891" w:rsidRPr="0083433F"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3D35144B" w14:textId="77777777" w:rsidR="00022891" w:rsidRPr="0083433F"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38584C40" w14:textId="77777777" w:rsidR="00022891" w:rsidRPr="0083433F"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2E720646" w14:textId="77777777" w:rsidR="003849D9" w:rsidRPr="0083433F" w:rsidRDefault="003849D9"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sectPr w:rsidR="003849D9" w:rsidRPr="0083433F" w:rsidSect="000F0BE8">
          <w:headerReference w:type="default" r:id="rId8"/>
          <w:footerReference w:type="default" r:id="rId9"/>
          <w:headerReference w:type="first" r:id="rId10"/>
          <w:footerReference w:type="first" r:id="rId11"/>
          <w:pgSz w:w="11900" w:h="16840"/>
          <w:pgMar w:top="2127" w:right="1134" w:bottom="1701" w:left="1701" w:header="1701" w:footer="964" w:gutter="0"/>
          <w:pgNumType w:start="1"/>
          <w:cols w:space="708"/>
          <w:titlePg/>
          <w:docGrid w:linePitch="360"/>
        </w:sectPr>
      </w:pPr>
    </w:p>
    <w:p w14:paraId="676768CB" w14:textId="77777777"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rPr>
          <w:b/>
          <w:snapToGrid w:val="0"/>
          <w:sz w:val="20"/>
        </w:rPr>
      </w:pPr>
      <w:r w:rsidRPr="0083433F">
        <w:rPr>
          <w:b/>
          <w:snapToGrid w:val="0"/>
          <w:sz w:val="20"/>
        </w:rPr>
        <w:lastRenderedPageBreak/>
        <w:t>PROMOTUR TURISMO CANARIAS, S.A.</w:t>
      </w:r>
    </w:p>
    <w:p w14:paraId="052C2AE3" w14:textId="0A29CF2F"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rPr>
          <w:b/>
          <w:spacing w:val="-1"/>
          <w:sz w:val="20"/>
        </w:rPr>
      </w:pPr>
      <w:r w:rsidRPr="0083433F">
        <w:rPr>
          <w:b/>
          <w:spacing w:val="-1"/>
          <w:sz w:val="20"/>
        </w:rPr>
        <w:t>BALANCE DE SITUACIÓN AL 31 DE DICIEMBRE DE 20</w:t>
      </w:r>
      <w:r w:rsidR="002D429A">
        <w:rPr>
          <w:b/>
          <w:spacing w:val="-1"/>
          <w:sz w:val="20"/>
        </w:rPr>
        <w:t>2</w:t>
      </w:r>
      <w:r w:rsidR="003D20EB">
        <w:rPr>
          <w:b/>
          <w:spacing w:val="-1"/>
          <w:sz w:val="20"/>
        </w:rPr>
        <w:t>1</w:t>
      </w:r>
      <w:r w:rsidR="00C16766" w:rsidRPr="0083433F">
        <w:rPr>
          <w:b/>
          <w:spacing w:val="-1"/>
          <w:sz w:val="20"/>
        </w:rPr>
        <w:t xml:space="preserve"> Y 20</w:t>
      </w:r>
      <w:r w:rsidR="003D20EB">
        <w:rPr>
          <w:b/>
          <w:spacing w:val="-1"/>
          <w:sz w:val="20"/>
        </w:rPr>
        <w:t>20</w:t>
      </w:r>
      <w:r w:rsidRPr="0083433F">
        <w:rPr>
          <w:b/>
          <w:spacing w:val="-1"/>
          <w:sz w:val="20"/>
        </w:rPr>
        <w:t xml:space="preserve"> (Expresado en euros)</w:t>
      </w:r>
    </w:p>
    <w:p w14:paraId="0A75F29A" w14:textId="77777777" w:rsidR="00C16766" w:rsidRPr="0083433F" w:rsidRDefault="00C16766"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pacing w:val="-1"/>
          <w:sz w:val="20"/>
        </w:rPr>
      </w:pPr>
    </w:p>
    <w:tbl>
      <w:tblPr>
        <w:tblW w:w="5000" w:type="pct"/>
        <w:tblCellMar>
          <w:left w:w="70" w:type="dxa"/>
          <w:right w:w="70" w:type="dxa"/>
        </w:tblCellMar>
        <w:tblLook w:val="04A0" w:firstRow="1" w:lastRow="0" w:firstColumn="1" w:lastColumn="0" w:noHBand="0" w:noVBand="1"/>
      </w:tblPr>
      <w:tblGrid>
        <w:gridCol w:w="4043"/>
        <w:gridCol w:w="1202"/>
        <w:gridCol w:w="1844"/>
        <w:gridCol w:w="1976"/>
      </w:tblGrid>
      <w:tr w:rsidR="002D429A" w:rsidRPr="002D429A" w14:paraId="0BC9B84A" w14:textId="77777777" w:rsidTr="00BE76DE">
        <w:trPr>
          <w:trHeight w:val="283"/>
        </w:trPr>
        <w:tc>
          <w:tcPr>
            <w:tcW w:w="2230" w:type="pct"/>
            <w:vMerge w:val="restart"/>
            <w:tcBorders>
              <w:top w:val="single" w:sz="8" w:space="0" w:color="auto"/>
              <w:left w:val="nil"/>
              <w:bottom w:val="single" w:sz="8" w:space="0" w:color="000000"/>
              <w:right w:val="nil"/>
            </w:tcBorders>
            <w:shd w:val="clear" w:color="auto" w:fill="D9D9D9" w:themeFill="background1" w:themeFillShade="D9"/>
            <w:noWrap/>
            <w:vAlign w:val="bottom"/>
            <w:hideMark/>
          </w:tcPr>
          <w:p w14:paraId="69E8B0E5"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ACTIVO</w:t>
            </w:r>
          </w:p>
        </w:tc>
        <w:tc>
          <w:tcPr>
            <w:tcW w:w="663" w:type="pct"/>
            <w:vMerge w:val="restart"/>
            <w:tcBorders>
              <w:top w:val="single" w:sz="8" w:space="0" w:color="auto"/>
              <w:left w:val="nil"/>
              <w:bottom w:val="single" w:sz="8" w:space="0" w:color="000000"/>
              <w:right w:val="nil"/>
            </w:tcBorders>
            <w:shd w:val="clear" w:color="auto" w:fill="D9D9D9" w:themeFill="background1" w:themeFillShade="D9"/>
            <w:noWrap/>
            <w:vAlign w:val="bottom"/>
            <w:hideMark/>
          </w:tcPr>
          <w:p w14:paraId="543322DC" w14:textId="4EAD9FD5" w:rsid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Nota</w:t>
            </w:r>
            <w:r w:rsidR="00052BF5">
              <w:rPr>
                <w:rFonts w:eastAsia="Times New Roman"/>
                <w:b/>
                <w:bCs/>
                <w:sz w:val="18"/>
                <w:szCs w:val="18"/>
                <w:bdr w:val="none" w:sz="0" w:space="0" w:color="auto"/>
                <w:lang w:eastAsia="es-ES"/>
              </w:rPr>
              <w:t>s</w:t>
            </w:r>
          </w:p>
          <w:p w14:paraId="1ED72ED0" w14:textId="78AEAB05" w:rsidR="00052BF5" w:rsidRPr="002D429A" w:rsidRDefault="00052BF5"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Memoria</w:t>
            </w:r>
          </w:p>
        </w:tc>
        <w:tc>
          <w:tcPr>
            <w:tcW w:w="1017" w:type="pct"/>
            <w:tcBorders>
              <w:top w:val="single" w:sz="8" w:space="0" w:color="auto"/>
              <w:left w:val="nil"/>
              <w:bottom w:val="nil"/>
              <w:right w:val="nil"/>
            </w:tcBorders>
            <w:shd w:val="clear" w:color="auto" w:fill="D9D9D9" w:themeFill="background1" w:themeFillShade="D9"/>
            <w:noWrap/>
            <w:vAlign w:val="bottom"/>
            <w:hideMark/>
          </w:tcPr>
          <w:p w14:paraId="402BB170"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Al 31 de diciembre</w:t>
            </w:r>
          </w:p>
        </w:tc>
        <w:tc>
          <w:tcPr>
            <w:tcW w:w="1090" w:type="pct"/>
            <w:tcBorders>
              <w:top w:val="single" w:sz="8" w:space="0" w:color="auto"/>
              <w:left w:val="nil"/>
              <w:bottom w:val="nil"/>
              <w:right w:val="nil"/>
            </w:tcBorders>
            <w:shd w:val="clear" w:color="auto" w:fill="D9D9D9" w:themeFill="background1" w:themeFillShade="D9"/>
            <w:noWrap/>
            <w:vAlign w:val="bottom"/>
            <w:hideMark/>
          </w:tcPr>
          <w:p w14:paraId="6742E14A"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Al 31 de diciembre</w:t>
            </w:r>
          </w:p>
        </w:tc>
      </w:tr>
      <w:tr w:rsidR="002D429A" w:rsidRPr="002D429A" w14:paraId="4FB95EF4" w14:textId="77777777" w:rsidTr="00BE76DE">
        <w:trPr>
          <w:trHeight w:val="255"/>
        </w:trPr>
        <w:tc>
          <w:tcPr>
            <w:tcW w:w="2230" w:type="pct"/>
            <w:vMerge/>
            <w:tcBorders>
              <w:top w:val="single" w:sz="8" w:space="0" w:color="auto"/>
              <w:left w:val="nil"/>
              <w:bottom w:val="single" w:sz="8" w:space="0" w:color="000000"/>
              <w:right w:val="nil"/>
            </w:tcBorders>
            <w:shd w:val="clear" w:color="auto" w:fill="F2F2F2" w:themeFill="background1" w:themeFillShade="F2"/>
            <w:vAlign w:val="center"/>
            <w:hideMark/>
          </w:tcPr>
          <w:p w14:paraId="54AFB1A5"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63" w:type="pct"/>
            <w:vMerge/>
            <w:tcBorders>
              <w:top w:val="single" w:sz="8" w:space="0" w:color="auto"/>
              <w:left w:val="nil"/>
              <w:bottom w:val="single" w:sz="8" w:space="0" w:color="000000"/>
              <w:right w:val="nil"/>
            </w:tcBorders>
            <w:shd w:val="clear" w:color="auto" w:fill="F2F2F2" w:themeFill="background1" w:themeFillShade="F2"/>
            <w:vAlign w:val="center"/>
            <w:hideMark/>
          </w:tcPr>
          <w:p w14:paraId="733EDAB5"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017" w:type="pct"/>
            <w:tcBorders>
              <w:top w:val="single" w:sz="8" w:space="0" w:color="auto"/>
              <w:left w:val="nil"/>
              <w:bottom w:val="single" w:sz="8" w:space="0" w:color="auto"/>
              <w:right w:val="nil"/>
            </w:tcBorders>
            <w:shd w:val="clear" w:color="auto" w:fill="D9D9D9" w:themeFill="background1" w:themeFillShade="D9"/>
            <w:vAlign w:val="bottom"/>
            <w:hideMark/>
          </w:tcPr>
          <w:p w14:paraId="4D5954CE" w14:textId="28BBC3D5"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202</w:t>
            </w:r>
            <w:r w:rsidR="003D20EB">
              <w:rPr>
                <w:rFonts w:eastAsia="Times New Roman"/>
                <w:b/>
                <w:bCs/>
                <w:color w:val="auto"/>
                <w:sz w:val="18"/>
                <w:szCs w:val="18"/>
                <w:bdr w:val="none" w:sz="0" w:space="0" w:color="auto"/>
                <w:lang w:eastAsia="es-ES"/>
              </w:rPr>
              <w:t>1</w:t>
            </w:r>
          </w:p>
        </w:tc>
        <w:tc>
          <w:tcPr>
            <w:tcW w:w="1090" w:type="pct"/>
            <w:tcBorders>
              <w:top w:val="single" w:sz="8" w:space="0" w:color="auto"/>
              <w:left w:val="nil"/>
              <w:bottom w:val="single" w:sz="8" w:space="0" w:color="auto"/>
              <w:right w:val="nil"/>
            </w:tcBorders>
            <w:shd w:val="clear" w:color="auto" w:fill="D9D9D9" w:themeFill="background1" w:themeFillShade="D9"/>
            <w:vAlign w:val="bottom"/>
            <w:hideMark/>
          </w:tcPr>
          <w:p w14:paraId="771730D5" w14:textId="451C12F1"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20</w:t>
            </w:r>
            <w:r w:rsidR="003D20EB">
              <w:rPr>
                <w:rFonts w:eastAsia="Times New Roman"/>
                <w:b/>
                <w:bCs/>
                <w:color w:val="auto"/>
                <w:sz w:val="18"/>
                <w:szCs w:val="18"/>
                <w:bdr w:val="none" w:sz="0" w:space="0" w:color="auto"/>
                <w:lang w:eastAsia="es-ES"/>
              </w:rPr>
              <w:t>20</w:t>
            </w:r>
          </w:p>
        </w:tc>
      </w:tr>
      <w:tr w:rsidR="002E3C11" w:rsidRPr="002D429A" w14:paraId="08689F37" w14:textId="77777777" w:rsidTr="002E3C11">
        <w:trPr>
          <w:trHeight w:val="227"/>
        </w:trPr>
        <w:tc>
          <w:tcPr>
            <w:tcW w:w="2230" w:type="pct"/>
            <w:tcBorders>
              <w:top w:val="nil"/>
              <w:left w:val="nil"/>
              <w:bottom w:val="single" w:sz="4" w:space="0" w:color="auto"/>
              <w:right w:val="nil"/>
            </w:tcBorders>
            <w:shd w:val="clear" w:color="auto" w:fill="auto"/>
            <w:noWrap/>
            <w:vAlign w:val="center"/>
          </w:tcPr>
          <w:p w14:paraId="077BA365" w14:textId="77777777" w:rsidR="002E3C11" w:rsidRPr="002D429A" w:rsidRDefault="002E3C11"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63" w:type="pct"/>
            <w:tcBorders>
              <w:top w:val="nil"/>
              <w:left w:val="nil"/>
              <w:bottom w:val="single" w:sz="4" w:space="0" w:color="auto"/>
              <w:right w:val="nil"/>
            </w:tcBorders>
            <w:shd w:val="clear" w:color="auto" w:fill="auto"/>
            <w:noWrap/>
            <w:vAlign w:val="center"/>
          </w:tcPr>
          <w:p w14:paraId="2D381C9B" w14:textId="77777777" w:rsidR="002E3C11" w:rsidRPr="002D429A" w:rsidRDefault="002E3C11"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1017" w:type="pct"/>
            <w:tcBorders>
              <w:top w:val="nil"/>
              <w:left w:val="nil"/>
              <w:bottom w:val="single" w:sz="4" w:space="0" w:color="auto"/>
              <w:right w:val="nil"/>
            </w:tcBorders>
            <w:shd w:val="clear" w:color="auto" w:fill="auto"/>
            <w:noWrap/>
            <w:vAlign w:val="center"/>
          </w:tcPr>
          <w:p w14:paraId="5CAE21A6" w14:textId="77777777" w:rsidR="002E3C11" w:rsidRPr="002D429A" w:rsidRDefault="002E3C11"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1090" w:type="pct"/>
            <w:tcBorders>
              <w:top w:val="nil"/>
              <w:left w:val="nil"/>
              <w:bottom w:val="single" w:sz="4" w:space="0" w:color="auto"/>
              <w:right w:val="nil"/>
            </w:tcBorders>
            <w:shd w:val="clear" w:color="auto" w:fill="auto"/>
            <w:noWrap/>
            <w:vAlign w:val="center"/>
          </w:tcPr>
          <w:p w14:paraId="1F4DD81D" w14:textId="77777777" w:rsidR="002E3C11" w:rsidRPr="002D429A" w:rsidRDefault="002E3C11"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r>
      <w:tr w:rsidR="00A039AB" w:rsidRPr="002D429A" w14:paraId="1976ECBD" w14:textId="77777777" w:rsidTr="003D20EB">
        <w:trPr>
          <w:trHeight w:val="340"/>
        </w:trPr>
        <w:tc>
          <w:tcPr>
            <w:tcW w:w="2230" w:type="pct"/>
            <w:tcBorders>
              <w:top w:val="single" w:sz="4" w:space="0" w:color="auto"/>
              <w:left w:val="nil"/>
              <w:bottom w:val="nil"/>
              <w:right w:val="nil"/>
            </w:tcBorders>
            <w:shd w:val="clear" w:color="auto" w:fill="F2F2F2" w:themeFill="background1" w:themeFillShade="F2"/>
            <w:noWrap/>
            <w:vAlign w:val="center"/>
            <w:hideMark/>
          </w:tcPr>
          <w:p w14:paraId="157C8EFC" w14:textId="77777777"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ACTIVO NO CORRIENTE</w:t>
            </w:r>
          </w:p>
        </w:tc>
        <w:tc>
          <w:tcPr>
            <w:tcW w:w="663" w:type="pct"/>
            <w:tcBorders>
              <w:top w:val="single" w:sz="4" w:space="0" w:color="auto"/>
              <w:left w:val="nil"/>
              <w:bottom w:val="nil"/>
              <w:right w:val="nil"/>
            </w:tcBorders>
            <w:shd w:val="clear" w:color="auto" w:fill="F2F2F2" w:themeFill="background1" w:themeFillShade="F2"/>
            <w:noWrap/>
            <w:vAlign w:val="center"/>
            <w:hideMark/>
          </w:tcPr>
          <w:p w14:paraId="668612F1" w14:textId="77777777"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1017" w:type="pct"/>
            <w:tcBorders>
              <w:top w:val="single" w:sz="4" w:space="0" w:color="auto"/>
              <w:left w:val="nil"/>
              <w:bottom w:val="nil"/>
              <w:right w:val="nil"/>
            </w:tcBorders>
            <w:shd w:val="clear" w:color="auto" w:fill="F2F2F2" w:themeFill="background1" w:themeFillShade="F2"/>
            <w:noWrap/>
            <w:vAlign w:val="center"/>
          </w:tcPr>
          <w:p w14:paraId="409186A3" w14:textId="36516BC2"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461.644,83</w:t>
            </w:r>
          </w:p>
        </w:tc>
        <w:tc>
          <w:tcPr>
            <w:tcW w:w="1090" w:type="pct"/>
            <w:tcBorders>
              <w:top w:val="single" w:sz="4" w:space="0" w:color="auto"/>
              <w:left w:val="nil"/>
              <w:bottom w:val="nil"/>
              <w:right w:val="nil"/>
            </w:tcBorders>
            <w:shd w:val="clear" w:color="auto" w:fill="F2F2F2" w:themeFill="background1" w:themeFillShade="F2"/>
            <w:noWrap/>
            <w:vAlign w:val="center"/>
            <w:hideMark/>
          </w:tcPr>
          <w:p w14:paraId="29E6E1F3" w14:textId="3F3F7822"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472.364,38</w:t>
            </w:r>
          </w:p>
        </w:tc>
      </w:tr>
      <w:tr w:rsidR="00A039AB" w:rsidRPr="002D429A" w14:paraId="4C8C4765" w14:textId="77777777" w:rsidTr="003D20EB">
        <w:trPr>
          <w:trHeight w:val="340"/>
        </w:trPr>
        <w:tc>
          <w:tcPr>
            <w:tcW w:w="2230" w:type="pct"/>
            <w:tcBorders>
              <w:top w:val="single" w:sz="8" w:space="0" w:color="auto"/>
              <w:left w:val="nil"/>
              <w:bottom w:val="nil"/>
              <w:right w:val="nil"/>
            </w:tcBorders>
            <w:shd w:val="clear" w:color="auto" w:fill="auto"/>
            <w:noWrap/>
            <w:vAlign w:val="center"/>
            <w:hideMark/>
          </w:tcPr>
          <w:p w14:paraId="0264D0C0" w14:textId="77777777"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Inmovilizado intangible</w:t>
            </w:r>
          </w:p>
        </w:tc>
        <w:tc>
          <w:tcPr>
            <w:tcW w:w="663" w:type="pct"/>
            <w:tcBorders>
              <w:top w:val="single" w:sz="8" w:space="0" w:color="auto"/>
              <w:left w:val="nil"/>
              <w:bottom w:val="nil"/>
              <w:right w:val="nil"/>
            </w:tcBorders>
            <w:shd w:val="clear" w:color="auto" w:fill="auto"/>
            <w:noWrap/>
            <w:vAlign w:val="center"/>
            <w:hideMark/>
          </w:tcPr>
          <w:p w14:paraId="70A9112A" w14:textId="77777777" w:rsidR="00A039AB" w:rsidRPr="003D20EB"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highlight w:val="yellow"/>
                <w:bdr w:val="none" w:sz="0" w:space="0" w:color="auto"/>
                <w:lang w:eastAsia="es-ES"/>
              </w:rPr>
            </w:pPr>
            <w:r w:rsidRPr="000D57C6">
              <w:rPr>
                <w:rFonts w:eastAsia="Times New Roman"/>
                <w:b/>
                <w:bCs/>
                <w:sz w:val="18"/>
                <w:szCs w:val="18"/>
                <w:bdr w:val="none" w:sz="0" w:space="0" w:color="auto"/>
                <w:lang w:eastAsia="es-ES"/>
              </w:rPr>
              <w:t>5</w:t>
            </w:r>
          </w:p>
        </w:tc>
        <w:tc>
          <w:tcPr>
            <w:tcW w:w="1017" w:type="pct"/>
            <w:tcBorders>
              <w:top w:val="single" w:sz="8" w:space="0" w:color="auto"/>
              <w:left w:val="nil"/>
              <w:bottom w:val="nil"/>
              <w:right w:val="nil"/>
            </w:tcBorders>
            <w:shd w:val="clear" w:color="auto" w:fill="auto"/>
            <w:noWrap/>
            <w:vAlign w:val="center"/>
          </w:tcPr>
          <w:p w14:paraId="21047A0A" w14:textId="6C9FCEAF"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19.777,34</w:t>
            </w:r>
          </w:p>
        </w:tc>
        <w:tc>
          <w:tcPr>
            <w:tcW w:w="1090" w:type="pct"/>
            <w:tcBorders>
              <w:top w:val="single" w:sz="8" w:space="0" w:color="auto"/>
              <w:left w:val="nil"/>
              <w:bottom w:val="nil"/>
              <w:right w:val="nil"/>
            </w:tcBorders>
            <w:shd w:val="clear" w:color="auto" w:fill="auto"/>
            <w:noWrap/>
            <w:vAlign w:val="center"/>
            <w:hideMark/>
          </w:tcPr>
          <w:p w14:paraId="43CA8CE7" w14:textId="2642F35D"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sz w:val="18"/>
                <w:szCs w:val="18"/>
                <w:bdr w:val="none" w:sz="0" w:space="0" w:color="auto"/>
                <w:lang w:eastAsia="es-ES"/>
              </w:rPr>
              <w:t xml:space="preserve">41.062,33   </w:t>
            </w:r>
          </w:p>
        </w:tc>
      </w:tr>
      <w:tr w:rsidR="00A039AB" w:rsidRPr="002D429A" w14:paraId="4EBAD831" w14:textId="77777777" w:rsidTr="003D20EB">
        <w:trPr>
          <w:trHeight w:val="340"/>
        </w:trPr>
        <w:tc>
          <w:tcPr>
            <w:tcW w:w="2230" w:type="pct"/>
            <w:tcBorders>
              <w:top w:val="nil"/>
              <w:left w:val="nil"/>
              <w:bottom w:val="nil"/>
              <w:right w:val="nil"/>
            </w:tcBorders>
            <w:shd w:val="clear" w:color="auto" w:fill="auto"/>
            <w:noWrap/>
            <w:vAlign w:val="center"/>
            <w:hideMark/>
          </w:tcPr>
          <w:p w14:paraId="3C9BC07D" w14:textId="77777777"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Inmovilizado material</w:t>
            </w:r>
          </w:p>
        </w:tc>
        <w:tc>
          <w:tcPr>
            <w:tcW w:w="663" w:type="pct"/>
            <w:tcBorders>
              <w:top w:val="nil"/>
              <w:left w:val="nil"/>
              <w:bottom w:val="nil"/>
              <w:right w:val="nil"/>
            </w:tcBorders>
            <w:shd w:val="clear" w:color="auto" w:fill="auto"/>
            <w:noWrap/>
            <w:vAlign w:val="center"/>
            <w:hideMark/>
          </w:tcPr>
          <w:p w14:paraId="3E344A3C" w14:textId="77777777" w:rsidR="00A039AB" w:rsidRPr="003D20EB"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highlight w:val="yellow"/>
                <w:bdr w:val="none" w:sz="0" w:space="0" w:color="auto"/>
                <w:lang w:eastAsia="es-ES"/>
              </w:rPr>
            </w:pPr>
            <w:r w:rsidRPr="00B144A9">
              <w:rPr>
                <w:rFonts w:eastAsia="Times New Roman"/>
                <w:b/>
                <w:bCs/>
                <w:sz w:val="18"/>
                <w:szCs w:val="18"/>
                <w:bdr w:val="none" w:sz="0" w:space="0" w:color="auto"/>
                <w:lang w:eastAsia="es-ES"/>
              </w:rPr>
              <w:t>6</w:t>
            </w:r>
          </w:p>
        </w:tc>
        <w:tc>
          <w:tcPr>
            <w:tcW w:w="1017" w:type="pct"/>
            <w:tcBorders>
              <w:top w:val="nil"/>
              <w:left w:val="nil"/>
              <w:bottom w:val="nil"/>
              <w:right w:val="nil"/>
            </w:tcBorders>
            <w:shd w:val="clear" w:color="auto" w:fill="auto"/>
            <w:noWrap/>
            <w:vAlign w:val="center"/>
          </w:tcPr>
          <w:p w14:paraId="7710BCEE" w14:textId="49C90E47"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432.759,79</w:t>
            </w:r>
          </w:p>
        </w:tc>
        <w:tc>
          <w:tcPr>
            <w:tcW w:w="1090" w:type="pct"/>
            <w:tcBorders>
              <w:top w:val="nil"/>
              <w:left w:val="nil"/>
              <w:bottom w:val="nil"/>
              <w:right w:val="nil"/>
            </w:tcBorders>
            <w:shd w:val="clear" w:color="auto" w:fill="auto"/>
            <w:noWrap/>
            <w:vAlign w:val="center"/>
            <w:hideMark/>
          </w:tcPr>
          <w:p w14:paraId="582CEE32" w14:textId="300A25B1"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sz w:val="18"/>
                <w:szCs w:val="18"/>
                <w:bdr w:val="none" w:sz="0" w:space="0" w:color="auto"/>
                <w:lang w:eastAsia="es-ES"/>
              </w:rPr>
              <w:t xml:space="preserve">422.194,35   </w:t>
            </w:r>
          </w:p>
        </w:tc>
      </w:tr>
      <w:tr w:rsidR="00A039AB" w:rsidRPr="002D429A" w14:paraId="19DD5D1A" w14:textId="77777777" w:rsidTr="003D20EB">
        <w:trPr>
          <w:trHeight w:val="340"/>
        </w:trPr>
        <w:tc>
          <w:tcPr>
            <w:tcW w:w="2230" w:type="pct"/>
            <w:tcBorders>
              <w:top w:val="nil"/>
              <w:left w:val="nil"/>
              <w:bottom w:val="nil"/>
              <w:right w:val="nil"/>
            </w:tcBorders>
            <w:shd w:val="clear" w:color="auto" w:fill="auto"/>
            <w:noWrap/>
            <w:vAlign w:val="center"/>
            <w:hideMark/>
          </w:tcPr>
          <w:p w14:paraId="7104BC72" w14:textId="77777777"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Inversiones financieras a largo plazo</w:t>
            </w:r>
          </w:p>
        </w:tc>
        <w:tc>
          <w:tcPr>
            <w:tcW w:w="663" w:type="pct"/>
            <w:tcBorders>
              <w:top w:val="nil"/>
              <w:left w:val="nil"/>
              <w:bottom w:val="nil"/>
              <w:right w:val="nil"/>
            </w:tcBorders>
            <w:shd w:val="clear" w:color="auto" w:fill="auto"/>
            <w:noWrap/>
            <w:vAlign w:val="center"/>
            <w:hideMark/>
          </w:tcPr>
          <w:p w14:paraId="5DBE49CA" w14:textId="77777777" w:rsidR="00A039AB" w:rsidRPr="003D20EB"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highlight w:val="yellow"/>
                <w:bdr w:val="none" w:sz="0" w:space="0" w:color="auto"/>
                <w:lang w:eastAsia="es-ES"/>
              </w:rPr>
            </w:pPr>
          </w:p>
        </w:tc>
        <w:tc>
          <w:tcPr>
            <w:tcW w:w="1017" w:type="pct"/>
            <w:tcBorders>
              <w:top w:val="nil"/>
              <w:left w:val="nil"/>
              <w:bottom w:val="nil"/>
              <w:right w:val="nil"/>
            </w:tcBorders>
            <w:shd w:val="clear" w:color="auto" w:fill="auto"/>
            <w:noWrap/>
            <w:vAlign w:val="center"/>
          </w:tcPr>
          <w:p w14:paraId="6821A545" w14:textId="413599A0"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9.107,70</w:t>
            </w:r>
          </w:p>
        </w:tc>
        <w:tc>
          <w:tcPr>
            <w:tcW w:w="1090" w:type="pct"/>
            <w:tcBorders>
              <w:top w:val="nil"/>
              <w:left w:val="nil"/>
              <w:bottom w:val="nil"/>
              <w:right w:val="nil"/>
            </w:tcBorders>
            <w:shd w:val="clear" w:color="auto" w:fill="auto"/>
            <w:noWrap/>
            <w:vAlign w:val="center"/>
            <w:hideMark/>
          </w:tcPr>
          <w:p w14:paraId="6DCE2E91" w14:textId="1EB4BD1A"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sz w:val="18"/>
                <w:szCs w:val="18"/>
                <w:bdr w:val="none" w:sz="0" w:space="0" w:color="auto"/>
                <w:lang w:eastAsia="es-ES"/>
              </w:rPr>
              <w:t xml:space="preserve">9.107,70   </w:t>
            </w:r>
          </w:p>
        </w:tc>
      </w:tr>
      <w:tr w:rsidR="00A039AB" w:rsidRPr="002D429A" w14:paraId="255C8960" w14:textId="77777777" w:rsidTr="003D20EB">
        <w:trPr>
          <w:trHeight w:val="240"/>
        </w:trPr>
        <w:tc>
          <w:tcPr>
            <w:tcW w:w="2230" w:type="pct"/>
            <w:tcBorders>
              <w:top w:val="nil"/>
              <w:left w:val="nil"/>
              <w:bottom w:val="nil"/>
              <w:right w:val="nil"/>
            </w:tcBorders>
            <w:shd w:val="clear" w:color="auto" w:fill="auto"/>
            <w:noWrap/>
            <w:vAlign w:val="center"/>
            <w:hideMark/>
          </w:tcPr>
          <w:p w14:paraId="5C495BA0" w14:textId="77777777"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Otros activos financieros</w:t>
            </w:r>
          </w:p>
        </w:tc>
        <w:tc>
          <w:tcPr>
            <w:tcW w:w="663" w:type="pct"/>
            <w:tcBorders>
              <w:top w:val="nil"/>
              <w:left w:val="nil"/>
              <w:bottom w:val="nil"/>
              <w:right w:val="nil"/>
            </w:tcBorders>
            <w:shd w:val="clear" w:color="auto" w:fill="auto"/>
            <w:noWrap/>
            <w:vAlign w:val="center"/>
            <w:hideMark/>
          </w:tcPr>
          <w:p w14:paraId="054CF746" w14:textId="77777777" w:rsidR="00A039AB" w:rsidRPr="003D20EB"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highlight w:val="yellow"/>
                <w:bdr w:val="none" w:sz="0" w:space="0" w:color="auto"/>
                <w:lang w:eastAsia="es-ES"/>
              </w:rPr>
            </w:pPr>
            <w:r w:rsidRPr="00691B37">
              <w:rPr>
                <w:rFonts w:eastAsia="Times New Roman"/>
                <w:sz w:val="18"/>
                <w:szCs w:val="18"/>
                <w:bdr w:val="none" w:sz="0" w:space="0" w:color="auto"/>
                <w:lang w:eastAsia="es-ES"/>
              </w:rPr>
              <w:t>8.1.a.</w:t>
            </w:r>
          </w:p>
        </w:tc>
        <w:tc>
          <w:tcPr>
            <w:tcW w:w="1017" w:type="pct"/>
            <w:tcBorders>
              <w:top w:val="nil"/>
              <w:left w:val="nil"/>
              <w:bottom w:val="nil"/>
              <w:right w:val="nil"/>
            </w:tcBorders>
            <w:shd w:val="clear" w:color="auto" w:fill="auto"/>
            <w:noWrap/>
            <w:vAlign w:val="center"/>
          </w:tcPr>
          <w:p w14:paraId="74B6EC5A" w14:textId="4053752D"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9.107,70</w:t>
            </w:r>
          </w:p>
        </w:tc>
        <w:tc>
          <w:tcPr>
            <w:tcW w:w="1090" w:type="pct"/>
            <w:tcBorders>
              <w:top w:val="nil"/>
              <w:left w:val="nil"/>
              <w:bottom w:val="nil"/>
              <w:right w:val="nil"/>
            </w:tcBorders>
            <w:shd w:val="clear" w:color="auto" w:fill="auto"/>
            <w:noWrap/>
            <w:vAlign w:val="center"/>
            <w:hideMark/>
          </w:tcPr>
          <w:p w14:paraId="2896342E" w14:textId="7578098F" w:rsidR="00A039AB" w:rsidRPr="002D429A" w:rsidRDefault="00A039AB" w:rsidP="00A039A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sz w:val="18"/>
                <w:szCs w:val="18"/>
                <w:bdr w:val="none" w:sz="0" w:space="0" w:color="auto"/>
                <w:lang w:eastAsia="es-ES"/>
              </w:rPr>
              <w:t xml:space="preserve">9.107,70   </w:t>
            </w:r>
          </w:p>
        </w:tc>
      </w:tr>
      <w:tr w:rsidR="003D20EB" w:rsidRPr="002D429A" w14:paraId="3E1C2CFA" w14:textId="77777777" w:rsidTr="003D20EB">
        <w:trPr>
          <w:trHeight w:val="227"/>
        </w:trPr>
        <w:tc>
          <w:tcPr>
            <w:tcW w:w="2230" w:type="pct"/>
            <w:tcBorders>
              <w:top w:val="nil"/>
              <w:left w:val="nil"/>
              <w:bottom w:val="nil"/>
              <w:right w:val="nil"/>
            </w:tcBorders>
            <w:shd w:val="clear" w:color="auto" w:fill="auto"/>
            <w:noWrap/>
            <w:vAlign w:val="center"/>
            <w:hideMark/>
          </w:tcPr>
          <w:p w14:paraId="6A0EF859"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663" w:type="pct"/>
            <w:tcBorders>
              <w:top w:val="nil"/>
              <w:left w:val="nil"/>
              <w:bottom w:val="nil"/>
              <w:right w:val="nil"/>
            </w:tcBorders>
            <w:shd w:val="clear" w:color="auto" w:fill="auto"/>
            <w:noWrap/>
            <w:vAlign w:val="center"/>
            <w:hideMark/>
          </w:tcPr>
          <w:p w14:paraId="5B5A4B51"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1017" w:type="pct"/>
            <w:tcBorders>
              <w:top w:val="nil"/>
              <w:left w:val="nil"/>
              <w:bottom w:val="nil"/>
              <w:right w:val="nil"/>
            </w:tcBorders>
            <w:shd w:val="clear" w:color="auto" w:fill="auto"/>
            <w:noWrap/>
            <w:vAlign w:val="center"/>
          </w:tcPr>
          <w:p w14:paraId="32084C3A"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1090" w:type="pct"/>
            <w:tcBorders>
              <w:top w:val="nil"/>
              <w:left w:val="nil"/>
              <w:bottom w:val="nil"/>
              <w:right w:val="nil"/>
            </w:tcBorders>
            <w:shd w:val="clear" w:color="auto" w:fill="auto"/>
            <w:noWrap/>
            <w:vAlign w:val="center"/>
            <w:hideMark/>
          </w:tcPr>
          <w:p w14:paraId="036112D5"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3D20EB" w:rsidRPr="002D429A" w14:paraId="7940FB9A" w14:textId="77777777" w:rsidTr="003D20EB">
        <w:trPr>
          <w:trHeight w:val="340"/>
        </w:trPr>
        <w:tc>
          <w:tcPr>
            <w:tcW w:w="2230" w:type="pct"/>
            <w:tcBorders>
              <w:top w:val="single" w:sz="8" w:space="0" w:color="auto"/>
              <w:left w:val="nil"/>
              <w:bottom w:val="single" w:sz="8" w:space="0" w:color="auto"/>
              <w:right w:val="nil"/>
            </w:tcBorders>
            <w:shd w:val="clear" w:color="auto" w:fill="F2F2F2" w:themeFill="background1" w:themeFillShade="F2"/>
            <w:noWrap/>
            <w:vAlign w:val="center"/>
            <w:hideMark/>
          </w:tcPr>
          <w:p w14:paraId="59F6441E"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ACTIVO CORRIENTE</w:t>
            </w:r>
          </w:p>
        </w:tc>
        <w:tc>
          <w:tcPr>
            <w:tcW w:w="663" w:type="pct"/>
            <w:tcBorders>
              <w:top w:val="single" w:sz="8" w:space="0" w:color="auto"/>
              <w:left w:val="nil"/>
              <w:bottom w:val="single" w:sz="8" w:space="0" w:color="auto"/>
              <w:right w:val="nil"/>
            </w:tcBorders>
            <w:shd w:val="clear" w:color="auto" w:fill="F2F2F2" w:themeFill="background1" w:themeFillShade="F2"/>
            <w:noWrap/>
            <w:vAlign w:val="center"/>
            <w:hideMark/>
          </w:tcPr>
          <w:p w14:paraId="57A00FCF"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1017" w:type="pct"/>
            <w:tcBorders>
              <w:top w:val="single" w:sz="8" w:space="0" w:color="auto"/>
              <w:left w:val="nil"/>
              <w:bottom w:val="single" w:sz="8" w:space="0" w:color="auto"/>
              <w:right w:val="nil"/>
            </w:tcBorders>
            <w:shd w:val="clear" w:color="auto" w:fill="F2F2F2" w:themeFill="background1" w:themeFillShade="F2"/>
            <w:noWrap/>
            <w:vAlign w:val="center"/>
          </w:tcPr>
          <w:p w14:paraId="328B5B08" w14:textId="46F95D31" w:rsidR="003D20EB" w:rsidRPr="00B847DA" w:rsidRDefault="00B847DA" w:rsidP="00B847D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55.628.494,42</w:t>
            </w:r>
          </w:p>
        </w:tc>
        <w:tc>
          <w:tcPr>
            <w:tcW w:w="1090" w:type="pct"/>
            <w:tcBorders>
              <w:top w:val="single" w:sz="8" w:space="0" w:color="auto"/>
              <w:left w:val="nil"/>
              <w:bottom w:val="single" w:sz="8" w:space="0" w:color="auto"/>
              <w:right w:val="nil"/>
            </w:tcBorders>
            <w:shd w:val="clear" w:color="auto" w:fill="F2F2F2" w:themeFill="background1" w:themeFillShade="F2"/>
            <w:noWrap/>
            <w:vAlign w:val="center"/>
            <w:hideMark/>
          </w:tcPr>
          <w:p w14:paraId="27300BCA" w14:textId="21A4C9BF" w:rsidR="003D20EB" w:rsidRDefault="003D20EB" w:rsidP="003D20EB">
            <w:pPr>
              <w:jc w:val="right"/>
              <w:rPr>
                <w:b/>
                <w:bCs/>
                <w:sz w:val="18"/>
                <w:szCs w:val="18"/>
              </w:rPr>
            </w:pPr>
            <w:r>
              <w:rPr>
                <w:b/>
                <w:bCs/>
                <w:sz w:val="18"/>
                <w:szCs w:val="18"/>
              </w:rPr>
              <w:t>13.786.786,75</w:t>
            </w:r>
          </w:p>
        </w:tc>
      </w:tr>
      <w:tr w:rsidR="003D20EB" w:rsidRPr="002D429A" w14:paraId="781BFCF7" w14:textId="77777777" w:rsidTr="003D20EB">
        <w:trPr>
          <w:trHeight w:val="340"/>
        </w:trPr>
        <w:tc>
          <w:tcPr>
            <w:tcW w:w="2893" w:type="pct"/>
            <w:gridSpan w:val="2"/>
            <w:tcBorders>
              <w:top w:val="nil"/>
              <w:left w:val="nil"/>
              <w:bottom w:val="nil"/>
              <w:right w:val="nil"/>
            </w:tcBorders>
            <w:shd w:val="clear" w:color="auto" w:fill="auto"/>
            <w:noWrap/>
            <w:vAlign w:val="center"/>
            <w:hideMark/>
          </w:tcPr>
          <w:p w14:paraId="719D3C7D"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Deudores comerciales y otras cuentas a cobrar</w:t>
            </w:r>
          </w:p>
        </w:tc>
        <w:tc>
          <w:tcPr>
            <w:tcW w:w="1017" w:type="pct"/>
            <w:tcBorders>
              <w:top w:val="nil"/>
              <w:left w:val="nil"/>
              <w:bottom w:val="nil"/>
              <w:right w:val="nil"/>
            </w:tcBorders>
            <w:shd w:val="clear" w:color="auto" w:fill="auto"/>
            <w:noWrap/>
            <w:vAlign w:val="center"/>
          </w:tcPr>
          <w:p w14:paraId="38268032" w14:textId="38BA6288" w:rsidR="003D20EB" w:rsidRPr="00583645"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40.472.032,14</w:t>
            </w:r>
          </w:p>
        </w:tc>
        <w:tc>
          <w:tcPr>
            <w:tcW w:w="1090" w:type="pct"/>
            <w:tcBorders>
              <w:top w:val="nil"/>
              <w:left w:val="nil"/>
              <w:bottom w:val="nil"/>
              <w:right w:val="nil"/>
            </w:tcBorders>
            <w:shd w:val="clear" w:color="auto" w:fill="auto"/>
            <w:noWrap/>
            <w:vAlign w:val="center"/>
            <w:hideMark/>
          </w:tcPr>
          <w:p w14:paraId="3810D083" w14:textId="08218AE4" w:rsidR="003D20EB" w:rsidRPr="00583645"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121.027,98</w:t>
            </w:r>
          </w:p>
        </w:tc>
      </w:tr>
      <w:tr w:rsidR="00583645" w:rsidRPr="002D429A" w14:paraId="7172D8BC" w14:textId="77777777" w:rsidTr="003D20EB">
        <w:trPr>
          <w:trHeight w:val="340"/>
        </w:trPr>
        <w:tc>
          <w:tcPr>
            <w:tcW w:w="2893" w:type="pct"/>
            <w:gridSpan w:val="2"/>
            <w:tcBorders>
              <w:top w:val="nil"/>
              <w:left w:val="nil"/>
              <w:bottom w:val="nil"/>
              <w:right w:val="nil"/>
            </w:tcBorders>
            <w:shd w:val="clear" w:color="auto" w:fill="auto"/>
            <w:noWrap/>
            <w:vAlign w:val="center"/>
          </w:tcPr>
          <w:p w14:paraId="55461113" w14:textId="79821214" w:rsidR="00583645" w:rsidRPr="00691B37" w:rsidRDefault="00583645" w:rsidP="003D20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691B37">
              <w:rPr>
                <w:rFonts w:eastAsia="Times New Roman"/>
                <w:sz w:val="18"/>
                <w:szCs w:val="18"/>
                <w:bdr w:val="none" w:sz="0" w:space="0" w:color="auto"/>
                <w:lang w:eastAsia="es-ES"/>
              </w:rPr>
              <w:t>Clientes por ventas y prestaciones de servicios</w:t>
            </w:r>
            <w:r w:rsidR="00667183" w:rsidRPr="00691B37">
              <w:rPr>
                <w:rFonts w:eastAsia="Times New Roman"/>
                <w:sz w:val="18"/>
                <w:szCs w:val="18"/>
                <w:bdr w:val="none" w:sz="0" w:space="0" w:color="auto"/>
                <w:lang w:eastAsia="es-ES"/>
              </w:rPr>
              <w:t xml:space="preserve">            </w:t>
            </w:r>
            <w:proofErr w:type="gramStart"/>
            <w:r w:rsidR="00667183" w:rsidRPr="00691B37">
              <w:rPr>
                <w:rFonts w:eastAsia="Times New Roman"/>
                <w:sz w:val="18"/>
                <w:szCs w:val="18"/>
                <w:bdr w:val="none" w:sz="0" w:space="0" w:color="auto"/>
                <w:lang w:eastAsia="es-ES"/>
              </w:rPr>
              <w:t>8.1.a</w:t>
            </w:r>
            <w:proofErr w:type="gramEnd"/>
          </w:p>
        </w:tc>
        <w:tc>
          <w:tcPr>
            <w:tcW w:w="1017" w:type="pct"/>
            <w:tcBorders>
              <w:top w:val="nil"/>
              <w:left w:val="nil"/>
              <w:bottom w:val="nil"/>
              <w:right w:val="nil"/>
            </w:tcBorders>
            <w:shd w:val="clear" w:color="auto" w:fill="auto"/>
            <w:noWrap/>
            <w:vAlign w:val="center"/>
          </w:tcPr>
          <w:p w14:paraId="7C09DD44" w14:textId="226E814C" w:rsidR="00583645" w:rsidRPr="00583645"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667183">
              <w:rPr>
                <w:rFonts w:eastAsia="Times New Roman"/>
                <w:sz w:val="18"/>
                <w:szCs w:val="18"/>
                <w:bdr w:val="none" w:sz="0" w:space="0" w:color="auto"/>
                <w:lang w:eastAsia="es-ES"/>
              </w:rPr>
              <w:t>99.686,83</w:t>
            </w:r>
          </w:p>
        </w:tc>
        <w:tc>
          <w:tcPr>
            <w:tcW w:w="1090" w:type="pct"/>
            <w:tcBorders>
              <w:top w:val="nil"/>
              <w:left w:val="nil"/>
              <w:bottom w:val="nil"/>
              <w:right w:val="nil"/>
            </w:tcBorders>
            <w:shd w:val="clear" w:color="auto" w:fill="auto"/>
            <w:noWrap/>
            <w:vAlign w:val="center"/>
          </w:tcPr>
          <w:p w14:paraId="217A71F7" w14:textId="4E4DFF04" w:rsidR="00583645" w:rsidRPr="00667183" w:rsidRDefault="00583645" w:rsidP="003D20E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667183">
              <w:rPr>
                <w:rFonts w:eastAsia="Times New Roman"/>
                <w:sz w:val="18"/>
                <w:szCs w:val="18"/>
                <w:bdr w:val="none" w:sz="0" w:space="0" w:color="auto"/>
                <w:lang w:eastAsia="es-ES"/>
              </w:rPr>
              <w:t>-</w:t>
            </w:r>
          </w:p>
        </w:tc>
      </w:tr>
      <w:tr w:rsidR="00583645" w:rsidRPr="002D429A" w14:paraId="48AF311A" w14:textId="77777777" w:rsidTr="00583645">
        <w:trPr>
          <w:trHeight w:val="283"/>
        </w:trPr>
        <w:tc>
          <w:tcPr>
            <w:tcW w:w="2230" w:type="pct"/>
            <w:tcBorders>
              <w:top w:val="nil"/>
              <w:left w:val="nil"/>
              <w:bottom w:val="nil"/>
              <w:right w:val="nil"/>
            </w:tcBorders>
            <w:shd w:val="clear" w:color="auto" w:fill="auto"/>
            <w:noWrap/>
            <w:vAlign w:val="center"/>
            <w:hideMark/>
          </w:tcPr>
          <w:p w14:paraId="64C48597" w14:textId="77777777" w:rsidR="00583645" w:rsidRPr="002D429A"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Deudores varios</w:t>
            </w:r>
          </w:p>
        </w:tc>
        <w:tc>
          <w:tcPr>
            <w:tcW w:w="663" w:type="pct"/>
            <w:tcBorders>
              <w:top w:val="nil"/>
              <w:left w:val="nil"/>
              <w:bottom w:val="nil"/>
              <w:right w:val="nil"/>
            </w:tcBorders>
            <w:shd w:val="clear" w:color="auto" w:fill="auto"/>
            <w:noWrap/>
            <w:vAlign w:val="center"/>
            <w:hideMark/>
          </w:tcPr>
          <w:p w14:paraId="6245E76B" w14:textId="77777777" w:rsidR="00583645" w:rsidRPr="00691B37"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691B37">
              <w:rPr>
                <w:rFonts w:eastAsia="Times New Roman"/>
                <w:sz w:val="18"/>
                <w:szCs w:val="18"/>
                <w:bdr w:val="none" w:sz="0" w:space="0" w:color="auto"/>
                <w:lang w:eastAsia="es-ES"/>
              </w:rPr>
              <w:t>8.1.a</w:t>
            </w:r>
          </w:p>
        </w:tc>
        <w:tc>
          <w:tcPr>
            <w:tcW w:w="1017" w:type="pct"/>
            <w:tcBorders>
              <w:top w:val="nil"/>
              <w:left w:val="nil"/>
              <w:bottom w:val="nil"/>
              <w:right w:val="nil"/>
            </w:tcBorders>
            <w:shd w:val="clear" w:color="auto" w:fill="auto"/>
            <w:noWrap/>
            <w:vAlign w:val="center"/>
          </w:tcPr>
          <w:p w14:paraId="2ECBCD7D" w14:textId="34D629B8" w:rsidR="00583645" w:rsidRPr="002D429A"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472.345,31</w:t>
            </w:r>
          </w:p>
        </w:tc>
        <w:tc>
          <w:tcPr>
            <w:tcW w:w="1090" w:type="pct"/>
            <w:tcBorders>
              <w:top w:val="nil"/>
              <w:left w:val="nil"/>
              <w:bottom w:val="nil"/>
              <w:right w:val="nil"/>
            </w:tcBorders>
            <w:shd w:val="clear" w:color="auto" w:fill="auto"/>
            <w:noWrap/>
            <w:vAlign w:val="center"/>
            <w:hideMark/>
          </w:tcPr>
          <w:p w14:paraId="5B96F12D" w14:textId="29B57653" w:rsidR="00583645" w:rsidRPr="002D429A"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sz w:val="18"/>
                <w:szCs w:val="18"/>
                <w:bdr w:val="none" w:sz="0" w:space="0" w:color="auto"/>
                <w:lang w:eastAsia="es-ES"/>
              </w:rPr>
              <w:t xml:space="preserve">8.534,09   </w:t>
            </w:r>
          </w:p>
        </w:tc>
      </w:tr>
      <w:tr w:rsidR="00583645" w:rsidRPr="002D429A" w14:paraId="34F43091" w14:textId="77777777" w:rsidTr="003D20EB">
        <w:trPr>
          <w:trHeight w:val="240"/>
        </w:trPr>
        <w:tc>
          <w:tcPr>
            <w:tcW w:w="2230" w:type="pct"/>
            <w:tcBorders>
              <w:top w:val="nil"/>
              <w:left w:val="nil"/>
              <w:bottom w:val="nil"/>
              <w:right w:val="nil"/>
            </w:tcBorders>
            <w:shd w:val="clear" w:color="auto" w:fill="auto"/>
            <w:noWrap/>
            <w:vAlign w:val="center"/>
            <w:hideMark/>
          </w:tcPr>
          <w:p w14:paraId="03FB7F8D" w14:textId="77777777" w:rsidR="00583645" w:rsidRPr="002D429A"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Otros créditos con las Administraciones Públicas</w:t>
            </w:r>
          </w:p>
        </w:tc>
        <w:tc>
          <w:tcPr>
            <w:tcW w:w="663" w:type="pct"/>
            <w:tcBorders>
              <w:top w:val="nil"/>
              <w:left w:val="nil"/>
              <w:bottom w:val="nil"/>
              <w:right w:val="nil"/>
            </w:tcBorders>
            <w:shd w:val="clear" w:color="auto" w:fill="auto"/>
            <w:noWrap/>
            <w:vAlign w:val="center"/>
            <w:hideMark/>
          </w:tcPr>
          <w:p w14:paraId="6258F42D" w14:textId="751B5424" w:rsidR="00583645" w:rsidRPr="003D20EB"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highlight w:val="yellow"/>
                <w:bdr w:val="none" w:sz="0" w:space="0" w:color="auto"/>
                <w:lang w:eastAsia="es-ES"/>
              </w:rPr>
            </w:pPr>
            <w:r w:rsidRPr="00085996">
              <w:rPr>
                <w:rFonts w:eastAsia="Times New Roman"/>
                <w:sz w:val="18"/>
                <w:szCs w:val="18"/>
                <w:bdr w:val="none" w:sz="0" w:space="0" w:color="auto"/>
                <w:lang w:eastAsia="es-ES"/>
              </w:rPr>
              <w:t>11</w:t>
            </w:r>
            <w:r w:rsidR="00DD13B4">
              <w:rPr>
                <w:rFonts w:eastAsia="Times New Roman"/>
                <w:sz w:val="18"/>
                <w:szCs w:val="18"/>
                <w:bdr w:val="none" w:sz="0" w:space="0" w:color="auto"/>
                <w:lang w:eastAsia="es-ES"/>
              </w:rPr>
              <w:t>.1</w:t>
            </w:r>
          </w:p>
        </w:tc>
        <w:tc>
          <w:tcPr>
            <w:tcW w:w="1017" w:type="pct"/>
            <w:tcBorders>
              <w:top w:val="nil"/>
              <w:left w:val="nil"/>
              <w:bottom w:val="nil"/>
              <w:right w:val="nil"/>
            </w:tcBorders>
            <w:shd w:val="clear" w:color="auto" w:fill="auto"/>
            <w:noWrap/>
            <w:vAlign w:val="center"/>
          </w:tcPr>
          <w:p w14:paraId="099C45C8" w14:textId="170B4FD0" w:rsidR="00583645" w:rsidRPr="002D429A"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39.900.000,00</w:t>
            </w:r>
          </w:p>
        </w:tc>
        <w:tc>
          <w:tcPr>
            <w:tcW w:w="1090" w:type="pct"/>
            <w:tcBorders>
              <w:top w:val="nil"/>
              <w:left w:val="nil"/>
              <w:bottom w:val="nil"/>
              <w:right w:val="nil"/>
            </w:tcBorders>
            <w:shd w:val="clear" w:color="auto" w:fill="auto"/>
            <w:noWrap/>
            <w:vAlign w:val="center"/>
            <w:hideMark/>
          </w:tcPr>
          <w:p w14:paraId="4B2DBE8E" w14:textId="719A1D71" w:rsidR="00583645" w:rsidRPr="002D429A"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sz w:val="18"/>
                <w:szCs w:val="18"/>
                <w:bdr w:val="none" w:sz="0" w:space="0" w:color="auto"/>
                <w:lang w:eastAsia="es-ES"/>
              </w:rPr>
              <w:t xml:space="preserve">112.493,89   </w:t>
            </w:r>
          </w:p>
        </w:tc>
      </w:tr>
      <w:tr w:rsidR="003D20EB" w:rsidRPr="002D429A" w14:paraId="2A2A6381" w14:textId="77777777" w:rsidTr="003D20EB">
        <w:trPr>
          <w:trHeight w:val="340"/>
        </w:trPr>
        <w:tc>
          <w:tcPr>
            <w:tcW w:w="2230" w:type="pct"/>
            <w:tcBorders>
              <w:top w:val="nil"/>
              <w:left w:val="nil"/>
              <w:bottom w:val="nil"/>
              <w:right w:val="nil"/>
            </w:tcBorders>
            <w:shd w:val="clear" w:color="auto" w:fill="auto"/>
            <w:noWrap/>
            <w:vAlign w:val="center"/>
            <w:hideMark/>
          </w:tcPr>
          <w:p w14:paraId="16F8027F"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Periodificaciones a corto plazo </w:t>
            </w:r>
          </w:p>
        </w:tc>
        <w:tc>
          <w:tcPr>
            <w:tcW w:w="663" w:type="pct"/>
            <w:tcBorders>
              <w:top w:val="nil"/>
              <w:left w:val="nil"/>
              <w:bottom w:val="nil"/>
              <w:right w:val="nil"/>
            </w:tcBorders>
            <w:shd w:val="clear" w:color="auto" w:fill="auto"/>
            <w:noWrap/>
            <w:vAlign w:val="center"/>
            <w:hideMark/>
          </w:tcPr>
          <w:p w14:paraId="4384711E" w14:textId="30FF3E9A" w:rsidR="003D20EB" w:rsidRPr="003D20EB"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highlight w:val="yellow"/>
                <w:bdr w:val="none" w:sz="0" w:space="0" w:color="auto"/>
                <w:lang w:eastAsia="es-ES"/>
              </w:rPr>
            </w:pPr>
            <w:r w:rsidRPr="006A5379">
              <w:rPr>
                <w:rFonts w:eastAsia="Times New Roman"/>
                <w:b/>
                <w:bCs/>
                <w:sz w:val="18"/>
                <w:szCs w:val="18"/>
                <w:bdr w:val="none" w:sz="0" w:space="0" w:color="auto"/>
                <w:lang w:eastAsia="es-ES"/>
              </w:rPr>
              <w:t>8.</w:t>
            </w:r>
            <w:proofErr w:type="gramStart"/>
            <w:r w:rsidRPr="006A5379">
              <w:rPr>
                <w:rFonts w:eastAsia="Times New Roman"/>
                <w:b/>
                <w:bCs/>
                <w:sz w:val="18"/>
                <w:szCs w:val="18"/>
                <w:bdr w:val="none" w:sz="0" w:space="0" w:color="auto"/>
                <w:lang w:eastAsia="es-ES"/>
              </w:rPr>
              <w:t>1.</w:t>
            </w:r>
            <w:r w:rsidR="00DD13B4">
              <w:rPr>
                <w:rFonts w:eastAsia="Times New Roman"/>
                <w:b/>
                <w:bCs/>
                <w:sz w:val="18"/>
                <w:szCs w:val="18"/>
                <w:bdr w:val="none" w:sz="0" w:space="0" w:color="auto"/>
                <w:lang w:eastAsia="es-ES"/>
              </w:rPr>
              <w:t>b</w:t>
            </w:r>
            <w:proofErr w:type="gramEnd"/>
          </w:p>
        </w:tc>
        <w:tc>
          <w:tcPr>
            <w:tcW w:w="1017" w:type="pct"/>
            <w:tcBorders>
              <w:top w:val="nil"/>
              <w:left w:val="nil"/>
              <w:bottom w:val="nil"/>
              <w:right w:val="nil"/>
            </w:tcBorders>
            <w:shd w:val="clear" w:color="auto" w:fill="auto"/>
            <w:noWrap/>
            <w:vAlign w:val="center"/>
          </w:tcPr>
          <w:p w14:paraId="4AF46177" w14:textId="173A5F8B" w:rsidR="003D20EB" w:rsidRPr="00583645"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664.366,30</w:t>
            </w:r>
          </w:p>
        </w:tc>
        <w:tc>
          <w:tcPr>
            <w:tcW w:w="1090" w:type="pct"/>
            <w:tcBorders>
              <w:top w:val="nil"/>
              <w:left w:val="nil"/>
              <w:bottom w:val="nil"/>
              <w:right w:val="nil"/>
            </w:tcBorders>
            <w:shd w:val="clear" w:color="auto" w:fill="auto"/>
            <w:noWrap/>
            <w:vAlign w:val="center"/>
            <w:hideMark/>
          </w:tcPr>
          <w:p w14:paraId="1C4BFCB5" w14:textId="7EA9F7AC"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sz w:val="18"/>
                <w:szCs w:val="18"/>
                <w:bdr w:val="none" w:sz="0" w:space="0" w:color="auto"/>
                <w:lang w:eastAsia="es-ES"/>
              </w:rPr>
              <w:t xml:space="preserve">319.464,62   </w:t>
            </w:r>
          </w:p>
        </w:tc>
      </w:tr>
      <w:tr w:rsidR="003D20EB" w:rsidRPr="002D429A" w14:paraId="5867382A" w14:textId="77777777" w:rsidTr="003D20EB">
        <w:trPr>
          <w:trHeight w:val="340"/>
        </w:trPr>
        <w:tc>
          <w:tcPr>
            <w:tcW w:w="2230" w:type="pct"/>
            <w:tcBorders>
              <w:top w:val="nil"/>
              <w:left w:val="nil"/>
              <w:bottom w:val="nil"/>
              <w:right w:val="nil"/>
            </w:tcBorders>
            <w:shd w:val="clear" w:color="auto" w:fill="auto"/>
            <w:noWrap/>
            <w:vAlign w:val="center"/>
            <w:hideMark/>
          </w:tcPr>
          <w:p w14:paraId="373804BC"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Efectivo y otros activos líquidos equivalentes </w:t>
            </w:r>
          </w:p>
        </w:tc>
        <w:tc>
          <w:tcPr>
            <w:tcW w:w="663" w:type="pct"/>
            <w:tcBorders>
              <w:top w:val="nil"/>
              <w:left w:val="nil"/>
              <w:bottom w:val="nil"/>
              <w:right w:val="nil"/>
            </w:tcBorders>
            <w:shd w:val="clear" w:color="auto" w:fill="auto"/>
            <w:noWrap/>
            <w:vAlign w:val="center"/>
            <w:hideMark/>
          </w:tcPr>
          <w:p w14:paraId="7B1A74F6" w14:textId="64A28DE4" w:rsidR="003D20EB" w:rsidRPr="003D20EB"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highlight w:val="yellow"/>
                <w:bdr w:val="none" w:sz="0" w:space="0" w:color="auto"/>
                <w:lang w:eastAsia="es-ES"/>
              </w:rPr>
            </w:pPr>
            <w:r w:rsidRPr="006A5379">
              <w:rPr>
                <w:rFonts w:eastAsia="Times New Roman"/>
                <w:b/>
                <w:bCs/>
                <w:sz w:val="18"/>
                <w:szCs w:val="18"/>
                <w:bdr w:val="none" w:sz="0" w:space="0" w:color="auto"/>
                <w:lang w:eastAsia="es-ES"/>
              </w:rPr>
              <w:t>8.</w:t>
            </w:r>
            <w:r w:rsidR="00DD13B4">
              <w:rPr>
                <w:rFonts w:eastAsia="Times New Roman"/>
                <w:b/>
                <w:bCs/>
                <w:sz w:val="18"/>
                <w:szCs w:val="18"/>
                <w:bdr w:val="none" w:sz="0" w:space="0" w:color="auto"/>
                <w:lang w:eastAsia="es-ES"/>
              </w:rPr>
              <w:t>2</w:t>
            </w:r>
          </w:p>
        </w:tc>
        <w:tc>
          <w:tcPr>
            <w:tcW w:w="1017" w:type="pct"/>
            <w:tcBorders>
              <w:top w:val="nil"/>
              <w:left w:val="nil"/>
              <w:bottom w:val="nil"/>
              <w:right w:val="nil"/>
            </w:tcBorders>
            <w:shd w:val="clear" w:color="auto" w:fill="auto"/>
            <w:noWrap/>
            <w:vAlign w:val="center"/>
          </w:tcPr>
          <w:p w14:paraId="41060B4F" w14:textId="675F47DC" w:rsidR="003D20EB" w:rsidRPr="00583645"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14.492.095,98</w:t>
            </w:r>
          </w:p>
        </w:tc>
        <w:tc>
          <w:tcPr>
            <w:tcW w:w="1090" w:type="pct"/>
            <w:tcBorders>
              <w:top w:val="nil"/>
              <w:left w:val="nil"/>
              <w:bottom w:val="nil"/>
              <w:right w:val="nil"/>
            </w:tcBorders>
            <w:shd w:val="clear" w:color="auto" w:fill="auto"/>
            <w:noWrap/>
            <w:vAlign w:val="center"/>
            <w:hideMark/>
          </w:tcPr>
          <w:p w14:paraId="1FECBEFA" w14:textId="6E19552B"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sz w:val="18"/>
                <w:szCs w:val="18"/>
                <w:bdr w:val="none" w:sz="0" w:space="0" w:color="auto"/>
                <w:lang w:eastAsia="es-ES"/>
              </w:rPr>
              <w:t xml:space="preserve">13.346.294,15   </w:t>
            </w:r>
          </w:p>
        </w:tc>
      </w:tr>
      <w:tr w:rsidR="003D20EB" w:rsidRPr="002D429A" w14:paraId="4DF4EC8A" w14:textId="77777777" w:rsidTr="003D20EB">
        <w:trPr>
          <w:trHeight w:val="170"/>
        </w:trPr>
        <w:tc>
          <w:tcPr>
            <w:tcW w:w="2230" w:type="pct"/>
            <w:tcBorders>
              <w:top w:val="nil"/>
              <w:left w:val="nil"/>
              <w:bottom w:val="nil"/>
              <w:right w:val="nil"/>
            </w:tcBorders>
            <w:shd w:val="clear" w:color="auto" w:fill="auto"/>
            <w:noWrap/>
            <w:vAlign w:val="center"/>
            <w:hideMark/>
          </w:tcPr>
          <w:p w14:paraId="0AE277B5"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663" w:type="pct"/>
            <w:tcBorders>
              <w:top w:val="nil"/>
              <w:left w:val="nil"/>
              <w:bottom w:val="nil"/>
              <w:right w:val="nil"/>
            </w:tcBorders>
            <w:shd w:val="clear" w:color="auto" w:fill="auto"/>
            <w:noWrap/>
            <w:vAlign w:val="center"/>
            <w:hideMark/>
          </w:tcPr>
          <w:p w14:paraId="2D170311"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1017" w:type="pct"/>
            <w:tcBorders>
              <w:top w:val="nil"/>
              <w:left w:val="nil"/>
              <w:bottom w:val="nil"/>
              <w:right w:val="nil"/>
            </w:tcBorders>
            <w:shd w:val="clear" w:color="auto" w:fill="auto"/>
            <w:noWrap/>
            <w:vAlign w:val="center"/>
          </w:tcPr>
          <w:p w14:paraId="66DD725F"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1090" w:type="pct"/>
            <w:tcBorders>
              <w:top w:val="nil"/>
              <w:left w:val="nil"/>
              <w:bottom w:val="nil"/>
              <w:right w:val="nil"/>
            </w:tcBorders>
            <w:shd w:val="clear" w:color="auto" w:fill="auto"/>
            <w:noWrap/>
            <w:vAlign w:val="center"/>
            <w:hideMark/>
          </w:tcPr>
          <w:p w14:paraId="5879A67D"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3D20EB" w:rsidRPr="002D429A" w14:paraId="26FDBFA8" w14:textId="77777777" w:rsidTr="003D20EB">
        <w:trPr>
          <w:trHeight w:val="340"/>
        </w:trPr>
        <w:tc>
          <w:tcPr>
            <w:tcW w:w="2230" w:type="pct"/>
            <w:tcBorders>
              <w:top w:val="single" w:sz="8" w:space="0" w:color="auto"/>
              <w:left w:val="nil"/>
              <w:bottom w:val="single" w:sz="8" w:space="0" w:color="auto"/>
              <w:right w:val="nil"/>
            </w:tcBorders>
            <w:shd w:val="clear" w:color="auto" w:fill="F2F2F2" w:themeFill="background1" w:themeFillShade="F2"/>
            <w:noWrap/>
            <w:vAlign w:val="center"/>
            <w:hideMark/>
          </w:tcPr>
          <w:p w14:paraId="48234FE3"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roofErr w:type="gramStart"/>
            <w:r w:rsidRPr="002D429A">
              <w:rPr>
                <w:rFonts w:eastAsia="Times New Roman"/>
                <w:b/>
                <w:bCs/>
                <w:sz w:val="18"/>
                <w:szCs w:val="18"/>
                <w:bdr w:val="none" w:sz="0" w:space="0" w:color="auto"/>
                <w:lang w:eastAsia="es-ES"/>
              </w:rPr>
              <w:t>TOTAL</w:t>
            </w:r>
            <w:proofErr w:type="gramEnd"/>
            <w:r w:rsidRPr="002D429A">
              <w:rPr>
                <w:rFonts w:eastAsia="Times New Roman"/>
                <w:b/>
                <w:bCs/>
                <w:sz w:val="18"/>
                <w:szCs w:val="18"/>
                <w:bdr w:val="none" w:sz="0" w:space="0" w:color="auto"/>
                <w:lang w:eastAsia="es-ES"/>
              </w:rPr>
              <w:t xml:space="preserve"> ACTIVO</w:t>
            </w:r>
          </w:p>
        </w:tc>
        <w:tc>
          <w:tcPr>
            <w:tcW w:w="663" w:type="pct"/>
            <w:tcBorders>
              <w:top w:val="single" w:sz="8" w:space="0" w:color="auto"/>
              <w:left w:val="nil"/>
              <w:bottom w:val="single" w:sz="8" w:space="0" w:color="auto"/>
              <w:right w:val="nil"/>
            </w:tcBorders>
            <w:shd w:val="clear" w:color="auto" w:fill="F2F2F2" w:themeFill="background1" w:themeFillShade="F2"/>
            <w:noWrap/>
            <w:vAlign w:val="center"/>
            <w:hideMark/>
          </w:tcPr>
          <w:p w14:paraId="0DBC8492" w14:textId="77777777" w:rsidR="003D20EB" w:rsidRPr="002D429A" w:rsidRDefault="003D20EB" w:rsidP="003D20E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1017" w:type="pct"/>
            <w:tcBorders>
              <w:top w:val="single" w:sz="8" w:space="0" w:color="auto"/>
              <w:left w:val="nil"/>
              <w:bottom w:val="single" w:sz="8" w:space="0" w:color="auto"/>
              <w:right w:val="nil"/>
            </w:tcBorders>
            <w:shd w:val="clear" w:color="auto" w:fill="F2F2F2" w:themeFill="background1" w:themeFillShade="F2"/>
            <w:noWrap/>
            <w:vAlign w:val="center"/>
          </w:tcPr>
          <w:p w14:paraId="143684FF" w14:textId="6F9E4BA8" w:rsidR="003D20EB" w:rsidRPr="00583645" w:rsidRDefault="00583645" w:rsidP="0058364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56.090.139,25</w:t>
            </w:r>
          </w:p>
        </w:tc>
        <w:tc>
          <w:tcPr>
            <w:tcW w:w="1090" w:type="pct"/>
            <w:tcBorders>
              <w:top w:val="single" w:sz="8" w:space="0" w:color="auto"/>
              <w:left w:val="nil"/>
              <w:bottom w:val="single" w:sz="8" w:space="0" w:color="auto"/>
              <w:right w:val="nil"/>
            </w:tcBorders>
            <w:shd w:val="clear" w:color="auto" w:fill="F2F2F2" w:themeFill="background1" w:themeFillShade="F2"/>
            <w:noWrap/>
            <w:vAlign w:val="center"/>
            <w:hideMark/>
          </w:tcPr>
          <w:p w14:paraId="0A98E7B5" w14:textId="60600BBF" w:rsidR="003D20EB" w:rsidRDefault="003D20EB" w:rsidP="003D20EB">
            <w:pPr>
              <w:jc w:val="right"/>
              <w:rPr>
                <w:b/>
                <w:bCs/>
                <w:sz w:val="18"/>
                <w:szCs w:val="18"/>
              </w:rPr>
            </w:pPr>
            <w:r>
              <w:rPr>
                <w:b/>
                <w:bCs/>
                <w:sz w:val="18"/>
                <w:szCs w:val="18"/>
              </w:rPr>
              <w:t>14.259.151,13</w:t>
            </w:r>
          </w:p>
        </w:tc>
      </w:tr>
    </w:tbl>
    <w:p w14:paraId="230AFE9B" w14:textId="309B25FB" w:rsidR="003849D9" w:rsidRPr="0083433F" w:rsidRDefault="006220A2"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center"/>
        <w:outlineLvl w:val="0"/>
        <w:rPr>
          <w:sz w:val="20"/>
        </w:rPr>
      </w:pPr>
      <w:r w:rsidRPr="0083433F">
        <w:rPr>
          <w:i/>
          <w:iCs/>
          <w:sz w:val="16"/>
          <w:szCs w:val="18"/>
        </w:rPr>
        <w:t>Las Cuentas Anuales de la Sociedad, que forman una sola unidad, comprenden est</w:t>
      </w:r>
      <w:r w:rsidR="00052BF5">
        <w:rPr>
          <w:i/>
          <w:iCs/>
          <w:sz w:val="16"/>
          <w:szCs w:val="18"/>
        </w:rPr>
        <w:t>e</w:t>
      </w:r>
      <w:r w:rsidRPr="0083433F">
        <w:rPr>
          <w:i/>
          <w:iCs/>
          <w:sz w:val="16"/>
          <w:szCs w:val="18"/>
        </w:rPr>
        <w:t xml:space="preserve"> Balance, la Cuentas de Pérdidas y Ganancias, el Estado de Cambios en el Patrimonio Neto, el </w:t>
      </w:r>
      <w:r w:rsidRPr="005873E7">
        <w:rPr>
          <w:i/>
          <w:iCs/>
          <w:sz w:val="16"/>
          <w:szCs w:val="18"/>
        </w:rPr>
        <w:t>Estado de Flujos de Efectivo adjuntos y la Memori</w:t>
      </w:r>
      <w:r w:rsidR="007B4E43" w:rsidRPr="005873E7">
        <w:rPr>
          <w:i/>
          <w:iCs/>
          <w:sz w:val="16"/>
          <w:szCs w:val="18"/>
        </w:rPr>
        <w:t>a Anual adjunta que consta de 20</w:t>
      </w:r>
      <w:r w:rsidRPr="005873E7">
        <w:rPr>
          <w:i/>
          <w:iCs/>
          <w:sz w:val="16"/>
          <w:szCs w:val="18"/>
        </w:rPr>
        <w:t xml:space="preserve"> Notas</w:t>
      </w:r>
    </w:p>
    <w:p w14:paraId="77D655E0" w14:textId="77777777" w:rsidR="003A4111" w:rsidRPr="0083433F"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sz w:val="20"/>
        </w:rPr>
      </w:pPr>
      <w:r w:rsidRPr="0083433F">
        <w:rPr>
          <w:sz w:val="20"/>
        </w:rPr>
        <w:br w:type="page"/>
      </w:r>
    </w:p>
    <w:p w14:paraId="74A95CD8" w14:textId="77777777"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rPr>
          <w:b/>
          <w:snapToGrid w:val="0"/>
          <w:sz w:val="20"/>
        </w:rPr>
      </w:pPr>
      <w:r w:rsidRPr="0083433F">
        <w:rPr>
          <w:b/>
          <w:snapToGrid w:val="0"/>
          <w:sz w:val="20"/>
        </w:rPr>
        <w:lastRenderedPageBreak/>
        <w:t>PROMOTUR TURISMO CANARIAS, S.A.</w:t>
      </w:r>
    </w:p>
    <w:p w14:paraId="205BCF05" w14:textId="4DBE6B3F"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both"/>
        <w:rPr>
          <w:b/>
          <w:spacing w:val="-1"/>
          <w:sz w:val="20"/>
        </w:rPr>
      </w:pPr>
      <w:r w:rsidRPr="0083433F">
        <w:rPr>
          <w:b/>
          <w:spacing w:val="-1"/>
          <w:sz w:val="20"/>
        </w:rPr>
        <w:t>BALANCE DE SITUACIÓN AL 31 DE DICIEMBRE DE 20</w:t>
      </w:r>
      <w:r w:rsidR="002D429A">
        <w:rPr>
          <w:b/>
          <w:spacing w:val="-1"/>
          <w:sz w:val="20"/>
        </w:rPr>
        <w:t>2</w:t>
      </w:r>
      <w:r w:rsidR="0057231A">
        <w:rPr>
          <w:b/>
          <w:spacing w:val="-1"/>
          <w:sz w:val="20"/>
        </w:rPr>
        <w:t>1</w:t>
      </w:r>
      <w:r w:rsidR="00D63680" w:rsidRPr="0083433F">
        <w:rPr>
          <w:b/>
          <w:spacing w:val="-1"/>
          <w:sz w:val="20"/>
        </w:rPr>
        <w:t xml:space="preserve"> Y 20</w:t>
      </w:r>
      <w:r w:rsidR="0057231A">
        <w:rPr>
          <w:b/>
          <w:spacing w:val="-1"/>
          <w:sz w:val="20"/>
        </w:rPr>
        <w:t>20</w:t>
      </w:r>
      <w:r w:rsidRPr="0083433F">
        <w:rPr>
          <w:b/>
          <w:spacing w:val="-1"/>
          <w:sz w:val="20"/>
        </w:rPr>
        <w:t xml:space="preserve"> (Expresado en euros)</w:t>
      </w:r>
    </w:p>
    <w:p w14:paraId="7D21B2BA" w14:textId="77777777" w:rsidR="006220A2" w:rsidRPr="0083433F" w:rsidRDefault="006220A2" w:rsidP="006220A2">
      <w:pPr>
        <w:widowControl w:val="0"/>
        <w:tabs>
          <w:tab w:val="left" w:pos="284"/>
          <w:tab w:val="left" w:pos="567"/>
          <w:tab w:val="left" w:pos="851"/>
        </w:tabs>
        <w:rPr>
          <w:b/>
          <w:sz w:val="18"/>
          <w:szCs w:val="18"/>
        </w:rPr>
      </w:pPr>
    </w:p>
    <w:tbl>
      <w:tblPr>
        <w:tblW w:w="4943" w:type="pct"/>
        <w:tblCellMar>
          <w:left w:w="70" w:type="dxa"/>
          <w:right w:w="70" w:type="dxa"/>
        </w:tblCellMar>
        <w:tblLook w:val="04A0" w:firstRow="1" w:lastRow="0" w:firstColumn="1" w:lastColumn="0" w:noHBand="0" w:noVBand="1"/>
      </w:tblPr>
      <w:tblGrid>
        <w:gridCol w:w="4303"/>
        <w:gridCol w:w="1197"/>
        <w:gridCol w:w="1731"/>
        <w:gridCol w:w="1731"/>
      </w:tblGrid>
      <w:tr w:rsidR="002D429A" w:rsidRPr="002D429A" w14:paraId="6FF11EA5" w14:textId="77777777" w:rsidTr="0039193B">
        <w:trPr>
          <w:trHeight w:val="227"/>
        </w:trPr>
        <w:tc>
          <w:tcPr>
            <w:tcW w:w="2401" w:type="pct"/>
            <w:vMerge w:val="restart"/>
            <w:tcBorders>
              <w:top w:val="single" w:sz="8" w:space="0" w:color="auto"/>
              <w:left w:val="nil"/>
              <w:bottom w:val="single" w:sz="8" w:space="0" w:color="000000"/>
              <w:right w:val="nil"/>
            </w:tcBorders>
            <w:shd w:val="clear" w:color="auto" w:fill="D9D9D9" w:themeFill="background1" w:themeFillShade="D9"/>
            <w:vAlign w:val="bottom"/>
            <w:hideMark/>
          </w:tcPr>
          <w:p w14:paraId="10D28774"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PATRIMONIO NETO Y PASIVO</w:t>
            </w:r>
          </w:p>
        </w:tc>
        <w:tc>
          <w:tcPr>
            <w:tcW w:w="668" w:type="pct"/>
            <w:vMerge w:val="restart"/>
            <w:tcBorders>
              <w:top w:val="single" w:sz="8" w:space="0" w:color="auto"/>
              <w:left w:val="nil"/>
              <w:bottom w:val="single" w:sz="8" w:space="0" w:color="000000"/>
              <w:right w:val="nil"/>
            </w:tcBorders>
            <w:shd w:val="clear" w:color="auto" w:fill="D9D9D9" w:themeFill="background1" w:themeFillShade="D9"/>
            <w:vAlign w:val="bottom"/>
            <w:hideMark/>
          </w:tcPr>
          <w:p w14:paraId="1FAD9EC3" w14:textId="77777777" w:rsidR="00052BF5" w:rsidRDefault="00052BF5" w:rsidP="00052BF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Nota</w:t>
            </w:r>
            <w:r>
              <w:rPr>
                <w:rFonts w:eastAsia="Times New Roman"/>
                <w:b/>
                <w:bCs/>
                <w:sz w:val="18"/>
                <w:szCs w:val="18"/>
                <w:bdr w:val="none" w:sz="0" w:space="0" w:color="auto"/>
                <w:lang w:eastAsia="es-ES"/>
              </w:rPr>
              <w:t>s</w:t>
            </w:r>
          </w:p>
          <w:p w14:paraId="77A3269C" w14:textId="62B051DD" w:rsidR="002D429A" w:rsidRPr="002D429A" w:rsidRDefault="00052BF5" w:rsidP="00052BF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Memoria</w:t>
            </w:r>
          </w:p>
        </w:tc>
        <w:tc>
          <w:tcPr>
            <w:tcW w:w="966" w:type="pct"/>
            <w:tcBorders>
              <w:top w:val="single" w:sz="8" w:space="0" w:color="auto"/>
              <w:left w:val="nil"/>
              <w:bottom w:val="nil"/>
              <w:right w:val="nil"/>
            </w:tcBorders>
            <w:shd w:val="clear" w:color="auto" w:fill="D9D9D9" w:themeFill="background1" w:themeFillShade="D9"/>
            <w:noWrap/>
            <w:vAlign w:val="bottom"/>
            <w:hideMark/>
          </w:tcPr>
          <w:p w14:paraId="490D14B9" w14:textId="77777777" w:rsidR="002D429A" w:rsidRPr="002D429A" w:rsidRDefault="002D429A"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Al 31 de diciembre</w:t>
            </w:r>
          </w:p>
        </w:tc>
        <w:tc>
          <w:tcPr>
            <w:tcW w:w="966" w:type="pct"/>
            <w:tcBorders>
              <w:top w:val="single" w:sz="8" w:space="0" w:color="auto"/>
              <w:left w:val="nil"/>
              <w:bottom w:val="nil"/>
              <w:right w:val="nil"/>
            </w:tcBorders>
            <w:shd w:val="clear" w:color="auto" w:fill="D9D9D9" w:themeFill="background1" w:themeFillShade="D9"/>
            <w:noWrap/>
            <w:vAlign w:val="bottom"/>
            <w:hideMark/>
          </w:tcPr>
          <w:p w14:paraId="15E0E656" w14:textId="77777777" w:rsidR="002D429A" w:rsidRPr="002D429A" w:rsidRDefault="002D429A"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Al 31 de diciembre</w:t>
            </w:r>
          </w:p>
        </w:tc>
      </w:tr>
      <w:tr w:rsidR="002D429A" w:rsidRPr="002D429A" w14:paraId="5E933821" w14:textId="77777777" w:rsidTr="0039193B">
        <w:trPr>
          <w:trHeight w:val="227"/>
        </w:trPr>
        <w:tc>
          <w:tcPr>
            <w:tcW w:w="2401" w:type="pct"/>
            <w:vMerge/>
            <w:tcBorders>
              <w:top w:val="single" w:sz="8" w:space="0" w:color="auto"/>
              <w:left w:val="nil"/>
              <w:bottom w:val="single" w:sz="8" w:space="0" w:color="000000"/>
              <w:right w:val="nil"/>
            </w:tcBorders>
            <w:shd w:val="clear" w:color="auto" w:fill="D9D9D9" w:themeFill="background1" w:themeFillShade="D9"/>
            <w:vAlign w:val="center"/>
            <w:hideMark/>
          </w:tcPr>
          <w:p w14:paraId="1031A2FF"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68" w:type="pct"/>
            <w:vMerge/>
            <w:tcBorders>
              <w:top w:val="single" w:sz="8" w:space="0" w:color="auto"/>
              <w:left w:val="nil"/>
              <w:bottom w:val="single" w:sz="8" w:space="0" w:color="000000"/>
              <w:right w:val="nil"/>
            </w:tcBorders>
            <w:shd w:val="clear" w:color="auto" w:fill="D9D9D9" w:themeFill="background1" w:themeFillShade="D9"/>
            <w:vAlign w:val="center"/>
            <w:hideMark/>
          </w:tcPr>
          <w:p w14:paraId="5B46B846" w14:textId="77777777" w:rsidR="002D429A" w:rsidRPr="002D429A" w:rsidRDefault="002D429A"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966" w:type="pct"/>
            <w:tcBorders>
              <w:top w:val="single" w:sz="8" w:space="0" w:color="auto"/>
              <w:left w:val="nil"/>
              <w:bottom w:val="single" w:sz="8" w:space="0" w:color="auto"/>
              <w:right w:val="nil"/>
            </w:tcBorders>
            <w:shd w:val="clear" w:color="auto" w:fill="D9D9D9" w:themeFill="background1" w:themeFillShade="D9"/>
            <w:vAlign w:val="bottom"/>
            <w:hideMark/>
          </w:tcPr>
          <w:p w14:paraId="431832A4" w14:textId="73237BC5" w:rsidR="002D429A" w:rsidRPr="002D429A" w:rsidRDefault="002D429A"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202</w:t>
            </w:r>
            <w:r w:rsidR="00634704">
              <w:rPr>
                <w:rFonts w:eastAsia="Times New Roman"/>
                <w:b/>
                <w:bCs/>
                <w:color w:val="auto"/>
                <w:sz w:val="18"/>
                <w:szCs w:val="18"/>
                <w:bdr w:val="none" w:sz="0" w:space="0" w:color="auto"/>
                <w:lang w:eastAsia="es-ES"/>
              </w:rPr>
              <w:t>1</w:t>
            </w:r>
          </w:p>
        </w:tc>
        <w:tc>
          <w:tcPr>
            <w:tcW w:w="966" w:type="pct"/>
            <w:tcBorders>
              <w:top w:val="single" w:sz="8" w:space="0" w:color="auto"/>
              <w:left w:val="nil"/>
              <w:bottom w:val="single" w:sz="8" w:space="0" w:color="auto"/>
              <w:right w:val="nil"/>
            </w:tcBorders>
            <w:shd w:val="clear" w:color="auto" w:fill="D9D9D9" w:themeFill="background1" w:themeFillShade="D9"/>
            <w:vAlign w:val="bottom"/>
            <w:hideMark/>
          </w:tcPr>
          <w:p w14:paraId="125B95EC" w14:textId="54A0908E" w:rsidR="002D429A" w:rsidRPr="002D429A" w:rsidRDefault="002D429A"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20</w:t>
            </w:r>
            <w:r w:rsidR="00634704">
              <w:rPr>
                <w:rFonts w:eastAsia="Times New Roman"/>
                <w:b/>
                <w:bCs/>
                <w:color w:val="auto"/>
                <w:sz w:val="18"/>
                <w:szCs w:val="18"/>
                <w:bdr w:val="none" w:sz="0" w:space="0" w:color="auto"/>
                <w:lang w:eastAsia="es-ES"/>
              </w:rPr>
              <w:t>20</w:t>
            </w:r>
          </w:p>
        </w:tc>
      </w:tr>
      <w:tr w:rsidR="002E3C11" w:rsidRPr="002D429A" w14:paraId="099482B8" w14:textId="77777777" w:rsidTr="0039193B">
        <w:trPr>
          <w:trHeight w:val="227"/>
        </w:trPr>
        <w:tc>
          <w:tcPr>
            <w:tcW w:w="2401" w:type="pct"/>
            <w:tcBorders>
              <w:top w:val="nil"/>
              <w:left w:val="nil"/>
              <w:bottom w:val="single" w:sz="8" w:space="0" w:color="auto"/>
              <w:right w:val="nil"/>
            </w:tcBorders>
            <w:shd w:val="clear" w:color="auto" w:fill="auto"/>
            <w:vAlign w:val="center"/>
          </w:tcPr>
          <w:p w14:paraId="0D1B3ED3" w14:textId="77777777" w:rsidR="002E3C11" w:rsidRPr="002D429A" w:rsidRDefault="002E3C11"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68" w:type="pct"/>
            <w:tcBorders>
              <w:top w:val="nil"/>
              <w:left w:val="nil"/>
              <w:bottom w:val="single" w:sz="8" w:space="0" w:color="auto"/>
              <w:right w:val="nil"/>
            </w:tcBorders>
            <w:shd w:val="clear" w:color="auto" w:fill="auto"/>
            <w:vAlign w:val="center"/>
          </w:tcPr>
          <w:p w14:paraId="6945D49B" w14:textId="77777777" w:rsidR="002E3C11" w:rsidRPr="002D429A" w:rsidRDefault="002E3C11" w:rsidP="002D429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66" w:type="pct"/>
            <w:tcBorders>
              <w:top w:val="nil"/>
              <w:left w:val="nil"/>
              <w:bottom w:val="single" w:sz="8" w:space="0" w:color="auto"/>
              <w:right w:val="nil"/>
            </w:tcBorders>
            <w:shd w:val="clear" w:color="auto" w:fill="auto"/>
            <w:vAlign w:val="center"/>
          </w:tcPr>
          <w:p w14:paraId="36FA21BD" w14:textId="77777777" w:rsidR="002E3C11" w:rsidRPr="002D429A" w:rsidRDefault="002E3C11"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966" w:type="pct"/>
            <w:tcBorders>
              <w:top w:val="nil"/>
              <w:left w:val="nil"/>
              <w:bottom w:val="single" w:sz="8" w:space="0" w:color="auto"/>
              <w:right w:val="nil"/>
            </w:tcBorders>
            <w:shd w:val="clear" w:color="auto" w:fill="auto"/>
            <w:vAlign w:val="center"/>
          </w:tcPr>
          <w:p w14:paraId="34ED2AEC" w14:textId="77777777" w:rsidR="002E3C11" w:rsidRPr="002D429A" w:rsidRDefault="002E3C11" w:rsidP="0081168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r>
      <w:tr w:rsidR="00634704" w:rsidRPr="002D429A" w14:paraId="32C3BE9B" w14:textId="77777777" w:rsidTr="0039193B">
        <w:trPr>
          <w:trHeight w:val="340"/>
        </w:trPr>
        <w:tc>
          <w:tcPr>
            <w:tcW w:w="2401" w:type="pct"/>
            <w:tcBorders>
              <w:top w:val="nil"/>
              <w:left w:val="nil"/>
              <w:bottom w:val="single" w:sz="8" w:space="0" w:color="auto"/>
              <w:right w:val="nil"/>
            </w:tcBorders>
            <w:shd w:val="clear" w:color="auto" w:fill="F2F2F2" w:themeFill="background1" w:themeFillShade="F2"/>
            <w:vAlign w:val="center"/>
            <w:hideMark/>
          </w:tcPr>
          <w:p w14:paraId="50DD2912" w14:textId="77777777"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PATRIMONIO NETO</w:t>
            </w:r>
          </w:p>
        </w:tc>
        <w:tc>
          <w:tcPr>
            <w:tcW w:w="668" w:type="pct"/>
            <w:tcBorders>
              <w:top w:val="nil"/>
              <w:left w:val="nil"/>
              <w:bottom w:val="single" w:sz="8" w:space="0" w:color="auto"/>
              <w:right w:val="nil"/>
            </w:tcBorders>
            <w:shd w:val="clear" w:color="auto" w:fill="F2F2F2" w:themeFill="background1" w:themeFillShade="F2"/>
            <w:vAlign w:val="center"/>
            <w:hideMark/>
          </w:tcPr>
          <w:p w14:paraId="4F7D84A2" w14:textId="77777777"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966" w:type="pct"/>
            <w:tcBorders>
              <w:top w:val="nil"/>
              <w:left w:val="nil"/>
              <w:bottom w:val="single" w:sz="8" w:space="0" w:color="auto"/>
              <w:right w:val="nil"/>
            </w:tcBorders>
            <w:shd w:val="clear" w:color="auto" w:fill="F2F2F2" w:themeFill="background1" w:themeFillShade="F2"/>
            <w:vAlign w:val="center"/>
          </w:tcPr>
          <w:p w14:paraId="1D5626AD" w14:textId="2523B88A" w:rsidR="00634704" w:rsidRPr="00CE6549"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772.401,11</w:t>
            </w:r>
            <w:r w:rsidRPr="00CE6549">
              <w:rPr>
                <w:rFonts w:eastAsia="Times New Roman"/>
                <w:b/>
                <w:bCs/>
                <w:sz w:val="18"/>
                <w:szCs w:val="18"/>
                <w:bdr w:val="none" w:sz="0" w:space="0" w:color="auto"/>
                <w:lang w:eastAsia="es-ES"/>
              </w:rPr>
              <w:t xml:space="preserve">            </w:t>
            </w:r>
          </w:p>
        </w:tc>
        <w:tc>
          <w:tcPr>
            <w:tcW w:w="966" w:type="pct"/>
            <w:tcBorders>
              <w:top w:val="nil"/>
              <w:left w:val="nil"/>
              <w:bottom w:val="single" w:sz="8" w:space="0" w:color="auto"/>
              <w:right w:val="nil"/>
            </w:tcBorders>
            <w:shd w:val="clear" w:color="auto" w:fill="F2F2F2" w:themeFill="background1" w:themeFillShade="F2"/>
            <w:vAlign w:val="center"/>
            <w:hideMark/>
          </w:tcPr>
          <w:p w14:paraId="0D167CF0" w14:textId="367E7F94"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sz w:val="18"/>
                <w:szCs w:val="18"/>
                <w:bdr w:val="none" w:sz="0" w:space="0" w:color="auto"/>
                <w:lang w:eastAsia="es-ES"/>
              </w:rPr>
              <w:t xml:space="preserve">826.849,18   </w:t>
            </w:r>
          </w:p>
        </w:tc>
      </w:tr>
      <w:tr w:rsidR="00CE6549" w:rsidRPr="002D429A" w14:paraId="629A5C36" w14:textId="77777777" w:rsidTr="0039193B">
        <w:trPr>
          <w:trHeight w:val="340"/>
        </w:trPr>
        <w:tc>
          <w:tcPr>
            <w:tcW w:w="2401" w:type="pct"/>
            <w:tcBorders>
              <w:top w:val="nil"/>
              <w:left w:val="nil"/>
              <w:bottom w:val="nil"/>
              <w:right w:val="nil"/>
            </w:tcBorders>
            <w:shd w:val="clear" w:color="auto" w:fill="auto"/>
            <w:vAlign w:val="center"/>
            <w:hideMark/>
          </w:tcPr>
          <w:p w14:paraId="1A741BB9" w14:textId="77777777"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Fondos propios</w:t>
            </w:r>
          </w:p>
        </w:tc>
        <w:tc>
          <w:tcPr>
            <w:tcW w:w="668" w:type="pct"/>
            <w:tcBorders>
              <w:top w:val="nil"/>
              <w:left w:val="nil"/>
              <w:bottom w:val="nil"/>
              <w:right w:val="nil"/>
            </w:tcBorders>
            <w:shd w:val="clear" w:color="auto" w:fill="auto"/>
            <w:vAlign w:val="center"/>
            <w:hideMark/>
          </w:tcPr>
          <w:p w14:paraId="735852C2" w14:textId="77777777"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966" w:type="pct"/>
            <w:tcBorders>
              <w:top w:val="nil"/>
              <w:left w:val="nil"/>
              <w:bottom w:val="nil"/>
              <w:right w:val="nil"/>
            </w:tcBorders>
            <w:shd w:val="clear" w:color="auto" w:fill="auto"/>
            <w:vAlign w:val="center"/>
          </w:tcPr>
          <w:p w14:paraId="1E6BD26B" w14:textId="0278B2D6" w:rsidR="00CE6549" w:rsidRPr="00DA5AD4"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8"/>
                <w:szCs w:val="18"/>
                <w:bdr w:val="none" w:sz="0" w:space="0" w:color="auto"/>
                <w:lang w:eastAsia="es-ES"/>
              </w:rPr>
            </w:pPr>
            <w:r>
              <w:rPr>
                <w:b/>
                <w:bCs/>
                <w:sz w:val="18"/>
                <w:szCs w:val="18"/>
              </w:rPr>
              <w:t>600.000,00</w:t>
            </w:r>
          </w:p>
        </w:tc>
        <w:tc>
          <w:tcPr>
            <w:tcW w:w="966" w:type="pct"/>
            <w:tcBorders>
              <w:top w:val="nil"/>
              <w:left w:val="nil"/>
              <w:bottom w:val="nil"/>
              <w:right w:val="nil"/>
            </w:tcBorders>
            <w:shd w:val="clear" w:color="auto" w:fill="auto"/>
            <w:vAlign w:val="center"/>
            <w:hideMark/>
          </w:tcPr>
          <w:p w14:paraId="297402C1" w14:textId="16642059"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DA5AD4">
              <w:rPr>
                <w:rFonts w:eastAsia="Times New Roman"/>
                <w:b/>
                <w:sz w:val="18"/>
                <w:szCs w:val="18"/>
                <w:bdr w:val="none" w:sz="0" w:space="0" w:color="auto"/>
                <w:lang w:eastAsia="es-ES"/>
              </w:rPr>
              <w:t xml:space="preserve">600.000,00   </w:t>
            </w:r>
          </w:p>
        </w:tc>
      </w:tr>
      <w:tr w:rsidR="00CE6549" w:rsidRPr="002D429A" w14:paraId="21A8EF86" w14:textId="77777777" w:rsidTr="0039193B">
        <w:trPr>
          <w:trHeight w:val="240"/>
        </w:trPr>
        <w:tc>
          <w:tcPr>
            <w:tcW w:w="2401" w:type="pct"/>
            <w:tcBorders>
              <w:top w:val="nil"/>
              <w:left w:val="nil"/>
              <w:bottom w:val="nil"/>
              <w:right w:val="nil"/>
            </w:tcBorders>
            <w:shd w:val="clear" w:color="auto" w:fill="auto"/>
            <w:vAlign w:val="center"/>
            <w:hideMark/>
          </w:tcPr>
          <w:p w14:paraId="56D06300" w14:textId="77777777"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xml:space="preserve">Capital </w:t>
            </w:r>
          </w:p>
        </w:tc>
        <w:tc>
          <w:tcPr>
            <w:tcW w:w="668" w:type="pct"/>
            <w:tcBorders>
              <w:top w:val="nil"/>
              <w:left w:val="nil"/>
              <w:bottom w:val="nil"/>
              <w:right w:val="nil"/>
            </w:tcBorders>
            <w:shd w:val="clear" w:color="auto" w:fill="auto"/>
            <w:vAlign w:val="center"/>
            <w:hideMark/>
          </w:tcPr>
          <w:p w14:paraId="1372D99C" w14:textId="750F99FD" w:rsidR="00CE6549" w:rsidRPr="00634704"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highlight w:val="yellow"/>
                <w:bdr w:val="none" w:sz="0" w:space="0" w:color="auto"/>
                <w:lang w:eastAsia="es-ES"/>
              </w:rPr>
            </w:pPr>
            <w:r w:rsidRPr="00085996">
              <w:rPr>
                <w:rFonts w:eastAsia="Times New Roman"/>
                <w:sz w:val="18"/>
                <w:szCs w:val="18"/>
                <w:bdr w:val="none" w:sz="0" w:space="0" w:color="auto"/>
                <w:lang w:eastAsia="es-ES"/>
              </w:rPr>
              <w:t>8.</w:t>
            </w:r>
            <w:r w:rsidR="00DD13B4">
              <w:rPr>
                <w:rFonts w:eastAsia="Times New Roman"/>
                <w:sz w:val="18"/>
                <w:szCs w:val="18"/>
                <w:bdr w:val="none" w:sz="0" w:space="0" w:color="auto"/>
                <w:lang w:eastAsia="es-ES"/>
              </w:rPr>
              <w:t>4</w:t>
            </w:r>
            <w:r w:rsidRPr="00085996">
              <w:rPr>
                <w:rFonts w:eastAsia="Times New Roman"/>
                <w:sz w:val="18"/>
                <w:szCs w:val="18"/>
                <w:bdr w:val="none" w:sz="0" w:space="0" w:color="auto"/>
                <w:lang w:eastAsia="es-ES"/>
              </w:rPr>
              <w:t>.a</w:t>
            </w:r>
          </w:p>
        </w:tc>
        <w:tc>
          <w:tcPr>
            <w:tcW w:w="966" w:type="pct"/>
            <w:tcBorders>
              <w:top w:val="nil"/>
              <w:left w:val="nil"/>
              <w:bottom w:val="nil"/>
              <w:right w:val="nil"/>
            </w:tcBorders>
            <w:shd w:val="clear" w:color="auto" w:fill="auto"/>
            <w:vAlign w:val="center"/>
          </w:tcPr>
          <w:p w14:paraId="3812EAA6" w14:textId="6B716E3E"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600.000,00</w:t>
            </w:r>
          </w:p>
        </w:tc>
        <w:tc>
          <w:tcPr>
            <w:tcW w:w="966" w:type="pct"/>
            <w:tcBorders>
              <w:top w:val="nil"/>
              <w:left w:val="nil"/>
              <w:bottom w:val="nil"/>
              <w:right w:val="nil"/>
            </w:tcBorders>
            <w:shd w:val="clear" w:color="auto" w:fill="auto"/>
            <w:vAlign w:val="center"/>
            <w:hideMark/>
          </w:tcPr>
          <w:p w14:paraId="48C0A5E4" w14:textId="3298ABD6"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sz w:val="18"/>
                <w:szCs w:val="18"/>
                <w:bdr w:val="none" w:sz="0" w:space="0" w:color="auto"/>
                <w:lang w:eastAsia="es-ES"/>
              </w:rPr>
              <w:t xml:space="preserve">600.000,00   </w:t>
            </w:r>
          </w:p>
        </w:tc>
      </w:tr>
      <w:tr w:rsidR="00CE6549" w:rsidRPr="002D429A" w14:paraId="609D1F73" w14:textId="77777777" w:rsidTr="0039193B">
        <w:trPr>
          <w:trHeight w:val="240"/>
        </w:trPr>
        <w:tc>
          <w:tcPr>
            <w:tcW w:w="2401" w:type="pct"/>
            <w:tcBorders>
              <w:top w:val="nil"/>
              <w:left w:val="nil"/>
              <w:bottom w:val="nil"/>
              <w:right w:val="nil"/>
            </w:tcBorders>
            <w:shd w:val="clear" w:color="auto" w:fill="auto"/>
            <w:vAlign w:val="center"/>
            <w:hideMark/>
          </w:tcPr>
          <w:p w14:paraId="36224927" w14:textId="77777777"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Otras aportaciones de socios</w:t>
            </w:r>
          </w:p>
        </w:tc>
        <w:tc>
          <w:tcPr>
            <w:tcW w:w="668" w:type="pct"/>
            <w:tcBorders>
              <w:top w:val="nil"/>
              <w:left w:val="nil"/>
              <w:bottom w:val="nil"/>
              <w:right w:val="nil"/>
            </w:tcBorders>
            <w:shd w:val="clear" w:color="auto" w:fill="auto"/>
            <w:vAlign w:val="center"/>
            <w:hideMark/>
          </w:tcPr>
          <w:p w14:paraId="5C5D1FA1" w14:textId="1F8EAC90" w:rsidR="00CE6549" w:rsidRPr="00634704"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highlight w:val="yellow"/>
                <w:bdr w:val="none" w:sz="0" w:space="0" w:color="auto"/>
                <w:lang w:eastAsia="es-ES"/>
              </w:rPr>
            </w:pPr>
            <w:r w:rsidRPr="00085996">
              <w:rPr>
                <w:rFonts w:eastAsia="Times New Roman"/>
                <w:sz w:val="18"/>
                <w:szCs w:val="18"/>
                <w:bdr w:val="none" w:sz="0" w:space="0" w:color="auto"/>
                <w:lang w:eastAsia="es-ES"/>
              </w:rPr>
              <w:t>8.</w:t>
            </w:r>
            <w:proofErr w:type="gramStart"/>
            <w:r w:rsidR="00DD13B4">
              <w:rPr>
                <w:rFonts w:eastAsia="Times New Roman"/>
                <w:sz w:val="18"/>
                <w:szCs w:val="18"/>
                <w:bdr w:val="none" w:sz="0" w:space="0" w:color="auto"/>
                <w:lang w:eastAsia="es-ES"/>
              </w:rPr>
              <w:t>4</w:t>
            </w:r>
            <w:r w:rsidRPr="00085996">
              <w:rPr>
                <w:rFonts w:eastAsia="Times New Roman"/>
                <w:sz w:val="18"/>
                <w:szCs w:val="18"/>
                <w:bdr w:val="none" w:sz="0" w:space="0" w:color="auto"/>
                <w:lang w:eastAsia="es-ES"/>
              </w:rPr>
              <w:t>.d</w:t>
            </w:r>
            <w:proofErr w:type="gramEnd"/>
          </w:p>
        </w:tc>
        <w:tc>
          <w:tcPr>
            <w:tcW w:w="966" w:type="pct"/>
            <w:tcBorders>
              <w:top w:val="nil"/>
              <w:left w:val="nil"/>
              <w:bottom w:val="nil"/>
              <w:right w:val="nil"/>
            </w:tcBorders>
            <w:shd w:val="clear" w:color="auto" w:fill="auto"/>
            <w:vAlign w:val="center"/>
          </w:tcPr>
          <w:p w14:paraId="7B9341BF" w14:textId="282D5523"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2.267.888,00</w:t>
            </w:r>
          </w:p>
        </w:tc>
        <w:tc>
          <w:tcPr>
            <w:tcW w:w="966" w:type="pct"/>
            <w:tcBorders>
              <w:top w:val="nil"/>
              <w:left w:val="nil"/>
              <w:bottom w:val="nil"/>
              <w:right w:val="nil"/>
            </w:tcBorders>
            <w:shd w:val="clear" w:color="auto" w:fill="auto"/>
            <w:vAlign w:val="center"/>
            <w:hideMark/>
          </w:tcPr>
          <w:p w14:paraId="5B4E298E" w14:textId="08AC960B"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sz w:val="18"/>
                <w:szCs w:val="18"/>
                <w:bdr w:val="none" w:sz="0" w:space="0" w:color="auto"/>
                <w:lang w:eastAsia="es-ES"/>
              </w:rPr>
              <w:t xml:space="preserve">2.223.683,00   </w:t>
            </w:r>
          </w:p>
        </w:tc>
      </w:tr>
      <w:tr w:rsidR="00CE6549" w:rsidRPr="002D429A" w14:paraId="1FF9FE69" w14:textId="77777777" w:rsidTr="0039193B">
        <w:trPr>
          <w:trHeight w:val="240"/>
        </w:trPr>
        <w:tc>
          <w:tcPr>
            <w:tcW w:w="2401" w:type="pct"/>
            <w:tcBorders>
              <w:top w:val="nil"/>
              <w:left w:val="nil"/>
              <w:bottom w:val="nil"/>
              <w:right w:val="nil"/>
            </w:tcBorders>
            <w:shd w:val="clear" w:color="auto" w:fill="auto"/>
            <w:vAlign w:val="center"/>
            <w:hideMark/>
          </w:tcPr>
          <w:p w14:paraId="06CC6A14" w14:textId="77777777"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Resultado del ejercicio</w:t>
            </w:r>
          </w:p>
        </w:tc>
        <w:tc>
          <w:tcPr>
            <w:tcW w:w="668" w:type="pct"/>
            <w:tcBorders>
              <w:top w:val="nil"/>
              <w:left w:val="nil"/>
              <w:bottom w:val="nil"/>
              <w:right w:val="nil"/>
            </w:tcBorders>
            <w:shd w:val="clear" w:color="auto" w:fill="auto"/>
            <w:vAlign w:val="center"/>
            <w:hideMark/>
          </w:tcPr>
          <w:p w14:paraId="6B0E38EF" w14:textId="77777777" w:rsidR="00CE6549" w:rsidRPr="00634704"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highlight w:val="yellow"/>
                <w:bdr w:val="none" w:sz="0" w:space="0" w:color="auto"/>
                <w:lang w:eastAsia="es-ES"/>
              </w:rPr>
            </w:pPr>
            <w:r w:rsidRPr="006D37A3">
              <w:rPr>
                <w:rFonts w:eastAsia="Times New Roman"/>
                <w:sz w:val="18"/>
                <w:szCs w:val="18"/>
                <w:bdr w:val="none" w:sz="0" w:space="0" w:color="auto"/>
                <w:lang w:eastAsia="es-ES"/>
              </w:rPr>
              <w:t>3</w:t>
            </w:r>
          </w:p>
        </w:tc>
        <w:tc>
          <w:tcPr>
            <w:tcW w:w="966" w:type="pct"/>
            <w:tcBorders>
              <w:top w:val="nil"/>
              <w:left w:val="nil"/>
              <w:bottom w:val="nil"/>
              <w:right w:val="nil"/>
            </w:tcBorders>
            <w:shd w:val="clear" w:color="auto" w:fill="auto"/>
            <w:vAlign w:val="center"/>
          </w:tcPr>
          <w:p w14:paraId="1BAB2775" w14:textId="6E27F5F4"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(2.267.888,00)</w:t>
            </w:r>
          </w:p>
        </w:tc>
        <w:tc>
          <w:tcPr>
            <w:tcW w:w="966" w:type="pct"/>
            <w:tcBorders>
              <w:top w:val="nil"/>
              <w:left w:val="nil"/>
              <w:bottom w:val="nil"/>
              <w:right w:val="nil"/>
            </w:tcBorders>
            <w:shd w:val="clear" w:color="auto" w:fill="auto"/>
            <w:vAlign w:val="center"/>
            <w:hideMark/>
          </w:tcPr>
          <w:p w14:paraId="10156615" w14:textId="362F7E98"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rFonts w:eastAsia="Times New Roman"/>
                <w:sz w:val="18"/>
                <w:szCs w:val="18"/>
                <w:bdr w:val="none" w:sz="0" w:space="0" w:color="auto"/>
                <w:lang w:eastAsia="es-ES"/>
              </w:rPr>
              <w:t>(</w:t>
            </w:r>
            <w:r w:rsidRPr="002D429A">
              <w:rPr>
                <w:rFonts w:eastAsia="Times New Roman"/>
                <w:sz w:val="18"/>
                <w:szCs w:val="18"/>
                <w:bdr w:val="none" w:sz="0" w:space="0" w:color="auto"/>
                <w:lang w:eastAsia="es-ES"/>
              </w:rPr>
              <w:t>2.223.683,00</w:t>
            </w:r>
            <w:r>
              <w:rPr>
                <w:rFonts w:eastAsia="Times New Roman"/>
                <w:sz w:val="18"/>
                <w:szCs w:val="18"/>
                <w:bdr w:val="none" w:sz="0" w:space="0" w:color="auto"/>
                <w:lang w:eastAsia="es-ES"/>
              </w:rPr>
              <w:t>)</w:t>
            </w:r>
            <w:r w:rsidRPr="002D429A">
              <w:rPr>
                <w:rFonts w:eastAsia="Times New Roman"/>
                <w:sz w:val="18"/>
                <w:szCs w:val="18"/>
                <w:bdr w:val="none" w:sz="0" w:space="0" w:color="auto"/>
                <w:lang w:eastAsia="es-ES"/>
              </w:rPr>
              <w:t xml:space="preserve">   </w:t>
            </w:r>
          </w:p>
        </w:tc>
      </w:tr>
      <w:tr w:rsidR="00CE6549" w:rsidRPr="002D429A" w14:paraId="6104050D" w14:textId="77777777" w:rsidTr="0039193B">
        <w:trPr>
          <w:trHeight w:val="340"/>
        </w:trPr>
        <w:tc>
          <w:tcPr>
            <w:tcW w:w="2401" w:type="pct"/>
            <w:tcBorders>
              <w:top w:val="nil"/>
              <w:left w:val="nil"/>
              <w:bottom w:val="nil"/>
              <w:right w:val="nil"/>
            </w:tcBorders>
            <w:shd w:val="clear" w:color="auto" w:fill="auto"/>
            <w:vAlign w:val="center"/>
            <w:hideMark/>
          </w:tcPr>
          <w:p w14:paraId="54A1C042" w14:textId="77777777"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Subvenciones, donaciones y legados recibidos</w:t>
            </w:r>
          </w:p>
        </w:tc>
        <w:tc>
          <w:tcPr>
            <w:tcW w:w="668" w:type="pct"/>
            <w:tcBorders>
              <w:top w:val="nil"/>
              <w:left w:val="nil"/>
              <w:bottom w:val="nil"/>
              <w:right w:val="nil"/>
            </w:tcBorders>
            <w:shd w:val="clear" w:color="auto" w:fill="auto"/>
            <w:vAlign w:val="center"/>
            <w:hideMark/>
          </w:tcPr>
          <w:p w14:paraId="5C599411" w14:textId="7FC4D00C" w:rsidR="00CE6549" w:rsidRPr="00634704"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highlight w:val="yellow"/>
                <w:bdr w:val="none" w:sz="0" w:space="0" w:color="auto"/>
                <w:lang w:eastAsia="es-ES"/>
              </w:rPr>
            </w:pPr>
            <w:r w:rsidRPr="00085996">
              <w:rPr>
                <w:rFonts w:eastAsia="Times New Roman"/>
                <w:b/>
                <w:bCs/>
                <w:sz w:val="18"/>
                <w:szCs w:val="18"/>
                <w:bdr w:val="none" w:sz="0" w:space="0" w:color="auto"/>
                <w:lang w:eastAsia="es-ES"/>
              </w:rPr>
              <w:t>15</w:t>
            </w:r>
            <w:r w:rsidR="00DD13B4">
              <w:rPr>
                <w:rFonts w:eastAsia="Times New Roman"/>
                <w:b/>
                <w:bCs/>
                <w:sz w:val="18"/>
                <w:szCs w:val="18"/>
                <w:bdr w:val="none" w:sz="0" w:space="0" w:color="auto"/>
                <w:lang w:eastAsia="es-ES"/>
              </w:rPr>
              <w:t>.1</w:t>
            </w:r>
          </w:p>
        </w:tc>
        <w:tc>
          <w:tcPr>
            <w:tcW w:w="966" w:type="pct"/>
            <w:tcBorders>
              <w:top w:val="nil"/>
              <w:left w:val="nil"/>
              <w:bottom w:val="nil"/>
              <w:right w:val="nil"/>
            </w:tcBorders>
            <w:shd w:val="clear" w:color="auto" w:fill="auto"/>
            <w:vAlign w:val="center"/>
          </w:tcPr>
          <w:p w14:paraId="7392462F" w14:textId="0E139478"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172.401,11</w:t>
            </w:r>
          </w:p>
        </w:tc>
        <w:tc>
          <w:tcPr>
            <w:tcW w:w="966" w:type="pct"/>
            <w:tcBorders>
              <w:top w:val="nil"/>
              <w:left w:val="nil"/>
              <w:bottom w:val="nil"/>
              <w:right w:val="nil"/>
            </w:tcBorders>
            <w:shd w:val="clear" w:color="auto" w:fill="auto"/>
            <w:noWrap/>
            <w:vAlign w:val="center"/>
            <w:hideMark/>
          </w:tcPr>
          <w:p w14:paraId="4D9B7C7F" w14:textId="5C4DD21B" w:rsidR="00CE6549" w:rsidRPr="002D429A" w:rsidRDefault="00CE6549" w:rsidP="00CE654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sz w:val="18"/>
                <w:szCs w:val="18"/>
                <w:bdr w:val="none" w:sz="0" w:space="0" w:color="auto"/>
                <w:lang w:eastAsia="es-ES"/>
              </w:rPr>
              <w:t xml:space="preserve">226.849,18   </w:t>
            </w:r>
          </w:p>
        </w:tc>
      </w:tr>
      <w:tr w:rsidR="00634704" w:rsidRPr="002D429A" w14:paraId="53FDC686" w14:textId="77777777" w:rsidTr="0039193B">
        <w:trPr>
          <w:trHeight w:val="227"/>
        </w:trPr>
        <w:tc>
          <w:tcPr>
            <w:tcW w:w="2401" w:type="pct"/>
            <w:tcBorders>
              <w:top w:val="nil"/>
              <w:left w:val="nil"/>
              <w:bottom w:val="nil"/>
              <w:right w:val="nil"/>
            </w:tcBorders>
            <w:shd w:val="clear" w:color="auto" w:fill="auto"/>
            <w:vAlign w:val="center"/>
            <w:hideMark/>
          </w:tcPr>
          <w:p w14:paraId="7242B9A8" w14:textId="77777777"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668" w:type="pct"/>
            <w:tcBorders>
              <w:top w:val="nil"/>
              <w:left w:val="nil"/>
              <w:bottom w:val="nil"/>
              <w:right w:val="nil"/>
            </w:tcBorders>
            <w:shd w:val="clear" w:color="auto" w:fill="auto"/>
            <w:vAlign w:val="center"/>
            <w:hideMark/>
          </w:tcPr>
          <w:p w14:paraId="04D95E7E" w14:textId="77777777" w:rsidR="00634704" w:rsidRPr="00634704"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highlight w:val="yellow"/>
                <w:bdr w:val="none" w:sz="0" w:space="0" w:color="auto"/>
                <w:lang w:eastAsia="es-ES"/>
              </w:rPr>
            </w:pPr>
          </w:p>
        </w:tc>
        <w:tc>
          <w:tcPr>
            <w:tcW w:w="966" w:type="pct"/>
            <w:tcBorders>
              <w:top w:val="nil"/>
              <w:left w:val="nil"/>
              <w:bottom w:val="nil"/>
              <w:right w:val="nil"/>
            </w:tcBorders>
            <w:shd w:val="clear" w:color="auto" w:fill="auto"/>
            <w:vAlign w:val="center"/>
          </w:tcPr>
          <w:p w14:paraId="220AB003" w14:textId="77777777"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nil"/>
              <w:right w:val="nil"/>
            </w:tcBorders>
            <w:shd w:val="clear" w:color="auto" w:fill="auto"/>
            <w:vAlign w:val="center"/>
            <w:hideMark/>
          </w:tcPr>
          <w:p w14:paraId="0F0F2B53" w14:textId="77777777"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634704" w:rsidRPr="002D429A" w14:paraId="596AF730" w14:textId="77777777" w:rsidTr="0039193B">
        <w:trPr>
          <w:trHeight w:val="340"/>
        </w:trPr>
        <w:tc>
          <w:tcPr>
            <w:tcW w:w="2401" w:type="pct"/>
            <w:tcBorders>
              <w:top w:val="single" w:sz="8" w:space="0" w:color="auto"/>
              <w:left w:val="nil"/>
              <w:bottom w:val="single" w:sz="8" w:space="0" w:color="auto"/>
              <w:right w:val="nil"/>
            </w:tcBorders>
            <w:shd w:val="clear" w:color="auto" w:fill="F2F2F2" w:themeFill="background1" w:themeFillShade="F2"/>
            <w:vAlign w:val="center"/>
            <w:hideMark/>
          </w:tcPr>
          <w:p w14:paraId="49B5E56F" w14:textId="77777777" w:rsidR="00634704" w:rsidRPr="009C72B4"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PASIVO NO CORRIENTE</w:t>
            </w:r>
          </w:p>
        </w:tc>
        <w:tc>
          <w:tcPr>
            <w:tcW w:w="668" w:type="pct"/>
            <w:tcBorders>
              <w:top w:val="single" w:sz="8" w:space="0" w:color="auto"/>
              <w:left w:val="nil"/>
              <w:bottom w:val="single" w:sz="8" w:space="0" w:color="auto"/>
              <w:right w:val="nil"/>
            </w:tcBorders>
            <w:shd w:val="clear" w:color="auto" w:fill="F2F2F2" w:themeFill="background1" w:themeFillShade="F2"/>
            <w:vAlign w:val="center"/>
            <w:hideMark/>
          </w:tcPr>
          <w:p w14:paraId="622FBC99" w14:textId="77777777" w:rsidR="00634704" w:rsidRPr="009C72B4"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 </w:t>
            </w:r>
          </w:p>
        </w:tc>
        <w:tc>
          <w:tcPr>
            <w:tcW w:w="966" w:type="pct"/>
            <w:tcBorders>
              <w:top w:val="single" w:sz="8" w:space="0" w:color="auto"/>
              <w:left w:val="nil"/>
              <w:bottom w:val="single" w:sz="8" w:space="0" w:color="auto"/>
              <w:right w:val="nil"/>
            </w:tcBorders>
            <w:shd w:val="clear" w:color="auto" w:fill="F2F2F2" w:themeFill="background1" w:themeFillShade="F2"/>
            <w:vAlign w:val="center"/>
          </w:tcPr>
          <w:p w14:paraId="5C631B4A" w14:textId="4D20C7F0" w:rsidR="00634704" w:rsidRPr="0039193B"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9193B">
              <w:rPr>
                <w:rFonts w:eastAsia="Times New Roman"/>
                <w:b/>
                <w:bCs/>
                <w:sz w:val="18"/>
                <w:szCs w:val="18"/>
                <w:bdr w:val="none" w:sz="0" w:space="0" w:color="auto"/>
                <w:lang w:eastAsia="es-ES"/>
              </w:rPr>
              <w:t>18.877.446,27</w:t>
            </w:r>
          </w:p>
        </w:tc>
        <w:tc>
          <w:tcPr>
            <w:tcW w:w="966" w:type="pct"/>
            <w:tcBorders>
              <w:top w:val="single" w:sz="8" w:space="0" w:color="auto"/>
              <w:left w:val="nil"/>
              <w:bottom w:val="single" w:sz="8" w:space="0" w:color="auto"/>
              <w:right w:val="nil"/>
            </w:tcBorders>
            <w:shd w:val="clear" w:color="auto" w:fill="F2F2F2" w:themeFill="background1" w:themeFillShade="F2"/>
            <w:vAlign w:val="center"/>
            <w:hideMark/>
          </w:tcPr>
          <w:p w14:paraId="611ABA53" w14:textId="0EDAB46D"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sz w:val="18"/>
                <w:szCs w:val="18"/>
                <w:bdr w:val="none" w:sz="0" w:space="0" w:color="auto"/>
                <w:lang w:eastAsia="es-ES"/>
              </w:rPr>
              <w:t xml:space="preserve">75.664,38   </w:t>
            </w:r>
          </w:p>
        </w:tc>
      </w:tr>
      <w:tr w:rsidR="0039193B" w:rsidRPr="002D429A" w14:paraId="4C7D0657" w14:textId="77777777" w:rsidTr="0039193B">
        <w:trPr>
          <w:trHeight w:val="340"/>
        </w:trPr>
        <w:tc>
          <w:tcPr>
            <w:tcW w:w="2401" w:type="pct"/>
            <w:tcBorders>
              <w:top w:val="nil"/>
              <w:left w:val="nil"/>
              <w:bottom w:val="nil"/>
              <w:right w:val="nil"/>
            </w:tcBorders>
            <w:shd w:val="clear" w:color="auto" w:fill="auto"/>
            <w:vAlign w:val="center"/>
            <w:hideMark/>
          </w:tcPr>
          <w:p w14:paraId="7799E1FF" w14:textId="77777777" w:rsidR="0039193B" w:rsidRPr="009C72B4"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Deudas a largo plazo</w:t>
            </w:r>
          </w:p>
        </w:tc>
        <w:tc>
          <w:tcPr>
            <w:tcW w:w="668" w:type="pct"/>
            <w:tcBorders>
              <w:top w:val="nil"/>
              <w:left w:val="nil"/>
              <w:bottom w:val="nil"/>
              <w:right w:val="nil"/>
            </w:tcBorders>
            <w:shd w:val="clear" w:color="auto" w:fill="auto"/>
            <w:vAlign w:val="center"/>
            <w:hideMark/>
          </w:tcPr>
          <w:p w14:paraId="657FF39D" w14:textId="77777777" w:rsidR="0039193B" w:rsidRPr="009C72B4"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966" w:type="pct"/>
            <w:tcBorders>
              <w:top w:val="nil"/>
              <w:left w:val="nil"/>
              <w:bottom w:val="nil"/>
              <w:right w:val="nil"/>
            </w:tcBorders>
            <w:shd w:val="clear" w:color="auto" w:fill="auto"/>
            <w:vAlign w:val="center"/>
          </w:tcPr>
          <w:p w14:paraId="78B1B12A" w14:textId="4A3F0E49" w:rsidR="0039193B" w:rsidRPr="002D429A"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5.768,00</w:t>
            </w:r>
          </w:p>
        </w:tc>
        <w:tc>
          <w:tcPr>
            <w:tcW w:w="966" w:type="pct"/>
            <w:tcBorders>
              <w:top w:val="nil"/>
              <w:left w:val="nil"/>
              <w:bottom w:val="nil"/>
              <w:right w:val="nil"/>
            </w:tcBorders>
            <w:shd w:val="clear" w:color="auto" w:fill="auto"/>
            <w:noWrap/>
            <w:vAlign w:val="center"/>
            <w:hideMark/>
          </w:tcPr>
          <w:p w14:paraId="53E67E02" w14:textId="31EBF3CC" w:rsidR="0039193B" w:rsidRPr="002D429A"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sz w:val="18"/>
                <w:szCs w:val="18"/>
                <w:bdr w:val="none" w:sz="0" w:space="0" w:color="auto"/>
                <w:lang w:eastAsia="es-ES"/>
              </w:rPr>
              <w:t xml:space="preserve">-     </w:t>
            </w:r>
          </w:p>
        </w:tc>
      </w:tr>
      <w:tr w:rsidR="0039193B" w:rsidRPr="002D429A" w14:paraId="3DFBC4F3" w14:textId="77777777" w:rsidTr="0039193B">
        <w:trPr>
          <w:trHeight w:val="240"/>
        </w:trPr>
        <w:tc>
          <w:tcPr>
            <w:tcW w:w="2401" w:type="pct"/>
            <w:tcBorders>
              <w:top w:val="nil"/>
              <w:left w:val="nil"/>
              <w:bottom w:val="nil"/>
              <w:right w:val="nil"/>
            </w:tcBorders>
            <w:shd w:val="clear" w:color="auto" w:fill="auto"/>
            <w:vAlign w:val="center"/>
            <w:hideMark/>
          </w:tcPr>
          <w:p w14:paraId="73691BDB" w14:textId="77777777" w:rsidR="0039193B" w:rsidRPr="009C72B4"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Otros pasivos financieros</w:t>
            </w:r>
          </w:p>
        </w:tc>
        <w:tc>
          <w:tcPr>
            <w:tcW w:w="668" w:type="pct"/>
            <w:tcBorders>
              <w:top w:val="nil"/>
              <w:left w:val="nil"/>
              <w:bottom w:val="nil"/>
              <w:right w:val="nil"/>
            </w:tcBorders>
            <w:shd w:val="clear" w:color="auto" w:fill="auto"/>
            <w:vAlign w:val="center"/>
            <w:hideMark/>
          </w:tcPr>
          <w:p w14:paraId="225EA21D" w14:textId="71438DA9" w:rsidR="0039193B" w:rsidRPr="009C72B4"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8.</w:t>
            </w:r>
            <w:r w:rsidR="00DD13B4">
              <w:rPr>
                <w:rFonts w:eastAsia="Times New Roman"/>
                <w:sz w:val="18"/>
                <w:szCs w:val="18"/>
                <w:bdr w:val="none" w:sz="0" w:space="0" w:color="auto"/>
                <w:lang w:eastAsia="es-ES"/>
              </w:rPr>
              <w:t>3</w:t>
            </w:r>
            <w:r w:rsidRPr="009C72B4">
              <w:rPr>
                <w:rFonts w:eastAsia="Times New Roman"/>
                <w:sz w:val="18"/>
                <w:szCs w:val="18"/>
                <w:bdr w:val="none" w:sz="0" w:space="0" w:color="auto"/>
                <w:lang w:eastAsia="es-ES"/>
              </w:rPr>
              <w:t>.a</w:t>
            </w:r>
          </w:p>
        </w:tc>
        <w:tc>
          <w:tcPr>
            <w:tcW w:w="966" w:type="pct"/>
            <w:tcBorders>
              <w:top w:val="nil"/>
              <w:left w:val="nil"/>
              <w:bottom w:val="nil"/>
              <w:right w:val="nil"/>
            </w:tcBorders>
            <w:shd w:val="clear" w:color="auto" w:fill="auto"/>
            <w:vAlign w:val="center"/>
          </w:tcPr>
          <w:p w14:paraId="237DE843" w14:textId="7013D471" w:rsidR="0039193B" w:rsidRPr="00DA5AD4"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Cs/>
                <w:sz w:val="18"/>
                <w:szCs w:val="18"/>
                <w:bdr w:val="none" w:sz="0" w:space="0" w:color="auto"/>
                <w:lang w:eastAsia="es-ES"/>
              </w:rPr>
            </w:pPr>
            <w:r>
              <w:rPr>
                <w:sz w:val="18"/>
                <w:szCs w:val="18"/>
              </w:rPr>
              <w:t>5.768,00</w:t>
            </w:r>
          </w:p>
        </w:tc>
        <w:tc>
          <w:tcPr>
            <w:tcW w:w="966" w:type="pct"/>
            <w:tcBorders>
              <w:top w:val="nil"/>
              <w:left w:val="nil"/>
              <w:bottom w:val="nil"/>
              <w:right w:val="nil"/>
            </w:tcBorders>
            <w:shd w:val="clear" w:color="auto" w:fill="auto"/>
            <w:noWrap/>
            <w:vAlign w:val="center"/>
            <w:hideMark/>
          </w:tcPr>
          <w:p w14:paraId="30440EE2" w14:textId="1CD56DB6" w:rsidR="0039193B" w:rsidRPr="002D429A"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DA5AD4">
              <w:rPr>
                <w:rFonts w:eastAsia="Times New Roman"/>
                <w:bCs/>
                <w:sz w:val="18"/>
                <w:szCs w:val="18"/>
                <w:bdr w:val="none" w:sz="0" w:space="0" w:color="auto"/>
                <w:lang w:eastAsia="es-ES"/>
              </w:rPr>
              <w:t xml:space="preserve">-     </w:t>
            </w:r>
          </w:p>
        </w:tc>
      </w:tr>
      <w:tr w:rsidR="0039193B" w:rsidRPr="002D429A" w14:paraId="53DBA63C" w14:textId="77777777" w:rsidTr="0039193B">
        <w:trPr>
          <w:trHeight w:val="340"/>
        </w:trPr>
        <w:tc>
          <w:tcPr>
            <w:tcW w:w="2401" w:type="pct"/>
            <w:tcBorders>
              <w:top w:val="nil"/>
              <w:left w:val="nil"/>
              <w:bottom w:val="nil"/>
              <w:right w:val="nil"/>
            </w:tcBorders>
            <w:shd w:val="clear" w:color="auto" w:fill="auto"/>
            <w:vAlign w:val="center"/>
            <w:hideMark/>
          </w:tcPr>
          <w:p w14:paraId="7EBF77BD" w14:textId="77777777" w:rsidR="0039193B" w:rsidRPr="009C72B4"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Pasivos por impuesto diferido</w:t>
            </w:r>
          </w:p>
        </w:tc>
        <w:tc>
          <w:tcPr>
            <w:tcW w:w="668" w:type="pct"/>
            <w:tcBorders>
              <w:top w:val="nil"/>
              <w:left w:val="nil"/>
              <w:bottom w:val="nil"/>
              <w:right w:val="nil"/>
            </w:tcBorders>
            <w:shd w:val="clear" w:color="auto" w:fill="auto"/>
            <w:vAlign w:val="center"/>
            <w:hideMark/>
          </w:tcPr>
          <w:p w14:paraId="12618938" w14:textId="77777777" w:rsidR="0039193B" w:rsidRPr="009C72B4"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11.3</w:t>
            </w:r>
          </w:p>
        </w:tc>
        <w:tc>
          <w:tcPr>
            <w:tcW w:w="966" w:type="pct"/>
            <w:tcBorders>
              <w:top w:val="nil"/>
              <w:left w:val="nil"/>
              <w:bottom w:val="nil"/>
              <w:right w:val="nil"/>
            </w:tcBorders>
            <w:shd w:val="clear" w:color="auto" w:fill="auto"/>
            <w:vAlign w:val="center"/>
          </w:tcPr>
          <w:p w14:paraId="42D9F10D" w14:textId="43C9EFA8" w:rsidR="0039193B" w:rsidRPr="002D429A"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57.563,01</w:t>
            </w:r>
          </w:p>
        </w:tc>
        <w:tc>
          <w:tcPr>
            <w:tcW w:w="966" w:type="pct"/>
            <w:tcBorders>
              <w:top w:val="nil"/>
              <w:left w:val="nil"/>
              <w:bottom w:val="nil"/>
              <w:right w:val="nil"/>
            </w:tcBorders>
            <w:shd w:val="clear" w:color="auto" w:fill="auto"/>
            <w:noWrap/>
            <w:vAlign w:val="center"/>
            <w:hideMark/>
          </w:tcPr>
          <w:p w14:paraId="3E01530B" w14:textId="7228C62D" w:rsidR="0039193B" w:rsidRPr="002D429A"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sz w:val="18"/>
                <w:szCs w:val="18"/>
                <w:bdr w:val="none" w:sz="0" w:space="0" w:color="auto"/>
                <w:lang w:eastAsia="es-ES"/>
              </w:rPr>
              <w:t xml:space="preserve">75.664,38   </w:t>
            </w:r>
          </w:p>
        </w:tc>
      </w:tr>
      <w:tr w:rsidR="0039193B" w:rsidRPr="002D429A" w14:paraId="776AE32B" w14:textId="77777777" w:rsidTr="0039193B">
        <w:trPr>
          <w:trHeight w:val="340"/>
        </w:trPr>
        <w:tc>
          <w:tcPr>
            <w:tcW w:w="2401" w:type="pct"/>
            <w:tcBorders>
              <w:top w:val="nil"/>
              <w:left w:val="nil"/>
              <w:bottom w:val="nil"/>
              <w:right w:val="nil"/>
            </w:tcBorders>
            <w:shd w:val="clear" w:color="auto" w:fill="auto"/>
            <w:vAlign w:val="center"/>
          </w:tcPr>
          <w:p w14:paraId="4CBAE1BB" w14:textId="0BEAD907" w:rsidR="0039193B" w:rsidRPr="009C72B4"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Periodificaciones a largo plazo</w:t>
            </w:r>
          </w:p>
        </w:tc>
        <w:tc>
          <w:tcPr>
            <w:tcW w:w="668" w:type="pct"/>
            <w:tcBorders>
              <w:top w:val="nil"/>
              <w:left w:val="nil"/>
              <w:bottom w:val="nil"/>
              <w:right w:val="nil"/>
            </w:tcBorders>
            <w:shd w:val="clear" w:color="auto" w:fill="auto"/>
            <w:vAlign w:val="center"/>
          </w:tcPr>
          <w:p w14:paraId="38729F9F" w14:textId="744C9107" w:rsidR="0039193B" w:rsidRPr="009C72B4" w:rsidRDefault="0022661E" w:rsidP="0039193B">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8.</w:t>
            </w:r>
            <w:r w:rsidR="00DD13B4">
              <w:rPr>
                <w:rFonts w:eastAsia="Times New Roman"/>
                <w:b/>
                <w:bCs/>
                <w:sz w:val="18"/>
                <w:szCs w:val="18"/>
                <w:bdr w:val="none" w:sz="0" w:space="0" w:color="auto"/>
                <w:lang w:eastAsia="es-ES"/>
              </w:rPr>
              <w:t>3</w:t>
            </w:r>
            <w:r w:rsidRPr="009C72B4">
              <w:rPr>
                <w:rFonts w:eastAsia="Times New Roman"/>
                <w:b/>
                <w:bCs/>
                <w:sz w:val="18"/>
                <w:szCs w:val="18"/>
                <w:bdr w:val="none" w:sz="0" w:space="0" w:color="auto"/>
                <w:lang w:eastAsia="es-ES"/>
              </w:rPr>
              <w:t>.c</w:t>
            </w:r>
          </w:p>
        </w:tc>
        <w:tc>
          <w:tcPr>
            <w:tcW w:w="966" w:type="pct"/>
            <w:tcBorders>
              <w:top w:val="nil"/>
              <w:left w:val="nil"/>
              <w:bottom w:val="nil"/>
              <w:right w:val="nil"/>
            </w:tcBorders>
            <w:shd w:val="clear" w:color="auto" w:fill="auto"/>
            <w:vAlign w:val="center"/>
          </w:tcPr>
          <w:p w14:paraId="206264B0" w14:textId="34FBDC92" w:rsidR="0039193B" w:rsidRPr="002D429A"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18.814.115,26</w:t>
            </w:r>
          </w:p>
        </w:tc>
        <w:tc>
          <w:tcPr>
            <w:tcW w:w="966" w:type="pct"/>
            <w:tcBorders>
              <w:top w:val="nil"/>
              <w:left w:val="nil"/>
              <w:bottom w:val="nil"/>
              <w:right w:val="nil"/>
            </w:tcBorders>
            <w:shd w:val="clear" w:color="auto" w:fill="auto"/>
            <w:noWrap/>
            <w:vAlign w:val="center"/>
          </w:tcPr>
          <w:p w14:paraId="79BD8A2D" w14:textId="3D498D07" w:rsidR="0039193B" w:rsidRPr="002D429A" w:rsidRDefault="0039193B" w:rsidP="0039193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w:t>
            </w:r>
          </w:p>
        </w:tc>
      </w:tr>
      <w:tr w:rsidR="00634704" w:rsidRPr="002D429A" w14:paraId="467C79DF" w14:textId="77777777" w:rsidTr="0039193B">
        <w:trPr>
          <w:trHeight w:val="227"/>
        </w:trPr>
        <w:tc>
          <w:tcPr>
            <w:tcW w:w="2401" w:type="pct"/>
            <w:tcBorders>
              <w:top w:val="nil"/>
              <w:left w:val="nil"/>
              <w:bottom w:val="nil"/>
              <w:right w:val="nil"/>
            </w:tcBorders>
            <w:shd w:val="clear" w:color="auto" w:fill="auto"/>
            <w:vAlign w:val="center"/>
            <w:hideMark/>
          </w:tcPr>
          <w:p w14:paraId="2C853273" w14:textId="77777777" w:rsidR="00634704" w:rsidRPr="009C72B4"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668" w:type="pct"/>
            <w:tcBorders>
              <w:top w:val="nil"/>
              <w:left w:val="nil"/>
              <w:bottom w:val="nil"/>
              <w:right w:val="nil"/>
            </w:tcBorders>
            <w:shd w:val="clear" w:color="auto" w:fill="auto"/>
            <w:vAlign w:val="center"/>
            <w:hideMark/>
          </w:tcPr>
          <w:p w14:paraId="0CED39C7" w14:textId="77777777" w:rsidR="00634704" w:rsidRPr="009C72B4"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nil"/>
              <w:right w:val="nil"/>
            </w:tcBorders>
            <w:shd w:val="clear" w:color="auto" w:fill="auto"/>
            <w:vAlign w:val="center"/>
          </w:tcPr>
          <w:p w14:paraId="03CE2C29" w14:textId="77777777"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nil"/>
              <w:right w:val="nil"/>
            </w:tcBorders>
            <w:shd w:val="clear" w:color="auto" w:fill="auto"/>
            <w:vAlign w:val="center"/>
            <w:hideMark/>
          </w:tcPr>
          <w:p w14:paraId="1780E276" w14:textId="77777777"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634704" w:rsidRPr="002D429A" w14:paraId="108D1290" w14:textId="77777777" w:rsidTr="0039193B">
        <w:trPr>
          <w:trHeight w:val="340"/>
        </w:trPr>
        <w:tc>
          <w:tcPr>
            <w:tcW w:w="2401" w:type="pct"/>
            <w:tcBorders>
              <w:top w:val="single" w:sz="8" w:space="0" w:color="auto"/>
              <w:left w:val="nil"/>
              <w:bottom w:val="single" w:sz="8" w:space="0" w:color="auto"/>
              <w:right w:val="nil"/>
            </w:tcBorders>
            <w:shd w:val="clear" w:color="auto" w:fill="F2F2F2" w:themeFill="background1" w:themeFillShade="F2"/>
            <w:vAlign w:val="center"/>
            <w:hideMark/>
          </w:tcPr>
          <w:p w14:paraId="305C31E9" w14:textId="77777777" w:rsidR="00634704" w:rsidRPr="009C72B4"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PASIVO CORRIENTE</w:t>
            </w:r>
          </w:p>
        </w:tc>
        <w:tc>
          <w:tcPr>
            <w:tcW w:w="668" w:type="pct"/>
            <w:tcBorders>
              <w:top w:val="single" w:sz="8" w:space="0" w:color="auto"/>
              <w:left w:val="nil"/>
              <w:bottom w:val="single" w:sz="8" w:space="0" w:color="auto"/>
              <w:right w:val="nil"/>
            </w:tcBorders>
            <w:shd w:val="clear" w:color="auto" w:fill="F2F2F2" w:themeFill="background1" w:themeFillShade="F2"/>
            <w:vAlign w:val="center"/>
            <w:hideMark/>
          </w:tcPr>
          <w:p w14:paraId="5BF37F93" w14:textId="77777777" w:rsidR="00634704" w:rsidRPr="009C72B4"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 </w:t>
            </w:r>
          </w:p>
        </w:tc>
        <w:tc>
          <w:tcPr>
            <w:tcW w:w="966" w:type="pct"/>
            <w:tcBorders>
              <w:top w:val="single" w:sz="8" w:space="0" w:color="auto"/>
              <w:left w:val="nil"/>
              <w:bottom w:val="single" w:sz="8" w:space="0" w:color="auto"/>
              <w:right w:val="nil"/>
            </w:tcBorders>
            <w:shd w:val="clear" w:color="auto" w:fill="F2F2F2" w:themeFill="background1" w:themeFillShade="F2"/>
            <w:vAlign w:val="center"/>
          </w:tcPr>
          <w:p w14:paraId="277212A1" w14:textId="031E9C9F" w:rsidR="00634704" w:rsidRPr="00B709F2" w:rsidRDefault="00B709F2" w:rsidP="00B709F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36.440.291,87</w:t>
            </w:r>
          </w:p>
        </w:tc>
        <w:tc>
          <w:tcPr>
            <w:tcW w:w="966" w:type="pct"/>
            <w:tcBorders>
              <w:top w:val="single" w:sz="8" w:space="0" w:color="auto"/>
              <w:left w:val="nil"/>
              <w:bottom w:val="single" w:sz="8" w:space="0" w:color="auto"/>
              <w:right w:val="nil"/>
            </w:tcBorders>
            <w:shd w:val="clear" w:color="auto" w:fill="F2F2F2" w:themeFill="background1" w:themeFillShade="F2"/>
            <w:vAlign w:val="center"/>
            <w:hideMark/>
          </w:tcPr>
          <w:p w14:paraId="5E41775D" w14:textId="568265A8" w:rsidR="00634704" w:rsidRDefault="00634704" w:rsidP="00634704">
            <w:pPr>
              <w:jc w:val="right"/>
              <w:rPr>
                <w:b/>
                <w:bCs/>
                <w:sz w:val="18"/>
                <w:szCs w:val="18"/>
              </w:rPr>
            </w:pPr>
            <w:r>
              <w:rPr>
                <w:b/>
                <w:bCs/>
                <w:sz w:val="18"/>
                <w:szCs w:val="18"/>
              </w:rPr>
              <w:t>13.356.637,57</w:t>
            </w:r>
          </w:p>
        </w:tc>
      </w:tr>
      <w:tr w:rsidR="002F682F" w:rsidRPr="002D429A" w14:paraId="1E5B59BB" w14:textId="77777777" w:rsidTr="0039193B">
        <w:trPr>
          <w:trHeight w:val="340"/>
        </w:trPr>
        <w:tc>
          <w:tcPr>
            <w:tcW w:w="2401" w:type="pct"/>
            <w:tcBorders>
              <w:top w:val="nil"/>
              <w:left w:val="nil"/>
              <w:bottom w:val="nil"/>
              <w:right w:val="nil"/>
            </w:tcBorders>
            <w:shd w:val="clear" w:color="auto" w:fill="auto"/>
            <w:vAlign w:val="center"/>
            <w:hideMark/>
          </w:tcPr>
          <w:p w14:paraId="0F0DE7BF" w14:textId="77777777" w:rsidR="002F682F" w:rsidRPr="009C72B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Deudas a corto plazo</w:t>
            </w:r>
          </w:p>
        </w:tc>
        <w:tc>
          <w:tcPr>
            <w:tcW w:w="668" w:type="pct"/>
            <w:tcBorders>
              <w:top w:val="nil"/>
              <w:left w:val="nil"/>
              <w:bottom w:val="nil"/>
              <w:right w:val="nil"/>
            </w:tcBorders>
            <w:shd w:val="clear" w:color="auto" w:fill="auto"/>
            <w:vAlign w:val="center"/>
            <w:hideMark/>
          </w:tcPr>
          <w:p w14:paraId="23803E2A" w14:textId="28B7ECC3" w:rsidR="002F682F" w:rsidRPr="009C72B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8.</w:t>
            </w:r>
            <w:r w:rsidR="00DD13B4">
              <w:rPr>
                <w:rFonts w:eastAsia="Times New Roman"/>
                <w:b/>
                <w:bCs/>
                <w:sz w:val="18"/>
                <w:szCs w:val="18"/>
                <w:bdr w:val="none" w:sz="0" w:space="0" w:color="auto"/>
                <w:lang w:eastAsia="es-ES"/>
              </w:rPr>
              <w:t>3.a</w:t>
            </w:r>
          </w:p>
        </w:tc>
        <w:tc>
          <w:tcPr>
            <w:tcW w:w="966" w:type="pct"/>
            <w:tcBorders>
              <w:top w:val="nil"/>
              <w:left w:val="nil"/>
              <w:bottom w:val="nil"/>
              <w:right w:val="nil"/>
            </w:tcBorders>
            <w:shd w:val="clear" w:color="auto" w:fill="auto"/>
            <w:vAlign w:val="center"/>
          </w:tcPr>
          <w:p w14:paraId="09DD9871" w14:textId="53A4B03F" w:rsidR="002F682F" w:rsidRPr="002D429A"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5.549,74</w:t>
            </w:r>
          </w:p>
        </w:tc>
        <w:tc>
          <w:tcPr>
            <w:tcW w:w="966" w:type="pct"/>
            <w:tcBorders>
              <w:top w:val="nil"/>
              <w:left w:val="nil"/>
              <w:bottom w:val="nil"/>
              <w:right w:val="nil"/>
            </w:tcBorders>
            <w:shd w:val="clear" w:color="auto" w:fill="auto"/>
            <w:vAlign w:val="center"/>
            <w:hideMark/>
          </w:tcPr>
          <w:p w14:paraId="152DEFF5" w14:textId="2B55BAD8" w:rsidR="002F682F" w:rsidRPr="002D429A"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2D429A">
              <w:rPr>
                <w:rFonts w:eastAsia="Times New Roman"/>
                <w:b/>
                <w:bCs/>
                <w:sz w:val="18"/>
                <w:szCs w:val="18"/>
                <w:bdr w:val="none" w:sz="0" w:space="0" w:color="auto"/>
                <w:lang w:eastAsia="es-ES"/>
              </w:rPr>
              <w:t xml:space="preserve">5.126,24   </w:t>
            </w:r>
          </w:p>
        </w:tc>
      </w:tr>
      <w:tr w:rsidR="002F682F" w:rsidRPr="002D429A" w14:paraId="1C2CBB9C" w14:textId="77777777" w:rsidTr="0039193B">
        <w:trPr>
          <w:trHeight w:val="240"/>
        </w:trPr>
        <w:tc>
          <w:tcPr>
            <w:tcW w:w="2401" w:type="pct"/>
            <w:tcBorders>
              <w:top w:val="nil"/>
              <w:left w:val="nil"/>
              <w:bottom w:val="nil"/>
              <w:right w:val="nil"/>
            </w:tcBorders>
            <w:shd w:val="clear" w:color="auto" w:fill="auto"/>
            <w:vAlign w:val="center"/>
            <w:hideMark/>
          </w:tcPr>
          <w:p w14:paraId="318E189A" w14:textId="77777777" w:rsidR="002F682F" w:rsidRPr="009C72B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Deudas con entidades de crédito</w:t>
            </w:r>
          </w:p>
        </w:tc>
        <w:tc>
          <w:tcPr>
            <w:tcW w:w="668" w:type="pct"/>
            <w:tcBorders>
              <w:top w:val="nil"/>
              <w:left w:val="nil"/>
              <w:bottom w:val="nil"/>
              <w:right w:val="nil"/>
            </w:tcBorders>
            <w:shd w:val="clear" w:color="auto" w:fill="auto"/>
            <w:vAlign w:val="center"/>
            <w:hideMark/>
          </w:tcPr>
          <w:p w14:paraId="3352923B" w14:textId="77777777" w:rsidR="002F682F" w:rsidRPr="009C72B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66" w:type="pct"/>
            <w:tcBorders>
              <w:top w:val="nil"/>
              <w:left w:val="nil"/>
              <w:bottom w:val="nil"/>
              <w:right w:val="nil"/>
            </w:tcBorders>
            <w:shd w:val="clear" w:color="auto" w:fill="auto"/>
            <w:vAlign w:val="center"/>
          </w:tcPr>
          <w:p w14:paraId="01C0A373" w14:textId="39B614D4" w:rsidR="002F682F" w:rsidRPr="002D429A"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589,78</w:t>
            </w:r>
          </w:p>
        </w:tc>
        <w:tc>
          <w:tcPr>
            <w:tcW w:w="966" w:type="pct"/>
            <w:tcBorders>
              <w:top w:val="nil"/>
              <w:left w:val="nil"/>
              <w:bottom w:val="nil"/>
              <w:right w:val="nil"/>
            </w:tcBorders>
            <w:shd w:val="clear" w:color="auto" w:fill="auto"/>
            <w:vAlign w:val="center"/>
            <w:hideMark/>
          </w:tcPr>
          <w:p w14:paraId="564B273A" w14:textId="47A7E82C" w:rsidR="002F682F" w:rsidRPr="002D429A"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sz w:val="18"/>
                <w:szCs w:val="18"/>
                <w:bdr w:val="none" w:sz="0" w:space="0" w:color="auto"/>
                <w:lang w:eastAsia="es-ES"/>
              </w:rPr>
              <w:t xml:space="preserve">68,88   </w:t>
            </w:r>
          </w:p>
        </w:tc>
      </w:tr>
      <w:tr w:rsidR="002F682F" w:rsidRPr="002D429A" w14:paraId="06F67CC2" w14:textId="77777777" w:rsidTr="0039193B">
        <w:trPr>
          <w:trHeight w:val="240"/>
        </w:trPr>
        <w:tc>
          <w:tcPr>
            <w:tcW w:w="2401" w:type="pct"/>
            <w:tcBorders>
              <w:top w:val="nil"/>
              <w:left w:val="nil"/>
              <w:bottom w:val="nil"/>
              <w:right w:val="nil"/>
            </w:tcBorders>
            <w:shd w:val="clear" w:color="auto" w:fill="auto"/>
            <w:vAlign w:val="center"/>
            <w:hideMark/>
          </w:tcPr>
          <w:p w14:paraId="7B260A7D" w14:textId="77777777" w:rsidR="002F682F" w:rsidRPr="009C72B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Otros pasivos financieros</w:t>
            </w:r>
          </w:p>
        </w:tc>
        <w:tc>
          <w:tcPr>
            <w:tcW w:w="668" w:type="pct"/>
            <w:tcBorders>
              <w:top w:val="nil"/>
              <w:left w:val="nil"/>
              <w:bottom w:val="nil"/>
              <w:right w:val="nil"/>
            </w:tcBorders>
            <w:shd w:val="clear" w:color="auto" w:fill="auto"/>
            <w:vAlign w:val="center"/>
            <w:hideMark/>
          </w:tcPr>
          <w:p w14:paraId="7D6D4DCD" w14:textId="77777777" w:rsidR="002F682F" w:rsidRPr="009C72B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66" w:type="pct"/>
            <w:tcBorders>
              <w:top w:val="nil"/>
              <w:left w:val="nil"/>
              <w:bottom w:val="nil"/>
              <w:right w:val="nil"/>
            </w:tcBorders>
            <w:shd w:val="clear" w:color="auto" w:fill="auto"/>
            <w:vAlign w:val="center"/>
          </w:tcPr>
          <w:p w14:paraId="654E9CFE" w14:textId="5336C658" w:rsidR="002F682F" w:rsidRPr="002D429A"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4.959,96</w:t>
            </w:r>
          </w:p>
        </w:tc>
        <w:tc>
          <w:tcPr>
            <w:tcW w:w="966" w:type="pct"/>
            <w:tcBorders>
              <w:top w:val="nil"/>
              <w:left w:val="nil"/>
              <w:bottom w:val="nil"/>
              <w:right w:val="nil"/>
            </w:tcBorders>
            <w:shd w:val="clear" w:color="auto" w:fill="auto"/>
            <w:noWrap/>
            <w:vAlign w:val="center"/>
            <w:hideMark/>
          </w:tcPr>
          <w:p w14:paraId="13E9AF4B" w14:textId="260E3A98" w:rsidR="002F682F" w:rsidRPr="002D429A"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sz w:val="18"/>
                <w:szCs w:val="18"/>
                <w:bdr w:val="none" w:sz="0" w:space="0" w:color="auto"/>
                <w:lang w:eastAsia="es-ES"/>
              </w:rPr>
              <w:t xml:space="preserve">5.057,36   </w:t>
            </w:r>
          </w:p>
        </w:tc>
      </w:tr>
      <w:tr w:rsidR="00634704" w:rsidRPr="002D429A" w14:paraId="41C70A6B" w14:textId="77777777" w:rsidTr="00634704">
        <w:trPr>
          <w:trHeight w:val="340"/>
        </w:trPr>
        <w:tc>
          <w:tcPr>
            <w:tcW w:w="3069" w:type="pct"/>
            <w:gridSpan w:val="2"/>
            <w:tcBorders>
              <w:top w:val="nil"/>
              <w:left w:val="nil"/>
              <w:bottom w:val="nil"/>
              <w:right w:val="nil"/>
            </w:tcBorders>
            <w:shd w:val="clear" w:color="auto" w:fill="auto"/>
            <w:noWrap/>
            <w:vAlign w:val="center"/>
            <w:hideMark/>
          </w:tcPr>
          <w:p w14:paraId="391CCDE8" w14:textId="77777777" w:rsidR="00634704" w:rsidRPr="009C72B4"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Acreedores comerciales y otras cuentas a pagar</w:t>
            </w:r>
          </w:p>
        </w:tc>
        <w:tc>
          <w:tcPr>
            <w:tcW w:w="966" w:type="pct"/>
            <w:tcBorders>
              <w:top w:val="nil"/>
              <w:left w:val="nil"/>
              <w:bottom w:val="nil"/>
              <w:right w:val="nil"/>
            </w:tcBorders>
            <w:shd w:val="clear" w:color="auto" w:fill="auto"/>
            <w:noWrap/>
            <w:vAlign w:val="center"/>
          </w:tcPr>
          <w:p w14:paraId="2114164C" w14:textId="7F10454E" w:rsidR="00634704" w:rsidRPr="002F682F"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13.920.075,55</w:t>
            </w:r>
          </w:p>
        </w:tc>
        <w:tc>
          <w:tcPr>
            <w:tcW w:w="966" w:type="pct"/>
            <w:tcBorders>
              <w:top w:val="nil"/>
              <w:left w:val="nil"/>
              <w:bottom w:val="nil"/>
              <w:right w:val="nil"/>
            </w:tcBorders>
            <w:shd w:val="clear" w:color="auto" w:fill="auto"/>
            <w:noWrap/>
            <w:vAlign w:val="center"/>
            <w:hideMark/>
          </w:tcPr>
          <w:p w14:paraId="1AA8335C" w14:textId="195C5593" w:rsidR="00634704" w:rsidRPr="002F682F"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3.984.191,25</w:t>
            </w:r>
          </w:p>
        </w:tc>
      </w:tr>
      <w:tr w:rsidR="002F682F" w:rsidRPr="002D429A" w14:paraId="108C35CC" w14:textId="77777777" w:rsidTr="0039193B">
        <w:trPr>
          <w:trHeight w:val="240"/>
        </w:trPr>
        <w:tc>
          <w:tcPr>
            <w:tcW w:w="2401" w:type="pct"/>
            <w:tcBorders>
              <w:top w:val="nil"/>
              <w:left w:val="nil"/>
              <w:bottom w:val="nil"/>
              <w:right w:val="nil"/>
            </w:tcBorders>
            <w:shd w:val="clear" w:color="auto" w:fill="auto"/>
            <w:vAlign w:val="center"/>
            <w:hideMark/>
          </w:tcPr>
          <w:p w14:paraId="0BE774FB" w14:textId="77777777" w:rsidR="002F682F" w:rsidRPr="009C72B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Acreedores varios</w:t>
            </w:r>
          </w:p>
        </w:tc>
        <w:tc>
          <w:tcPr>
            <w:tcW w:w="668" w:type="pct"/>
            <w:tcBorders>
              <w:top w:val="nil"/>
              <w:left w:val="nil"/>
              <w:bottom w:val="nil"/>
              <w:right w:val="nil"/>
            </w:tcBorders>
            <w:shd w:val="clear" w:color="auto" w:fill="auto"/>
            <w:vAlign w:val="center"/>
            <w:hideMark/>
          </w:tcPr>
          <w:p w14:paraId="497F66F2" w14:textId="08B514F4" w:rsidR="002F682F" w:rsidRPr="009C72B4" w:rsidRDefault="002F682F" w:rsidP="002F682F">
            <w:pPr>
              <w:jc w:val="center"/>
              <w:rPr>
                <w:sz w:val="18"/>
                <w:szCs w:val="18"/>
              </w:rPr>
            </w:pPr>
            <w:r w:rsidRPr="009C72B4">
              <w:rPr>
                <w:sz w:val="18"/>
                <w:szCs w:val="18"/>
              </w:rPr>
              <w:t>8.</w:t>
            </w:r>
            <w:r w:rsidR="00DD13B4">
              <w:rPr>
                <w:sz w:val="18"/>
                <w:szCs w:val="18"/>
              </w:rPr>
              <w:t>3</w:t>
            </w:r>
            <w:r w:rsidRPr="009C72B4">
              <w:rPr>
                <w:sz w:val="18"/>
                <w:szCs w:val="18"/>
              </w:rPr>
              <w:t>.a</w:t>
            </w:r>
          </w:p>
        </w:tc>
        <w:tc>
          <w:tcPr>
            <w:tcW w:w="966" w:type="pct"/>
            <w:tcBorders>
              <w:top w:val="nil"/>
              <w:left w:val="nil"/>
              <w:bottom w:val="nil"/>
              <w:right w:val="nil"/>
            </w:tcBorders>
            <w:shd w:val="clear" w:color="auto" w:fill="auto"/>
            <w:vAlign w:val="center"/>
          </w:tcPr>
          <w:p w14:paraId="379D40BC" w14:textId="429E23C0" w:rsidR="002F682F" w:rsidRPr="004D0B1C" w:rsidRDefault="002F682F" w:rsidP="002F682F">
            <w:pPr>
              <w:jc w:val="right"/>
              <w:rPr>
                <w:sz w:val="18"/>
                <w:szCs w:val="18"/>
              </w:rPr>
            </w:pPr>
            <w:r>
              <w:rPr>
                <w:sz w:val="18"/>
                <w:szCs w:val="18"/>
              </w:rPr>
              <w:t>10.832.387,60</w:t>
            </w:r>
          </w:p>
        </w:tc>
        <w:tc>
          <w:tcPr>
            <w:tcW w:w="966" w:type="pct"/>
            <w:tcBorders>
              <w:top w:val="nil"/>
              <w:left w:val="nil"/>
              <w:bottom w:val="nil"/>
              <w:right w:val="nil"/>
            </w:tcBorders>
            <w:shd w:val="clear" w:color="auto" w:fill="auto"/>
            <w:vAlign w:val="center"/>
            <w:hideMark/>
          </w:tcPr>
          <w:p w14:paraId="26C93893" w14:textId="638EB58D" w:rsidR="002F682F" w:rsidRPr="004D0B1C"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4D0B1C">
              <w:rPr>
                <w:sz w:val="18"/>
                <w:szCs w:val="18"/>
              </w:rPr>
              <w:t>3.282.474,05</w:t>
            </w:r>
          </w:p>
        </w:tc>
      </w:tr>
      <w:tr w:rsidR="002F682F" w:rsidRPr="002D429A" w14:paraId="3B43BF78" w14:textId="77777777" w:rsidTr="0039193B">
        <w:trPr>
          <w:trHeight w:val="240"/>
        </w:trPr>
        <w:tc>
          <w:tcPr>
            <w:tcW w:w="2401" w:type="pct"/>
            <w:tcBorders>
              <w:top w:val="nil"/>
              <w:left w:val="nil"/>
              <w:bottom w:val="nil"/>
              <w:right w:val="nil"/>
            </w:tcBorders>
            <w:shd w:val="clear" w:color="auto" w:fill="auto"/>
            <w:vAlign w:val="center"/>
            <w:hideMark/>
          </w:tcPr>
          <w:p w14:paraId="6DF89724" w14:textId="77777777" w:rsidR="002F682F" w:rsidRPr="009C72B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Personal (remuneraciones pendientes de pago)</w:t>
            </w:r>
          </w:p>
        </w:tc>
        <w:tc>
          <w:tcPr>
            <w:tcW w:w="668" w:type="pct"/>
            <w:tcBorders>
              <w:top w:val="nil"/>
              <w:left w:val="nil"/>
              <w:bottom w:val="nil"/>
              <w:right w:val="nil"/>
            </w:tcBorders>
            <w:shd w:val="clear" w:color="auto" w:fill="auto"/>
            <w:vAlign w:val="center"/>
            <w:hideMark/>
          </w:tcPr>
          <w:p w14:paraId="74CB3D95" w14:textId="3F4489F5" w:rsidR="002F682F" w:rsidRPr="009C72B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8.</w:t>
            </w:r>
            <w:r w:rsidR="00DD13B4">
              <w:rPr>
                <w:rFonts w:eastAsia="Times New Roman"/>
                <w:sz w:val="18"/>
                <w:szCs w:val="18"/>
                <w:bdr w:val="none" w:sz="0" w:space="0" w:color="auto"/>
                <w:lang w:eastAsia="es-ES"/>
              </w:rPr>
              <w:t>3</w:t>
            </w:r>
            <w:r w:rsidRPr="009C72B4">
              <w:rPr>
                <w:rFonts w:eastAsia="Times New Roman"/>
                <w:sz w:val="18"/>
                <w:szCs w:val="18"/>
                <w:bdr w:val="none" w:sz="0" w:space="0" w:color="auto"/>
                <w:lang w:eastAsia="es-ES"/>
              </w:rPr>
              <w:t>.a</w:t>
            </w:r>
          </w:p>
        </w:tc>
        <w:tc>
          <w:tcPr>
            <w:tcW w:w="966" w:type="pct"/>
            <w:tcBorders>
              <w:top w:val="nil"/>
              <w:left w:val="nil"/>
              <w:bottom w:val="nil"/>
              <w:right w:val="nil"/>
            </w:tcBorders>
            <w:shd w:val="clear" w:color="auto" w:fill="auto"/>
            <w:vAlign w:val="center"/>
          </w:tcPr>
          <w:p w14:paraId="3406608F" w14:textId="47CE5816" w:rsidR="002F682F" w:rsidRPr="002D429A"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142.119,92</w:t>
            </w:r>
          </w:p>
        </w:tc>
        <w:tc>
          <w:tcPr>
            <w:tcW w:w="966" w:type="pct"/>
            <w:tcBorders>
              <w:top w:val="nil"/>
              <w:left w:val="nil"/>
              <w:bottom w:val="nil"/>
              <w:right w:val="nil"/>
            </w:tcBorders>
            <w:shd w:val="clear" w:color="auto" w:fill="auto"/>
            <w:vAlign w:val="center"/>
            <w:hideMark/>
          </w:tcPr>
          <w:p w14:paraId="73B32949" w14:textId="136AA295" w:rsidR="002F682F" w:rsidRPr="002D429A"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sz w:val="18"/>
                <w:szCs w:val="18"/>
                <w:bdr w:val="none" w:sz="0" w:space="0" w:color="auto"/>
                <w:lang w:eastAsia="es-ES"/>
              </w:rPr>
              <w:t xml:space="preserve">164.138,93   </w:t>
            </w:r>
          </w:p>
        </w:tc>
      </w:tr>
      <w:tr w:rsidR="002F682F" w:rsidRPr="002D429A" w14:paraId="5778BCCC" w14:textId="77777777" w:rsidTr="0039193B">
        <w:trPr>
          <w:trHeight w:val="240"/>
        </w:trPr>
        <w:tc>
          <w:tcPr>
            <w:tcW w:w="2401" w:type="pct"/>
            <w:tcBorders>
              <w:top w:val="nil"/>
              <w:left w:val="nil"/>
              <w:bottom w:val="nil"/>
              <w:right w:val="nil"/>
            </w:tcBorders>
            <w:shd w:val="clear" w:color="auto" w:fill="auto"/>
            <w:vAlign w:val="center"/>
            <w:hideMark/>
          </w:tcPr>
          <w:p w14:paraId="31153271" w14:textId="77777777" w:rsidR="002F682F" w:rsidRPr="009C72B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Otras deudas con las Administraciones Públicas</w:t>
            </w:r>
          </w:p>
        </w:tc>
        <w:tc>
          <w:tcPr>
            <w:tcW w:w="668" w:type="pct"/>
            <w:tcBorders>
              <w:top w:val="nil"/>
              <w:left w:val="nil"/>
              <w:bottom w:val="nil"/>
              <w:right w:val="nil"/>
            </w:tcBorders>
            <w:shd w:val="clear" w:color="auto" w:fill="auto"/>
            <w:vAlign w:val="center"/>
            <w:hideMark/>
          </w:tcPr>
          <w:p w14:paraId="153CD658" w14:textId="53A5BB19" w:rsidR="002F682F" w:rsidRPr="009C72B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11</w:t>
            </w:r>
            <w:r w:rsidR="00DD13B4">
              <w:rPr>
                <w:rFonts w:eastAsia="Times New Roman"/>
                <w:sz w:val="18"/>
                <w:szCs w:val="18"/>
                <w:bdr w:val="none" w:sz="0" w:space="0" w:color="auto"/>
                <w:lang w:eastAsia="es-ES"/>
              </w:rPr>
              <w:t>.1</w:t>
            </w:r>
          </w:p>
        </w:tc>
        <w:tc>
          <w:tcPr>
            <w:tcW w:w="966" w:type="pct"/>
            <w:tcBorders>
              <w:top w:val="nil"/>
              <w:left w:val="nil"/>
              <w:bottom w:val="nil"/>
              <w:right w:val="nil"/>
            </w:tcBorders>
            <w:shd w:val="clear" w:color="auto" w:fill="auto"/>
            <w:vAlign w:val="center"/>
          </w:tcPr>
          <w:p w14:paraId="59F7B7C6" w14:textId="52162DF1" w:rsidR="002F682F" w:rsidRPr="002D429A"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2.945.568,03</w:t>
            </w:r>
          </w:p>
        </w:tc>
        <w:tc>
          <w:tcPr>
            <w:tcW w:w="966" w:type="pct"/>
            <w:tcBorders>
              <w:top w:val="nil"/>
              <w:left w:val="nil"/>
              <w:bottom w:val="nil"/>
              <w:right w:val="nil"/>
            </w:tcBorders>
            <w:shd w:val="clear" w:color="auto" w:fill="auto"/>
            <w:vAlign w:val="center"/>
            <w:hideMark/>
          </w:tcPr>
          <w:p w14:paraId="0F51FD8D" w14:textId="01997935" w:rsidR="002F682F" w:rsidRPr="002D429A"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2D429A">
              <w:rPr>
                <w:rFonts w:eastAsia="Times New Roman"/>
                <w:sz w:val="18"/>
                <w:szCs w:val="18"/>
                <w:bdr w:val="none" w:sz="0" w:space="0" w:color="auto"/>
                <w:lang w:eastAsia="es-ES"/>
              </w:rPr>
              <w:t xml:space="preserve">537.578,27   </w:t>
            </w:r>
          </w:p>
        </w:tc>
      </w:tr>
      <w:tr w:rsidR="002F682F" w:rsidRPr="002D429A" w14:paraId="0151E4EC" w14:textId="77777777" w:rsidTr="0039193B">
        <w:trPr>
          <w:trHeight w:val="340"/>
        </w:trPr>
        <w:tc>
          <w:tcPr>
            <w:tcW w:w="2401" w:type="pct"/>
            <w:tcBorders>
              <w:top w:val="nil"/>
              <w:left w:val="nil"/>
              <w:bottom w:val="nil"/>
              <w:right w:val="nil"/>
            </w:tcBorders>
            <w:shd w:val="clear" w:color="auto" w:fill="auto"/>
            <w:vAlign w:val="center"/>
            <w:hideMark/>
          </w:tcPr>
          <w:p w14:paraId="4DEFCF40" w14:textId="77777777" w:rsidR="002F682F" w:rsidRPr="009C72B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Periodificaciones a corto plazo</w:t>
            </w:r>
          </w:p>
        </w:tc>
        <w:tc>
          <w:tcPr>
            <w:tcW w:w="668" w:type="pct"/>
            <w:tcBorders>
              <w:top w:val="nil"/>
              <w:left w:val="nil"/>
              <w:bottom w:val="nil"/>
              <w:right w:val="nil"/>
            </w:tcBorders>
            <w:shd w:val="clear" w:color="auto" w:fill="auto"/>
            <w:vAlign w:val="center"/>
            <w:hideMark/>
          </w:tcPr>
          <w:p w14:paraId="03EEAEBC" w14:textId="7A30A8EA" w:rsidR="002F682F" w:rsidRPr="009C72B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8.</w:t>
            </w:r>
            <w:r w:rsidR="00DD13B4">
              <w:rPr>
                <w:rFonts w:eastAsia="Times New Roman"/>
                <w:b/>
                <w:bCs/>
                <w:sz w:val="18"/>
                <w:szCs w:val="18"/>
                <w:bdr w:val="none" w:sz="0" w:space="0" w:color="auto"/>
                <w:lang w:eastAsia="es-ES"/>
              </w:rPr>
              <w:t>3</w:t>
            </w:r>
            <w:r w:rsidRPr="009C72B4">
              <w:rPr>
                <w:rFonts w:eastAsia="Times New Roman"/>
                <w:b/>
                <w:bCs/>
                <w:sz w:val="18"/>
                <w:szCs w:val="18"/>
                <w:bdr w:val="none" w:sz="0" w:space="0" w:color="auto"/>
                <w:lang w:eastAsia="es-ES"/>
              </w:rPr>
              <w:t>.c</w:t>
            </w:r>
          </w:p>
        </w:tc>
        <w:tc>
          <w:tcPr>
            <w:tcW w:w="966" w:type="pct"/>
            <w:tcBorders>
              <w:top w:val="nil"/>
              <w:left w:val="nil"/>
              <w:bottom w:val="nil"/>
              <w:right w:val="nil"/>
            </w:tcBorders>
            <w:shd w:val="clear" w:color="auto" w:fill="auto"/>
            <w:vAlign w:val="center"/>
          </w:tcPr>
          <w:p w14:paraId="76B205A9" w14:textId="37ED4A3F" w:rsidR="002F682F" w:rsidRPr="00DA5AD4"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8"/>
                <w:szCs w:val="18"/>
                <w:bdr w:val="none" w:sz="0" w:space="0" w:color="auto"/>
                <w:lang w:eastAsia="es-ES"/>
              </w:rPr>
            </w:pPr>
            <w:r>
              <w:rPr>
                <w:b/>
                <w:bCs/>
                <w:sz w:val="18"/>
                <w:szCs w:val="18"/>
              </w:rPr>
              <w:t>22.514.666,58</w:t>
            </w:r>
          </w:p>
        </w:tc>
        <w:tc>
          <w:tcPr>
            <w:tcW w:w="966" w:type="pct"/>
            <w:tcBorders>
              <w:top w:val="nil"/>
              <w:left w:val="nil"/>
              <w:bottom w:val="nil"/>
              <w:right w:val="nil"/>
            </w:tcBorders>
            <w:shd w:val="clear" w:color="auto" w:fill="auto"/>
            <w:vAlign w:val="center"/>
            <w:hideMark/>
          </w:tcPr>
          <w:p w14:paraId="26901A69" w14:textId="5828F45D" w:rsidR="002F682F" w:rsidRPr="002D429A"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DA5AD4">
              <w:rPr>
                <w:rFonts w:eastAsia="Times New Roman"/>
                <w:b/>
                <w:sz w:val="18"/>
                <w:szCs w:val="18"/>
                <w:bdr w:val="none" w:sz="0" w:space="0" w:color="auto"/>
                <w:lang w:eastAsia="es-ES"/>
              </w:rPr>
              <w:t xml:space="preserve">9.367.320,08   </w:t>
            </w:r>
          </w:p>
        </w:tc>
      </w:tr>
      <w:tr w:rsidR="00634704" w:rsidRPr="002D429A" w14:paraId="4A95625C" w14:textId="77777777" w:rsidTr="0039193B">
        <w:trPr>
          <w:trHeight w:val="227"/>
        </w:trPr>
        <w:tc>
          <w:tcPr>
            <w:tcW w:w="2401" w:type="pct"/>
            <w:tcBorders>
              <w:top w:val="nil"/>
              <w:left w:val="nil"/>
              <w:bottom w:val="nil"/>
              <w:right w:val="nil"/>
            </w:tcBorders>
            <w:shd w:val="clear" w:color="auto" w:fill="auto"/>
            <w:vAlign w:val="center"/>
            <w:hideMark/>
          </w:tcPr>
          <w:p w14:paraId="3DC7DCBE" w14:textId="77777777"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668" w:type="pct"/>
            <w:tcBorders>
              <w:top w:val="nil"/>
              <w:left w:val="nil"/>
              <w:bottom w:val="nil"/>
              <w:right w:val="nil"/>
            </w:tcBorders>
            <w:shd w:val="clear" w:color="auto" w:fill="auto"/>
            <w:vAlign w:val="center"/>
            <w:hideMark/>
          </w:tcPr>
          <w:p w14:paraId="376C48E8" w14:textId="77777777"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nil"/>
              <w:right w:val="nil"/>
            </w:tcBorders>
            <w:shd w:val="clear" w:color="auto" w:fill="auto"/>
            <w:vAlign w:val="center"/>
          </w:tcPr>
          <w:p w14:paraId="5035B017" w14:textId="77777777"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nil"/>
              <w:right w:val="nil"/>
            </w:tcBorders>
            <w:shd w:val="clear" w:color="auto" w:fill="auto"/>
            <w:vAlign w:val="center"/>
            <w:hideMark/>
          </w:tcPr>
          <w:p w14:paraId="36B14AF5" w14:textId="77777777"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634704" w:rsidRPr="002D429A" w14:paraId="58FC67A1" w14:textId="77777777" w:rsidTr="0039193B">
        <w:trPr>
          <w:trHeight w:val="340"/>
        </w:trPr>
        <w:tc>
          <w:tcPr>
            <w:tcW w:w="2401" w:type="pct"/>
            <w:tcBorders>
              <w:top w:val="single" w:sz="8" w:space="0" w:color="auto"/>
              <w:left w:val="nil"/>
              <w:bottom w:val="single" w:sz="8" w:space="0" w:color="auto"/>
              <w:right w:val="nil"/>
            </w:tcBorders>
            <w:shd w:val="clear" w:color="auto" w:fill="F2F2F2" w:themeFill="background1" w:themeFillShade="F2"/>
            <w:vAlign w:val="center"/>
            <w:hideMark/>
          </w:tcPr>
          <w:p w14:paraId="5FEB3697" w14:textId="77777777"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roofErr w:type="gramStart"/>
            <w:r w:rsidRPr="002D429A">
              <w:rPr>
                <w:rFonts w:eastAsia="Times New Roman"/>
                <w:b/>
                <w:bCs/>
                <w:sz w:val="18"/>
                <w:szCs w:val="18"/>
                <w:bdr w:val="none" w:sz="0" w:space="0" w:color="auto"/>
                <w:lang w:eastAsia="es-ES"/>
              </w:rPr>
              <w:t>TOTAL</w:t>
            </w:r>
            <w:proofErr w:type="gramEnd"/>
            <w:r w:rsidRPr="002D429A">
              <w:rPr>
                <w:rFonts w:eastAsia="Times New Roman"/>
                <w:b/>
                <w:bCs/>
                <w:sz w:val="18"/>
                <w:szCs w:val="18"/>
                <w:bdr w:val="none" w:sz="0" w:space="0" w:color="auto"/>
                <w:lang w:eastAsia="es-ES"/>
              </w:rPr>
              <w:t xml:space="preserve"> PATRIMONIO NETO Y PASIVO</w:t>
            </w:r>
          </w:p>
        </w:tc>
        <w:tc>
          <w:tcPr>
            <w:tcW w:w="668" w:type="pct"/>
            <w:tcBorders>
              <w:top w:val="single" w:sz="8" w:space="0" w:color="auto"/>
              <w:left w:val="nil"/>
              <w:bottom w:val="single" w:sz="8" w:space="0" w:color="auto"/>
              <w:right w:val="nil"/>
            </w:tcBorders>
            <w:shd w:val="clear" w:color="auto" w:fill="F2F2F2" w:themeFill="background1" w:themeFillShade="F2"/>
            <w:vAlign w:val="center"/>
            <w:hideMark/>
          </w:tcPr>
          <w:p w14:paraId="5D9A3085" w14:textId="77777777" w:rsidR="00634704" w:rsidRPr="002D429A" w:rsidRDefault="00634704" w:rsidP="0063470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966" w:type="pct"/>
            <w:tcBorders>
              <w:top w:val="single" w:sz="8" w:space="0" w:color="auto"/>
              <w:left w:val="nil"/>
              <w:bottom w:val="single" w:sz="8" w:space="0" w:color="auto"/>
              <w:right w:val="nil"/>
            </w:tcBorders>
            <w:shd w:val="clear" w:color="auto" w:fill="F2F2F2" w:themeFill="background1" w:themeFillShade="F2"/>
            <w:vAlign w:val="center"/>
          </w:tcPr>
          <w:p w14:paraId="7F444D35" w14:textId="60B9C1A1" w:rsidR="00634704" w:rsidRPr="002F682F" w:rsidRDefault="002F682F" w:rsidP="002F68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56.090.139,25</w:t>
            </w:r>
          </w:p>
        </w:tc>
        <w:tc>
          <w:tcPr>
            <w:tcW w:w="966" w:type="pct"/>
            <w:tcBorders>
              <w:top w:val="single" w:sz="8" w:space="0" w:color="auto"/>
              <w:left w:val="nil"/>
              <w:bottom w:val="single" w:sz="8" w:space="0" w:color="auto"/>
              <w:right w:val="nil"/>
            </w:tcBorders>
            <w:shd w:val="clear" w:color="auto" w:fill="F2F2F2" w:themeFill="background1" w:themeFillShade="F2"/>
            <w:vAlign w:val="center"/>
            <w:hideMark/>
          </w:tcPr>
          <w:p w14:paraId="7A52E3DC" w14:textId="723A342B" w:rsidR="00634704" w:rsidRDefault="00634704" w:rsidP="00634704">
            <w:pPr>
              <w:jc w:val="right"/>
              <w:rPr>
                <w:b/>
                <w:bCs/>
                <w:sz w:val="18"/>
                <w:szCs w:val="18"/>
              </w:rPr>
            </w:pPr>
            <w:r>
              <w:rPr>
                <w:b/>
                <w:bCs/>
                <w:sz w:val="18"/>
                <w:szCs w:val="18"/>
              </w:rPr>
              <w:t>14.259.151,13</w:t>
            </w:r>
          </w:p>
        </w:tc>
      </w:tr>
    </w:tbl>
    <w:p w14:paraId="37991720" w14:textId="3C84F3FB" w:rsidR="003A4111" w:rsidRPr="0083433F" w:rsidRDefault="006220A2"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center"/>
        <w:outlineLvl w:val="0"/>
        <w:rPr>
          <w:b/>
          <w:snapToGrid w:val="0"/>
          <w:sz w:val="20"/>
        </w:rPr>
      </w:pPr>
      <w:r w:rsidRPr="0083433F">
        <w:rPr>
          <w:i/>
          <w:iCs/>
          <w:sz w:val="16"/>
          <w:szCs w:val="18"/>
        </w:rPr>
        <w:t>Las Cuentas Anuales de la Sociedad, que fo</w:t>
      </w:r>
      <w:r w:rsidR="002E3C11">
        <w:rPr>
          <w:i/>
          <w:iCs/>
          <w:sz w:val="16"/>
          <w:szCs w:val="18"/>
        </w:rPr>
        <w:t>r</w:t>
      </w:r>
      <w:r w:rsidRPr="0083433F">
        <w:rPr>
          <w:i/>
          <w:iCs/>
          <w:sz w:val="16"/>
          <w:szCs w:val="18"/>
        </w:rPr>
        <w:t>man una sola unidad, comprenden est</w:t>
      </w:r>
      <w:r w:rsidR="00052BF5">
        <w:rPr>
          <w:i/>
          <w:iCs/>
          <w:sz w:val="16"/>
          <w:szCs w:val="18"/>
        </w:rPr>
        <w:t>e</w:t>
      </w:r>
      <w:r w:rsidRPr="0083433F">
        <w:rPr>
          <w:i/>
          <w:iCs/>
          <w:sz w:val="16"/>
          <w:szCs w:val="18"/>
        </w:rPr>
        <w:t xml:space="preserve"> Balance, la Cuentas de Pérdidas y Ganancias, el Estado de Cambios en el Patrimonio Neto, el Estado de Flujos de Efectivo adjuntos y la Memoria Anual adjunta que </w:t>
      </w:r>
      <w:r w:rsidRPr="00BB2CD8">
        <w:rPr>
          <w:i/>
          <w:iCs/>
          <w:sz w:val="16"/>
          <w:szCs w:val="18"/>
        </w:rPr>
        <w:t xml:space="preserve">consta de </w:t>
      </w:r>
      <w:r w:rsidR="00BC1D00" w:rsidRPr="00BB2CD8">
        <w:rPr>
          <w:i/>
          <w:iCs/>
          <w:sz w:val="16"/>
          <w:szCs w:val="18"/>
        </w:rPr>
        <w:t>20</w:t>
      </w:r>
      <w:r w:rsidRPr="00BB2CD8">
        <w:rPr>
          <w:i/>
          <w:iCs/>
          <w:sz w:val="16"/>
          <w:szCs w:val="18"/>
        </w:rPr>
        <w:t xml:space="preserve"> Notas</w:t>
      </w:r>
      <w:r w:rsidRPr="0083433F">
        <w:rPr>
          <w:b/>
          <w:snapToGrid w:val="0"/>
          <w:sz w:val="20"/>
        </w:rPr>
        <w:br w:type="page"/>
      </w:r>
    </w:p>
    <w:p w14:paraId="07190A5C" w14:textId="77777777" w:rsidR="006220A2" w:rsidRPr="0083433F" w:rsidRDefault="006220A2" w:rsidP="007825C6">
      <w:pPr>
        <w:widowControl w:val="0"/>
        <w:tabs>
          <w:tab w:val="left" w:pos="284"/>
          <w:tab w:val="left" w:pos="567"/>
          <w:tab w:val="left" w:pos="851"/>
        </w:tabs>
        <w:spacing w:line="280" w:lineRule="exact"/>
        <w:rPr>
          <w:b/>
          <w:snapToGrid w:val="0"/>
          <w:sz w:val="20"/>
        </w:rPr>
      </w:pPr>
      <w:r w:rsidRPr="0083433F">
        <w:rPr>
          <w:b/>
          <w:snapToGrid w:val="0"/>
          <w:sz w:val="20"/>
        </w:rPr>
        <w:lastRenderedPageBreak/>
        <w:t>PROMOTUR TURISMO CANARIAS, S.A.</w:t>
      </w:r>
    </w:p>
    <w:p w14:paraId="66AF15D4" w14:textId="53913DD1" w:rsidR="006220A2"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both"/>
        <w:rPr>
          <w:b/>
          <w:bCs/>
          <w:sz w:val="20"/>
        </w:rPr>
      </w:pPr>
      <w:r w:rsidRPr="0083433F">
        <w:rPr>
          <w:b/>
          <w:sz w:val="20"/>
        </w:rPr>
        <w:t>CUENTA DE PÉRDIDAS Y GANANCIAS CORRESPONDIENTE A</w:t>
      </w:r>
      <w:r w:rsidR="002E3C11">
        <w:rPr>
          <w:b/>
          <w:sz w:val="20"/>
        </w:rPr>
        <w:t xml:space="preserve"> </w:t>
      </w:r>
      <w:r w:rsidRPr="0083433F">
        <w:rPr>
          <w:b/>
          <w:sz w:val="20"/>
        </w:rPr>
        <w:t>L</w:t>
      </w:r>
      <w:r w:rsidR="002E3C11">
        <w:rPr>
          <w:b/>
          <w:sz w:val="20"/>
        </w:rPr>
        <w:t>OS</w:t>
      </w:r>
      <w:r w:rsidRPr="0083433F">
        <w:rPr>
          <w:b/>
          <w:sz w:val="20"/>
        </w:rPr>
        <w:t xml:space="preserve"> EJERCICIOS </w:t>
      </w:r>
      <w:r w:rsidR="00801015" w:rsidRPr="0083433F">
        <w:rPr>
          <w:b/>
          <w:sz w:val="20"/>
        </w:rPr>
        <w:t>20</w:t>
      </w:r>
      <w:r w:rsidR="006248B7">
        <w:rPr>
          <w:b/>
          <w:sz w:val="20"/>
        </w:rPr>
        <w:t>2</w:t>
      </w:r>
      <w:r w:rsidR="005A360B">
        <w:rPr>
          <w:b/>
          <w:sz w:val="20"/>
        </w:rPr>
        <w:t>1</w:t>
      </w:r>
      <w:r w:rsidR="00801015" w:rsidRPr="0083433F">
        <w:rPr>
          <w:b/>
          <w:sz w:val="20"/>
        </w:rPr>
        <w:t xml:space="preserve"> Y 20</w:t>
      </w:r>
      <w:r w:rsidR="005A360B">
        <w:rPr>
          <w:b/>
          <w:sz w:val="20"/>
        </w:rPr>
        <w:t>20</w:t>
      </w:r>
      <w:r w:rsidRPr="0083433F">
        <w:rPr>
          <w:b/>
          <w:sz w:val="20"/>
        </w:rPr>
        <w:t xml:space="preserve"> </w:t>
      </w:r>
      <w:r w:rsidRPr="0083433F">
        <w:rPr>
          <w:b/>
          <w:bCs/>
          <w:sz w:val="20"/>
        </w:rPr>
        <w:t>(Expresada en euros)</w:t>
      </w:r>
    </w:p>
    <w:p w14:paraId="65E55EDF" w14:textId="77777777" w:rsidR="006248B7" w:rsidRPr="0083433F" w:rsidRDefault="006248B7"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both"/>
        <w:rPr>
          <w:b/>
          <w:bCs/>
          <w:sz w:val="20"/>
        </w:rPr>
      </w:pPr>
    </w:p>
    <w:tbl>
      <w:tblPr>
        <w:tblW w:w="4994" w:type="pct"/>
        <w:jc w:val="center"/>
        <w:tblLayout w:type="fixed"/>
        <w:tblCellMar>
          <w:left w:w="70" w:type="dxa"/>
          <w:right w:w="70" w:type="dxa"/>
        </w:tblCellMar>
        <w:tblLook w:val="04A0" w:firstRow="1" w:lastRow="0" w:firstColumn="1" w:lastColumn="0" w:noHBand="0" w:noVBand="1"/>
      </w:tblPr>
      <w:tblGrid>
        <w:gridCol w:w="4708"/>
        <w:gridCol w:w="1192"/>
        <w:gridCol w:w="1577"/>
        <w:gridCol w:w="1577"/>
      </w:tblGrid>
      <w:tr w:rsidR="009A2A1E" w:rsidRPr="00992840" w14:paraId="24B71A05" w14:textId="77777777" w:rsidTr="009A2A1E">
        <w:trPr>
          <w:trHeight w:val="340"/>
          <w:jc w:val="center"/>
        </w:trPr>
        <w:tc>
          <w:tcPr>
            <w:tcW w:w="2599" w:type="pct"/>
            <w:tcBorders>
              <w:top w:val="single" w:sz="4" w:space="0" w:color="auto"/>
              <w:left w:val="nil"/>
              <w:bottom w:val="single" w:sz="8" w:space="0" w:color="000000"/>
              <w:right w:val="nil"/>
            </w:tcBorders>
            <w:shd w:val="clear" w:color="auto" w:fill="D9D9D9" w:themeFill="background1" w:themeFillShade="D9"/>
            <w:noWrap/>
            <w:vAlign w:val="bottom"/>
            <w:hideMark/>
          </w:tcPr>
          <w:p w14:paraId="2B7590B1" w14:textId="77777777" w:rsidR="00BE76DE" w:rsidRPr="00992840" w:rsidRDefault="00BE76DE" w:rsidP="00B05CA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bookmarkStart w:id="0" w:name="RANGE!A1:E28"/>
            <w:r w:rsidRPr="00992840">
              <w:rPr>
                <w:rFonts w:eastAsia="Times New Roman"/>
                <w:b/>
                <w:bCs/>
                <w:sz w:val="18"/>
                <w:szCs w:val="18"/>
                <w:bdr w:val="none" w:sz="0" w:space="0" w:color="auto"/>
                <w:lang w:eastAsia="es-ES"/>
              </w:rPr>
              <w:t>CUENTA DE PÉRDIDAS Y GANANCIAS</w:t>
            </w:r>
            <w:bookmarkEnd w:id="0"/>
          </w:p>
        </w:tc>
        <w:tc>
          <w:tcPr>
            <w:tcW w:w="658" w:type="pct"/>
            <w:tcBorders>
              <w:top w:val="single" w:sz="4" w:space="0" w:color="auto"/>
              <w:left w:val="nil"/>
              <w:right w:val="nil"/>
            </w:tcBorders>
            <w:shd w:val="clear" w:color="auto" w:fill="D9D9D9" w:themeFill="background1" w:themeFillShade="D9"/>
            <w:noWrap/>
            <w:vAlign w:val="bottom"/>
            <w:hideMark/>
          </w:tcPr>
          <w:p w14:paraId="68D38020" w14:textId="77777777" w:rsidR="00052BF5" w:rsidRDefault="00052BF5" w:rsidP="00052BF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Nota</w:t>
            </w:r>
            <w:r>
              <w:rPr>
                <w:rFonts w:eastAsia="Times New Roman"/>
                <w:b/>
                <w:bCs/>
                <w:sz w:val="18"/>
                <w:szCs w:val="18"/>
                <w:bdr w:val="none" w:sz="0" w:space="0" w:color="auto"/>
                <w:lang w:eastAsia="es-ES"/>
              </w:rPr>
              <w:t>s</w:t>
            </w:r>
          </w:p>
          <w:p w14:paraId="583C9D8E" w14:textId="14E73DF8" w:rsidR="00BE76DE" w:rsidRPr="00992840" w:rsidRDefault="00052BF5" w:rsidP="00052BF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Pr>
                <w:rFonts w:eastAsia="Times New Roman"/>
                <w:b/>
                <w:bCs/>
                <w:sz w:val="18"/>
                <w:szCs w:val="18"/>
                <w:bdr w:val="none" w:sz="0" w:space="0" w:color="auto"/>
                <w:lang w:eastAsia="es-ES"/>
              </w:rPr>
              <w:t>Memoria</w:t>
            </w:r>
          </w:p>
        </w:tc>
        <w:tc>
          <w:tcPr>
            <w:tcW w:w="871" w:type="pct"/>
            <w:tcBorders>
              <w:top w:val="single" w:sz="4" w:space="0" w:color="auto"/>
              <w:left w:val="nil"/>
              <w:right w:val="nil"/>
            </w:tcBorders>
            <w:shd w:val="clear" w:color="auto" w:fill="D9D9D9" w:themeFill="background1" w:themeFillShade="D9"/>
            <w:noWrap/>
            <w:vAlign w:val="bottom"/>
          </w:tcPr>
          <w:p w14:paraId="287546D3" w14:textId="110AACAB" w:rsidR="00BE76DE" w:rsidRPr="00992840" w:rsidRDefault="00BE76DE" w:rsidP="00B05CA5">
            <w:pPr>
              <w:jc w:val="center"/>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202</w:t>
            </w:r>
            <w:r w:rsidR="00EC7B18">
              <w:rPr>
                <w:rFonts w:eastAsia="Times New Roman"/>
                <w:b/>
                <w:bCs/>
                <w:sz w:val="18"/>
                <w:szCs w:val="18"/>
                <w:bdr w:val="none" w:sz="0" w:space="0" w:color="auto"/>
                <w:lang w:eastAsia="es-ES"/>
              </w:rPr>
              <w:t>1</w:t>
            </w:r>
          </w:p>
        </w:tc>
        <w:tc>
          <w:tcPr>
            <w:tcW w:w="871" w:type="pct"/>
            <w:tcBorders>
              <w:top w:val="single" w:sz="4" w:space="0" w:color="auto"/>
              <w:left w:val="nil"/>
              <w:right w:val="nil"/>
            </w:tcBorders>
            <w:shd w:val="clear" w:color="auto" w:fill="D9D9D9" w:themeFill="background1" w:themeFillShade="D9"/>
            <w:noWrap/>
            <w:vAlign w:val="bottom"/>
          </w:tcPr>
          <w:p w14:paraId="362AD842" w14:textId="1ED81246" w:rsidR="00BE76DE" w:rsidRPr="00992840" w:rsidRDefault="00BE76DE" w:rsidP="00B05CA5">
            <w:pPr>
              <w:jc w:val="center"/>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20</w:t>
            </w:r>
            <w:r w:rsidR="00EC7B18">
              <w:rPr>
                <w:rFonts w:eastAsia="Times New Roman"/>
                <w:b/>
                <w:bCs/>
                <w:sz w:val="18"/>
                <w:szCs w:val="18"/>
                <w:bdr w:val="none" w:sz="0" w:space="0" w:color="auto"/>
                <w:lang w:eastAsia="es-ES"/>
              </w:rPr>
              <w:t>20</w:t>
            </w:r>
          </w:p>
        </w:tc>
      </w:tr>
      <w:tr w:rsidR="009A2A1E" w:rsidRPr="00992840" w14:paraId="662CA909" w14:textId="77777777" w:rsidTr="009A2A1E">
        <w:trPr>
          <w:trHeight w:val="340"/>
          <w:jc w:val="center"/>
        </w:trPr>
        <w:tc>
          <w:tcPr>
            <w:tcW w:w="2599" w:type="pct"/>
            <w:tcBorders>
              <w:top w:val="nil"/>
              <w:left w:val="nil"/>
              <w:bottom w:val="nil"/>
              <w:right w:val="nil"/>
            </w:tcBorders>
            <w:shd w:val="clear" w:color="auto" w:fill="auto"/>
            <w:noWrap/>
            <w:vAlign w:val="center"/>
            <w:hideMark/>
          </w:tcPr>
          <w:p w14:paraId="3FF3A06D"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992840">
              <w:rPr>
                <w:rFonts w:eastAsia="Times New Roman"/>
                <w:b/>
                <w:bCs/>
                <w:sz w:val="18"/>
                <w:szCs w:val="18"/>
                <w:u w:val="single"/>
                <w:bdr w:val="none" w:sz="0" w:space="0" w:color="auto"/>
                <w:lang w:eastAsia="es-ES"/>
              </w:rPr>
              <w:t>OPERACIONES CONTINUADAS</w:t>
            </w:r>
          </w:p>
        </w:tc>
        <w:tc>
          <w:tcPr>
            <w:tcW w:w="658" w:type="pct"/>
            <w:tcBorders>
              <w:top w:val="single" w:sz="8" w:space="0" w:color="auto"/>
              <w:left w:val="nil"/>
              <w:bottom w:val="nil"/>
              <w:right w:val="nil"/>
            </w:tcBorders>
            <w:shd w:val="clear" w:color="auto" w:fill="auto"/>
            <w:noWrap/>
            <w:vAlign w:val="center"/>
            <w:hideMark/>
          </w:tcPr>
          <w:p w14:paraId="005E5BF4" w14:textId="303BF456" w:rsidR="00B05CA5" w:rsidRPr="00F61C20" w:rsidRDefault="00B05CA5"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single" w:sz="8" w:space="0" w:color="auto"/>
              <w:left w:val="nil"/>
              <w:bottom w:val="nil"/>
              <w:right w:val="nil"/>
            </w:tcBorders>
            <w:shd w:val="clear" w:color="auto" w:fill="auto"/>
            <w:noWrap/>
            <w:vAlign w:val="center"/>
            <w:hideMark/>
          </w:tcPr>
          <w:p w14:paraId="3EFA57C3"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w:t>
            </w:r>
          </w:p>
        </w:tc>
        <w:tc>
          <w:tcPr>
            <w:tcW w:w="871" w:type="pct"/>
            <w:tcBorders>
              <w:top w:val="single" w:sz="8" w:space="0" w:color="auto"/>
              <w:left w:val="nil"/>
              <w:bottom w:val="nil"/>
              <w:right w:val="nil"/>
            </w:tcBorders>
            <w:shd w:val="clear" w:color="auto" w:fill="auto"/>
            <w:noWrap/>
            <w:vAlign w:val="center"/>
            <w:hideMark/>
          </w:tcPr>
          <w:p w14:paraId="2505AF8E"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w:t>
            </w:r>
          </w:p>
        </w:tc>
      </w:tr>
      <w:tr w:rsidR="009A2A1E" w:rsidRPr="00992840" w14:paraId="1B9D5023" w14:textId="77777777" w:rsidTr="009A2A1E">
        <w:trPr>
          <w:trHeight w:val="340"/>
          <w:jc w:val="center"/>
        </w:trPr>
        <w:tc>
          <w:tcPr>
            <w:tcW w:w="2599" w:type="pct"/>
            <w:tcBorders>
              <w:top w:val="nil"/>
              <w:left w:val="nil"/>
              <w:bottom w:val="nil"/>
              <w:right w:val="nil"/>
            </w:tcBorders>
            <w:shd w:val="clear" w:color="auto" w:fill="auto"/>
            <w:noWrap/>
            <w:vAlign w:val="center"/>
            <w:hideMark/>
          </w:tcPr>
          <w:p w14:paraId="5A5D9EED"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Importe neto de la cifra de negocios</w:t>
            </w:r>
          </w:p>
        </w:tc>
        <w:tc>
          <w:tcPr>
            <w:tcW w:w="658" w:type="pct"/>
            <w:tcBorders>
              <w:top w:val="nil"/>
              <w:left w:val="nil"/>
              <w:bottom w:val="nil"/>
              <w:right w:val="nil"/>
            </w:tcBorders>
            <w:shd w:val="clear" w:color="auto" w:fill="auto"/>
            <w:noWrap/>
            <w:vAlign w:val="center"/>
            <w:hideMark/>
          </w:tcPr>
          <w:p w14:paraId="54A6D013" w14:textId="3B42D73B"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12.a</w:t>
            </w:r>
            <w:r w:rsidR="009A2A1E">
              <w:rPr>
                <w:rFonts w:eastAsia="Times New Roman"/>
                <w:b/>
                <w:bCs/>
                <w:sz w:val="18"/>
                <w:szCs w:val="18"/>
                <w:bdr w:val="none" w:sz="0" w:space="0" w:color="auto"/>
                <w:lang w:eastAsia="es-ES"/>
              </w:rPr>
              <w:t xml:space="preserve"> y 17.a</w:t>
            </w:r>
          </w:p>
        </w:tc>
        <w:tc>
          <w:tcPr>
            <w:tcW w:w="871" w:type="pct"/>
            <w:tcBorders>
              <w:top w:val="nil"/>
              <w:left w:val="nil"/>
              <w:bottom w:val="nil"/>
              <w:right w:val="nil"/>
            </w:tcBorders>
            <w:shd w:val="clear" w:color="auto" w:fill="auto"/>
            <w:noWrap/>
            <w:vAlign w:val="center"/>
          </w:tcPr>
          <w:p w14:paraId="1E894AE9" w14:textId="1C2F5DC3" w:rsidR="005E201B" w:rsidRPr="00085996"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085996">
              <w:rPr>
                <w:b/>
                <w:bCs/>
                <w:sz w:val="18"/>
                <w:szCs w:val="18"/>
              </w:rPr>
              <w:t>236.170,83</w:t>
            </w:r>
          </w:p>
        </w:tc>
        <w:tc>
          <w:tcPr>
            <w:tcW w:w="871" w:type="pct"/>
            <w:tcBorders>
              <w:top w:val="nil"/>
              <w:left w:val="nil"/>
              <w:bottom w:val="nil"/>
              <w:right w:val="nil"/>
            </w:tcBorders>
            <w:shd w:val="clear" w:color="auto" w:fill="auto"/>
            <w:noWrap/>
            <w:vAlign w:val="center"/>
            <w:hideMark/>
          </w:tcPr>
          <w:p w14:paraId="140B969A" w14:textId="69416B1D"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 xml:space="preserve">120.434,00   </w:t>
            </w:r>
          </w:p>
        </w:tc>
      </w:tr>
      <w:tr w:rsidR="009A2A1E" w:rsidRPr="00992840" w14:paraId="7977E99B" w14:textId="77777777" w:rsidTr="009A2A1E">
        <w:trPr>
          <w:trHeight w:val="240"/>
          <w:jc w:val="center"/>
        </w:trPr>
        <w:tc>
          <w:tcPr>
            <w:tcW w:w="2599" w:type="pct"/>
            <w:tcBorders>
              <w:top w:val="nil"/>
              <w:left w:val="nil"/>
              <w:bottom w:val="nil"/>
              <w:right w:val="nil"/>
            </w:tcBorders>
            <w:shd w:val="clear" w:color="auto" w:fill="auto"/>
            <w:noWrap/>
            <w:vAlign w:val="center"/>
            <w:hideMark/>
          </w:tcPr>
          <w:p w14:paraId="7D181F69"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Prestaciones de servicios</w:t>
            </w:r>
          </w:p>
        </w:tc>
        <w:tc>
          <w:tcPr>
            <w:tcW w:w="658" w:type="pct"/>
            <w:tcBorders>
              <w:top w:val="nil"/>
              <w:left w:val="nil"/>
              <w:bottom w:val="nil"/>
              <w:right w:val="nil"/>
            </w:tcBorders>
            <w:shd w:val="clear" w:color="auto" w:fill="auto"/>
            <w:noWrap/>
            <w:vAlign w:val="center"/>
            <w:hideMark/>
          </w:tcPr>
          <w:p w14:paraId="2179F10A"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5E20C3B4" w14:textId="602CBD8E"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236.170,83</w:t>
            </w:r>
          </w:p>
        </w:tc>
        <w:tc>
          <w:tcPr>
            <w:tcW w:w="871" w:type="pct"/>
            <w:tcBorders>
              <w:top w:val="nil"/>
              <w:left w:val="nil"/>
              <w:bottom w:val="nil"/>
              <w:right w:val="nil"/>
            </w:tcBorders>
            <w:shd w:val="clear" w:color="auto" w:fill="auto"/>
            <w:noWrap/>
            <w:vAlign w:val="center"/>
            <w:hideMark/>
          </w:tcPr>
          <w:p w14:paraId="2A00BDA3" w14:textId="46781B23"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xml:space="preserve">120.434,00   </w:t>
            </w:r>
          </w:p>
        </w:tc>
      </w:tr>
      <w:tr w:rsidR="009A2A1E" w:rsidRPr="00992840" w14:paraId="4AD90003" w14:textId="77777777" w:rsidTr="009A2A1E">
        <w:trPr>
          <w:trHeight w:val="340"/>
          <w:jc w:val="center"/>
        </w:trPr>
        <w:tc>
          <w:tcPr>
            <w:tcW w:w="2599" w:type="pct"/>
            <w:tcBorders>
              <w:top w:val="nil"/>
              <w:left w:val="nil"/>
              <w:bottom w:val="nil"/>
              <w:right w:val="nil"/>
            </w:tcBorders>
            <w:shd w:val="clear" w:color="auto" w:fill="auto"/>
            <w:noWrap/>
            <w:vAlign w:val="center"/>
            <w:hideMark/>
          </w:tcPr>
          <w:p w14:paraId="0849E5E2"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Aprovisionamientos</w:t>
            </w:r>
          </w:p>
        </w:tc>
        <w:tc>
          <w:tcPr>
            <w:tcW w:w="658" w:type="pct"/>
            <w:tcBorders>
              <w:top w:val="nil"/>
              <w:left w:val="nil"/>
              <w:bottom w:val="nil"/>
              <w:right w:val="nil"/>
            </w:tcBorders>
            <w:shd w:val="clear" w:color="auto" w:fill="auto"/>
            <w:noWrap/>
            <w:vAlign w:val="center"/>
            <w:hideMark/>
          </w:tcPr>
          <w:p w14:paraId="1604CB46"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12.b</w:t>
            </w:r>
          </w:p>
        </w:tc>
        <w:tc>
          <w:tcPr>
            <w:tcW w:w="871" w:type="pct"/>
            <w:tcBorders>
              <w:top w:val="nil"/>
              <w:left w:val="nil"/>
              <w:bottom w:val="nil"/>
              <w:right w:val="nil"/>
            </w:tcBorders>
            <w:shd w:val="clear" w:color="auto" w:fill="auto"/>
            <w:noWrap/>
            <w:vAlign w:val="center"/>
          </w:tcPr>
          <w:p w14:paraId="50F6EA6F" w14:textId="2F70E7E0"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(40.679.814,47)</w:t>
            </w:r>
          </w:p>
        </w:tc>
        <w:tc>
          <w:tcPr>
            <w:tcW w:w="871" w:type="pct"/>
            <w:tcBorders>
              <w:top w:val="nil"/>
              <w:left w:val="nil"/>
              <w:bottom w:val="nil"/>
              <w:right w:val="nil"/>
            </w:tcBorders>
            <w:shd w:val="clear" w:color="auto" w:fill="auto"/>
            <w:noWrap/>
            <w:vAlign w:val="center"/>
            <w:hideMark/>
          </w:tcPr>
          <w:p w14:paraId="2B8C9265" w14:textId="45FC9EB2"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(18.444.592,17)</w:t>
            </w:r>
          </w:p>
        </w:tc>
      </w:tr>
      <w:tr w:rsidR="009A2A1E" w:rsidRPr="00992840" w14:paraId="6A349C6C" w14:textId="77777777" w:rsidTr="009A2A1E">
        <w:trPr>
          <w:trHeight w:val="240"/>
          <w:jc w:val="center"/>
        </w:trPr>
        <w:tc>
          <w:tcPr>
            <w:tcW w:w="2599" w:type="pct"/>
            <w:tcBorders>
              <w:top w:val="nil"/>
              <w:left w:val="nil"/>
              <w:bottom w:val="nil"/>
              <w:right w:val="nil"/>
            </w:tcBorders>
            <w:shd w:val="clear" w:color="auto" w:fill="auto"/>
            <w:noWrap/>
            <w:vAlign w:val="center"/>
            <w:hideMark/>
          </w:tcPr>
          <w:p w14:paraId="01E24C55"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Trabajos realizados por otras empresas</w:t>
            </w:r>
          </w:p>
        </w:tc>
        <w:tc>
          <w:tcPr>
            <w:tcW w:w="658" w:type="pct"/>
            <w:tcBorders>
              <w:top w:val="nil"/>
              <w:left w:val="nil"/>
              <w:bottom w:val="nil"/>
              <w:right w:val="nil"/>
            </w:tcBorders>
            <w:shd w:val="clear" w:color="auto" w:fill="auto"/>
            <w:noWrap/>
            <w:vAlign w:val="center"/>
            <w:hideMark/>
          </w:tcPr>
          <w:p w14:paraId="6197192A"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7CAD5A9D" w14:textId="197C3672"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(40.679.814,47)</w:t>
            </w:r>
          </w:p>
        </w:tc>
        <w:tc>
          <w:tcPr>
            <w:tcW w:w="871" w:type="pct"/>
            <w:tcBorders>
              <w:top w:val="nil"/>
              <w:left w:val="nil"/>
              <w:bottom w:val="nil"/>
              <w:right w:val="nil"/>
            </w:tcBorders>
            <w:shd w:val="clear" w:color="auto" w:fill="auto"/>
            <w:noWrap/>
            <w:vAlign w:val="center"/>
            <w:hideMark/>
          </w:tcPr>
          <w:p w14:paraId="217A41A2" w14:textId="2E7D2A18"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(18.444.592,17)</w:t>
            </w:r>
          </w:p>
        </w:tc>
      </w:tr>
      <w:tr w:rsidR="009A2A1E" w:rsidRPr="00992840" w14:paraId="27B5ED4D" w14:textId="77777777" w:rsidTr="009A2A1E">
        <w:trPr>
          <w:trHeight w:val="340"/>
          <w:jc w:val="center"/>
        </w:trPr>
        <w:tc>
          <w:tcPr>
            <w:tcW w:w="2599" w:type="pct"/>
            <w:tcBorders>
              <w:top w:val="nil"/>
              <w:left w:val="nil"/>
              <w:bottom w:val="nil"/>
              <w:right w:val="nil"/>
            </w:tcBorders>
            <w:shd w:val="clear" w:color="auto" w:fill="auto"/>
            <w:noWrap/>
            <w:vAlign w:val="center"/>
            <w:hideMark/>
          </w:tcPr>
          <w:p w14:paraId="7F61BA64" w14:textId="77777777" w:rsidR="005E201B" w:rsidRPr="00BB2CD8"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BB2CD8">
              <w:rPr>
                <w:rFonts w:eastAsia="Times New Roman"/>
                <w:b/>
                <w:bCs/>
                <w:sz w:val="18"/>
                <w:szCs w:val="18"/>
                <w:bdr w:val="none" w:sz="0" w:space="0" w:color="auto"/>
                <w:lang w:eastAsia="es-ES"/>
              </w:rPr>
              <w:t>Otros ingresos de explotación</w:t>
            </w:r>
          </w:p>
        </w:tc>
        <w:tc>
          <w:tcPr>
            <w:tcW w:w="658" w:type="pct"/>
            <w:tcBorders>
              <w:top w:val="nil"/>
              <w:left w:val="nil"/>
              <w:bottom w:val="nil"/>
              <w:right w:val="nil"/>
            </w:tcBorders>
            <w:shd w:val="clear" w:color="auto" w:fill="auto"/>
            <w:noWrap/>
            <w:vAlign w:val="center"/>
            <w:hideMark/>
          </w:tcPr>
          <w:p w14:paraId="63388264"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12.a</w:t>
            </w:r>
          </w:p>
        </w:tc>
        <w:tc>
          <w:tcPr>
            <w:tcW w:w="871" w:type="pct"/>
            <w:tcBorders>
              <w:top w:val="nil"/>
              <w:left w:val="nil"/>
              <w:bottom w:val="nil"/>
              <w:right w:val="nil"/>
            </w:tcBorders>
            <w:shd w:val="clear" w:color="auto" w:fill="auto"/>
            <w:noWrap/>
            <w:vAlign w:val="center"/>
          </w:tcPr>
          <w:p w14:paraId="09EF1E1C" w14:textId="4D41847C" w:rsidR="005E201B" w:rsidRPr="00BB2CD8"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BB2CD8">
              <w:rPr>
                <w:b/>
                <w:bCs/>
                <w:sz w:val="18"/>
                <w:szCs w:val="18"/>
              </w:rPr>
              <w:t>41.072.151,99</w:t>
            </w:r>
          </w:p>
        </w:tc>
        <w:tc>
          <w:tcPr>
            <w:tcW w:w="871" w:type="pct"/>
            <w:tcBorders>
              <w:top w:val="nil"/>
              <w:left w:val="nil"/>
              <w:bottom w:val="nil"/>
              <w:right w:val="nil"/>
            </w:tcBorders>
            <w:shd w:val="clear" w:color="auto" w:fill="auto"/>
            <w:noWrap/>
            <w:vAlign w:val="center"/>
            <w:hideMark/>
          </w:tcPr>
          <w:p w14:paraId="3562BB3D" w14:textId="1D80D872"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 xml:space="preserve">18.625.300,39   </w:t>
            </w:r>
          </w:p>
        </w:tc>
      </w:tr>
      <w:tr w:rsidR="009A2A1E" w:rsidRPr="00992840" w14:paraId="726D69A1" w14:textId="77777777" w:rsidTr="009A2A1E">
        <w:trPr>
          <w:trHeight w:val="240"/>
          <w:jc w:val="center"/>
        </w:trPr>
        <w:tc>
          <w:tcPr>
            <w:tcW w:w="2599" w:type="pct"/>
            <w:tcBorders>
              <w:top w:val="nil"/>
              <w:left w:val="nil"/>
              <w:bottom w:val="nil"/>
              <w:right w:val="nil"/>
            </w:tcBorders>
            <w:shd w:val="clear" w:color="auto" w:fill="auto"/>
            <w:noWrap/>
            <w:vAlign w:val="center"/>
            <w:hideMark/>
          </w:tcPr>
          <w:p w14:paraId="095D6A28"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Ingresos accesorios y otros de gestión corriente</w:t>
            </w:r>
          </w:p>
        </w:tc>
        <w:tc>
          <w:tcPr>
            <w:tcW w:w="658" w:type="pct"/>
            <w:tcBorders>
              <w:top w:val="nil"/>
              <w:left w:val="nil"/>
              <w:bottom w:val="nil"/>
              <w:right w:val="nil"/>
            </w:tcBorders>
            <w:shd w:val="clear" w:color="auto" w:fill="auto"/>
            <w:noWrap/>
            <w:vAlign w:val="center"/>
            <w:hideMark/>
          </w:tcPr>
          <w:p w14:paraId="5FBE496F"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22141D6A" w14:textId="6584776A"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118.400,67</w:t>
            </w:r>
          </w:p>
        </w:tc>
        <w:tc>
          <w:tcPr>
            <w:tcW w:w="871" w:type="pct"/>
            <w:tcBorders>
              <w:top w:val="nil"/>
              <w:left w:val="nil"/>
              <w:bottom w:val="nil"/>
              <w:right w:val="nil"/>
            </w:tcBorders>
            <w:shd w:val="clear" w:color="auto" w:fill="auto"/>
            <w:noWrap/>
            <w:vAlign w:val="center"/>
            <w:hideMark/>
          </w:tcPr>
          <w:p w14:paraId="78B9292C" w14:textId="53F309BF"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xml:space="preserve">144.798,15   </w:t>
            </w:r>
          </w:p>
        </w:tc>
      </w:tr>
      <w:tr w:rsidR="009A2A1E" w:rsidRPr="00992840" w14:paraId="3B99A28B" w14:textId="77777777" w:rsidTr="009A2A1E">
        <w:trPr>
          <w:trHeight w:val="240"/>
          <w:jc w:val="center"/>
        </w:trPr>
        <w:tc>
          <w:tcPr>
            <w:tcW w:w="2599" w:type="pct"/>
            <w:tcBorders>
              <w:top w:val="nil"/>
              <w:left w:val="nil"/>
              <w:bottom w:val="nil"/>
              <w:right w:val="nil"/>
            </w:tcBorders>
            <w:shd w:val="clear" w:color="auto" w:fill="auto"/>
            <w:noWrap/>
            <w:vAlign w:val="center"/>
          </w:tcPr>
          <w:p w14:paraId="6A7A2E03"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Subvenciones de explotación incorporadas al resultado</w:t>
            </w:r>
          </w:p>
        </w:tc>
        <w:tc>
          <w:tcPr>
            <w:tcW w:w="658" w:type="pct"/>
            <w:tcBorders>
              <w:top w:val="nil"/>
              <w:left w:val="nil"/>
              <w:bottom w:val="nil"/>
              <w:right w:val="nil"/>
            </w:tcBorders>
            <w:shd w:val="clear" w:color="auto" w:fill="auto"/>
            <w:noWrap/>
            <w:vAlign w:val="center"/>
          </w:tcPr>
          <w:p w14:paraId="6C4411EA" w14:textId="60FB1EED"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F61C20">
              <w:rPr>
                <w:rFonts w:eastAsia="Times New Roman"/>
                <w:sz w:val="18"/>
                <w:szCs w:val="18"/>
                <w:bdr w:val="none" w:sz="0" w:space="0" w:color="auto"/>
                <w:lang w:eastAsia="es-ES"/>
              </w:rPr>
              <w:t>15.2</w:t>
            </w:r>
            <w:r w:rsidR="005873E7">
              <w:rPr>
                <w:rFonts w:eastAsia="Times New Roman"/>
                <w:sz w:val="18"/>
                <w:szCs w:val="18"/>
                <w:bdr w:val="none" w:sz="0" w:space="0" w:color="auto"/>
                <w:lang w:eastAsia="es-ES"/>
              </w:rPr>
              <w:t xml:space="preserve"> y 17.a</w:t>
            </w:r>
          </w:p>
        </w:tc>
        <w:tc>
          <w:tcPr>
            <w:tcW w:w="871" w:type="pct"/>
            <w:tcBorders>
              <w:top w:val="nil"/>
              <w:left w:val="nil"/>
              <w:bottom w:val="nil"/>
              <w:right w:val="nil"/>
            </w:tcBorders>
            <w:shd w:val="clear" w:color="auto" w:fill="auto"/>
            <w:noWrap/>
            <w:vAlign w:val="center"/>
          </w:tcPr>
          <w:p w14:paraId="0A701C45" w14:textId="25E60CB4" w:rsidR="005E201B" w:rsidRPr="00085996"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85996">
              <w:rPr>
                <w:sz w:val="18"/>
                <w:szCs w:val="18"/>
              </w:rPr>
              <w:t>40.953.751,32</w:t>
            </w:r>
          </w:p>
        </w:tc>
        <w:tc>
          <w:tcPr>
            <w:tcW w:w="871" w:type="pct"/>
            <w:tcBorders>
              <w:top w:val="nil"/>
              <w:left w:val="nil"/>
              <w:bottom w:val="nil"/>
              <w:right w:val="nil"/>
            </w:tcBorders>
            <w:shd w:val="clear" w:color="auto" w:fill="auto"/>
            <w:noWrap/>
            <w:vAlign w:val="center"/>
          </w:tcPr>
          <w:p w14:paraId="09F94A07" w14:textId="31F4ED54"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xml:space="preserve">18.480.502,24   </w:t>
            </w:r>
          </w:p>
        </w:tc>
      </w:tr>
      <w:tr w:rsidR="009A2A1E" w:rsidRPr="00992840" w14:paraId="3CC473FB" w14:textId="77777777" w:rsidTr="009A2A1E">
        <w:trPr>
          <w:trHeight w:val="340"/>
          <w:jc w:val="center"/>
        </w:trPr>
        <w:tc>
          <w:tcPr>
            <w:tcW w:w="2599" w:type="pct"/>
            <w:tcBorders>
              <w:top w:val="nil"/>
              <w:left w:val="nil"/>
              <w:bottom w:val="nil"/>
              <w:right w:val="nil"/>
            </w:tcBorders>
            <w:shd w:val="clear" w:color="auto" w:fill="auto"/>
            <w:noWrap/>
            <w:vAlign w:val="center"/>
            <w:hideMark/>
          </w:tcPr>
          <w:p w14:paraId="0FFD8A96"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Gastos de personal</w:t>
            </w:r>
          </w:p>
        </w:tc>
        <w:tc>
          <w:tcPr>
            <w:tcW w:w="658" w:type="pct"/>
            <w:tcBorders>
              <w:top w:val="nil"/>
              <w:left w:val="nil"/>
              <w:bottom w:val="nil"/>
              <w:right w:val="nil"/>
            </w:tcBorders>
            <w:shd w:val="clear" w:color="auto" w:fill="auto"/>
            <w:noWrap/>
            <w:vAlign w:val="center"/>
            <w:hideMark/>
          </w:tcPr>
          <w:p w14:paraId="0CBA590A"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12.c</w:t>
            </w:r>
          </w:p>
        </w:tc>
        <w:tc>
          <w:tcPr>
            <w:tcW w:w="871" w:type="pct"/>
            <w:tcBorders>
              <w:top w:val="nil"/>
              <w:left w:val="nil"/>
              <w:bottom w:val="nil"/>
              <w:right w:val="nil"/>
            </w:tcBorders>
            <w:shd w:val="clear" w:color="auto" w:fill="auto"/>
            <w:noWrap/>
            <w:vAlign w:val="center"/>
          </w:tcPr>
          <w:p w14:paraId="63F67F1E" w14:textId="05821E26"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(2.429.649,78)</w:t>
            </w:r>
          </w:p>
        </w:tc>
        <w:tc>
          <w:tcPr>
            <w:tcW w:w="871" w:type="pct"/>
            <w:tcBorders>
              <w:top w:val="nil"/>
              <w:left w:val="nil"/>
              <w:bottom w:val="nil"/>
              <w:right w:val="nil"/>
            </w:tcBorders>
            <w:shd w:val="clear" w:color="auto" w:fill="auto"/>
            <w:noWrap/>
            <w:vAlign w:val="center"/>
            <w:hideMark/>
          </w:tcPr>
          <w:p w14:paraId="02777B5E" w14:textId="14BBADB9"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(2.041.832,29)</w:t>
            </w:r>
          </w:p>
        </w:tc>
      </w:tr>
      <w:tr w:rsidR="009A2A1E" w:rsidRPr="00992840" w14:paraId="70551B2D" w14:textId="77777777" w:rsidTr="009A2A1E">
        <w:trPr>
          <w:trHeight w:val="240"/>
          <w:jc w:val="center"/>
        </w:trPr>
        <w:tc>
          <w:tcPr>
            <w:tcW w:w="2599" w:type="pct"/>
            <w:tcBorders>
              <w:top w:val="nil"/>
              <w:left w:val="nil"/>
              <w:bottom w:val="nil"/>
              <w:right w:val="nil"/>
            </w:tcBorders>
            <w:shd w:val="clear" w:color="auto" w:fill="auto"/>
            <w:noWrap/>
            <w:vAlign w:val="center"/>
            <w:hideMark/>
          </w:tcPr>
          <w:p w14:paraId="57A22BD1"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Sueldos, salarios y asimilados</w:t>
            </w:r>
          </w:p>
        </w:tc>
        <w:tc>
          <w:tcPr>
            <w:tcW w:w="658" w:type="pct"/>
            <w:tcBorders>
              <w:top w:val="nil"/>
              <w:left w:val="nil"/>
              <w:bottom w:val="nil"/>
              <w:right w:val="nil"/>
            </w:tcBorders>
            <w:shd w:val="clear" w:color="auto" w:fill="auto"/>
            <w:noWrap/>
            <w:vAlign w:val="center"/>
            <w:hideMark/>
          </w:tcPr>
          <w:p w14:paraId="0377D449"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2717A274" w14:textId="6BCB599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(1.928.693,19)</w:t>
            </w:r>
          </w:p>
        </w:tc>
        <w:tc>
          <w:tcPr>
            <w:tcW w:w="871" w:type="pct"/>
            <w:tcBorders>
              <w:top w:val="nil"/>
              <w:left w:val="nil"/>
              <w:bottom w:val="nil"/>
              <w:right w:val="nil"/>
            </w:tcBorders>
            <w:shd w:val="clear" w:color="auto" w:fill="auto"/>
            <w:noWrap/>
            <w:vAlign w:val="center"/>
            <w:hideMark/>
          </w:tcPr>
          <w:p w14:paraId="50BFFCE1" w14:textId="62EF10DD"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(1.592.705,61)</w:t>
            </w:r>
          </w:p>
        </w:tc>
      </w:tr>
      <w:tr w:rsidR="009A2A1E" w:rsidRPr="00992840" w14:paraId="06494A80" w14:textId="77777777" w:rsidTr="009A2A1E">
        <w:trPr>
          <w:trHeight w:val="240"/>
          <w:jc w:val="center"/>
        </w:trPr>
        <w:tc>
          <w:tcPr>
            <w:tcW w:w="2599" w:type="pct"/>
            <w:tcBorders>
              <w:top w:val="nil"/>
              <w:left w:val="nil"/>
              <w:bottom w:val="nil"/>
              <w:right w:val="nil"/>
            </w:tcBorders>
            <w:shd w:val="clear" w:color="auto" w:fill="auto"/>
            <w:noWrap/>
            <w:vAlign w:val="center"/>
            <w:hideMark/>
          </w:tcPr>
          <w:p w14:paraId="0C008C94"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Cargas sociales</w:t>
            </w:r>
          </w:p>
        </w:tc>
        <w:tc>
          <w:tcPr>
            <w:tcW w:w="658" w:type="pct"/>
            <w:tcBorders>
              <w:top w:val="nil"/>
              <w:left w:val="nil"/>
              <w:bottom w:val="nil"/>
              <w:right w:val="nil"/>
            </w:tcBorders>
            <w:shd w:val="clear" w:color="auto" w:fill="auto"/>
            <w:noWrap/>
            <w:vAlign w:val="center"/>
            <w:hideMark/>
          </w:tcPr>
          <w:p w14:paraId="0C1DCDBB"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6E6A28BE" w14:textId="7338E220"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(500.956,59)</w:t>
            </w:r>
          </w:p>
        </w:tc>
        <w:tc>
          <w:tcPr>
            <w:tcW w:w="871" w:type="pct"/>
            <w:tcBorders>
              <w:top w:val="nil"/>
              <w:left w:val="nil"/>
              <w:bottom w:val="nil"/>
              <w:right w:val="nil"/>
            </w:tcBorders>
            <w:shd w:val="clear" w:color="auto" w:fill="auto"/>
            <w:noWrap/>
            <w:vAlign w:val="center"/>
            <w:hideMark/>
          </w:tcPr>
          <w:p w14:paraId="79A9E87F" w14:textId="6D31A19A"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(449.126,68)</w:t>
            </w:r>
          </w:p>
        </w:tc>
      </w:tr>
      <w:tr w:rsidR="009A2A1E" w:rsidRPr="00992840" w14:paraId="2FD88E29" w14:textId="77777777" w:rsidTr="009A2A1E">
        <w:trPr>
          <w:trHeight w:val="340"/>
          <w:jc w:val="center"/>
        </w:trPr>
        <w:tc>
          <w:tcPr>
            <w:tcW w:w="2599" w:type="pct"/>
            <w:tcBorders>
              <w:top w:val="nil"/>
              <w:left w:val="nil"/>
              <w:bottom w:val="nil"/>
              <w:right w:val="nil"/>
            </w:tcBorders>
            <w:shd w:val="clear" w:color="auto" w:fill="auto"/>
            <w:noWrap/>
            <w:vAlign w:val="center"/>
            <w:hideMark/>
          </w:tcPr>
          <w:p w14:paraId="44BBB571"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Otros gastos de explotación</w:t>
            </w:r>
          </w:p>
        </w:tc>
        <w:tc>
          <w:tcPr>
            <w:tcW w:w="658" w:type="pct"/>
            <w:tcBorders>
              <w:top w:val="nil"/>
              <w:left w:val="nil"/>
              <w:bottom w:val="nil"/>
              <w:right w:val="nil"/>
            </w:tcBorders>
            <w:shd w:val="clear" w:color="auto" w:fill="auto"/>
            <w:noWrap/>
            <w:vAlign w:val="center"/>
            <w:hideMark/>
          </w:tcPr>
          <w:p w14:paraId="702C7894"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12.d</w:t>
            </w:r>
          </w:p>
        </w:tc>
        <w:tc>
          <w:tcPr>
            <w:tcW w:w="871" w:type="pct"/>
            <w:tcBorders>
              <w:top w:val="nil"/>
              <w:left w:val="nil"/>
              <w:bottom w:val="nil"/>
              <w:right w:val="nil"/>
            </w:tcBorders>
            <w:shd w:val="clear" w:color="auto" w:fill="auto"/>
            <w:noWrap/>
            <w:vAlign w:val="center"/>
          </w:tcPr>
          <w:p w14:paraId="751ABF5F" w14:textId="6847D198"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(416.641,24)</w:t>
            </w:r>
          </w:p>
        </w:tc>
        <w:tc>
          <w:tcPr>
            <w:tcW w:w="871" w:type="pct"/>
            <w:tcBorders>
              <w:top w:val="nil"/>
              <w:left w:val="nil"/>
              <w:bottom w:val="nil"/>
              <w:right w:val="nil"/>
            </w:tcBorders>
            <w:shd w:val="clear" w:color="auto" w:fill="auto"/>
            <w:noWrap/>
            <w:vAlign w:val="center"/>
            <w:hideMark/>
          </w:tcPr>
          <w:p w14:paraId="1E2C9839" w14:textId="4D2E9C43"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(408.467,47)</w:t>
            </w:r>
          </w:p>
        </w:tc>
      </w:tr>
      <w:tr w:rsidR="009A2A1E" w:rsidRPr="00992840" w14:paraId="62518493" w14:textId="77777777" w:rsidTr="009A2A1E">
        <w:trPr>
          <w:trHeight w:val="240"/>
          <w:jc w:val="center"/>
        </w:trPr>
        <w:tc>
          <w:tcPr>
            <w:tcW w:w="2599" w:type="pct"/>
            <w:tcBorders>
              <w:top w:val="nil"/>
              <w:left w:val="nil"/>
              <w:bottom w:val="nil"/>
              <w:right w:val="nil"/>
            </w:tcBorders>
            <w:shd w:val="clear" w:color="auto" w:fill="auto"/>
            <w:noWrap/>
            <w:vAlign w:val="center"/>
            <w:hideMark/>
          </w:tcPr>
          <w:p w14:paraId="21D2915D"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Servicios exteriores</w:t>
            </w:r>
          </w:p>
        </w:tc>
        <w:tc>
          <w:tcPr>
            <w:tcW w:w="658" w:type="pct"/>
            <w:tcBorders>
              <w:top w:val="nil"/>
              <w:left w:val="nil"/>
              <w:bottom w:val="nil"/>
              <w:right w:val="nil"/>
            </w:tcBorders>
            <w:shd w:val="clear" w:color="auto" w:fill="auto"/>
            <w:noWrap/>
            <w:vAlign w:val="center"/>
            <w:hideMark/>
          </w:tcPr>
          <w:p w14:paraId="261F67CA"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1DDD8368" w14:textId="2640AAAF"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(408.224,02)</w:t>
            </w:r>
          </w:p>
        </w:tc>
        <w:tc>
          <w:tcPr>
            <w:tcW w:w="871" w:type="pct"/>
            <w:tcBorders>
              <w:top w:val="nil"/>
              <w:left w:val="nil"/>
              <w:bottom w:val="nil"/>
              <w:right w:val="nil"/>
            </w:tcBorders>
            <w:shd w:val="clear" w:color="auto" w:fill="auto"/>
            <w:noWrap/>
            <w:vAlign w:val="center"/>
            <w:hideMark/>
          </w:tcPr>
          <w:p w14:paraId="5606EA26" w14:textId="41C146B3"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(400.224,02)</w:t>
            </w:r>
          </w:p>
        </w:tc>
      </w:tr>
      <w:tr w:rsidR="009A2A1E" w:rsidRPr="00992840" w14:paraId="39B1A314" w14:textId="77777777" w:rsidTr="009A2A1E">
        <w:trPr>
          <w:trHeight w:val="240"/>
          <w:jc w:val="center"/>
        </w:trPr>
        <w:tc>
          <w:tcPr>
            <w:tcW w:w="2599" w:type="pct"/>
            <w:tcBorders>
              <w:top w:val="nil"/>
              <w:left w:val="nil"/>
              <w:bottom w:val="nil"/>
              <w:right w:val="nil"/>
            </w:tcBorders>
            <w:shd w:val="clear" w:color="auto" w:fill="auto"/>
            <w:noWrap/>
            <w:vAlign w:val="center"/>
            <w:hideMark/>
          </w:tcPr>
          <w:p w14:paraId="6C57F442"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Tributos</w:t>
            </w:r>
          </w:p>
        </w:tc>
        <w:tc>
          <w:tcPr>
            <w:tcW w:w="658" w:type="pct"/>
            <w:tcBorders>
              <w:top w:val="nil"/>
              <w:left w:val="nil"/>
              <w:bottom w:val="nil"/>
              <w:right w:val="nil"/>
            </w:tcBorders>
            <w:shd w:val="clear" w:color="auto" w:fill="auto"/>
            <w:noWrap/>
            <w:vAlign w:val="center"/>
            <w:hideMark/>
          </w:tcPr>
          <w:p w14:paraId="054287A9"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645AFF49" w14:textId="19E0B5B9"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(8.417,22)</w:t>
            </w:r>
          </w:p>
        </w:tc>
        <w:tc>
          <w:tcPr>
            <w:tcW w:w="871" w:type="pct"/>
            <w:tcBorders>
              <w:top w:val="nil"/>
              <w:left w:val="nil"/>
              <w:bottom w:val="nil"/>
              <w:right w:val="nil"/>
            </w:tcBorders>
            <w:shd w:val="clear" w:color="auto" w:fill="auto"/>
            <w:noWrap/>
            <w:vAlign w:val="center"/>
            <w:hideMark/>
          </w:tcPr>
          <w:p w14:paraId="120089C2" w14:textId="65A7BE2D"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(8.243,45)</w:t>
            </w:r>
          </w:p>
        </w:tc>
      </w:tr>
      <w:tr w:rsidR="009A2A1E" w:rsidRPr="00992840" w14:paraId="0D835AAA" w14:textId="77777777" w:rsidTr="009A2A1E">
        <w:trPr>
          <w:trHeight w:val="340"/>
          <w:jc w:val="center"/>
        </w:trPr>
        <w:tc>
          <w:tcPr>
            <w:tcW w:w="2599" w:type="pct"/>
            <w:tcBorders>
              <w:top w:val="nil"/>
              <w:left w:val="nil"/>
              <w:bottom w:val="nil"/>
              <w:right w:val="nil"/>
            </w:tcBorders>
            <w:shd w:val="clear" w:color="auto" w:fill="auto"/>
            <w:noWrap/>
            <w:vAlign w:val="center"/>
            <w:hideMark/>
          </w:tcPr>
          <w:p w14:paraId="6ECA1AAB"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Amortización del inmovilizado</w:t>
            </w:r>
          </w:p>
        </w:tc>
        <w:tc>
          <w:tcPr>
            <w:tcW w:w="658" w:type="pct"/>
            <w:tcBorders>
              <w:top w:val="nil"/>
              <w:left w:val="nil"/>
              <w:bottom w:val="nil"/>
              <w:right w:val="nil"/>
            </w:tcBorders>
            <w:shd w:val="clear" w:color="auto" w:fill="auto"/>
            <w:noWrap/>
            <w:vAlign w:val="center"/>
            <w:hideMark/>
          </w:tcPr>
          <w:p w14:paraId="5A6DFB3F"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5 y 6</w:t>
            </w:r>
          </w:p>
        </w:tc>
        <w:tc>
          <w:tcPr>
            <w:tcW w:w="871" w:type="pct"/>
            <w:tcBorders>
              <w:top w:val="nil"/>
              <w:left w:val="nil"/>
              <w:bottom w:val="nil"/>
              <w:right w:val="nil"/>
            </w:tcBorders>
            <w:shd w:val="clear" w:color="auto" w:fill="auto"/>
            <w:noWrap/>
            <w:vAlign w:val="center"/>
          </w:tcPr>
          <w:p w14:paraId="484C73BB" w14:textId="5CA82BE2"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(125.150,48)</w:t>
            </w:r>
          </w:p>
        </w:tc>
        <w:tc>
          <w:tcPr>
            <w:tcW w:w="871" w:type="pct"/>
            <w:tcBorders>
              <w:top w:val="nil"/>
              <w:left w:val="nil"/>
              <w:bottom w:val="nil"/>
              <w:right w:val="nil"/>
            </w:tcBorders>
            <w:shd w:val="clear" w:color="auto" w:fill="auto"/>
            <w:noWrap/>
            <w:vAlign w:val="center"/>
            <w:hideMark/>
          </w:tcPr>
          <w:p w14:paraId="3800B097" w14:textId="448E3FAB"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(115.876,42)</w:t>
            </w:r>
          </w:p>
        </w:tc>
      </w:tr>
      <w:tr w:rsidR="009A2A1E" w:rsidRPr="00992840" w14:paraId="1752FE1D" w14:textId="77777777" w:rsidTr="009A2A1E">
        <w:trPr>
          <w:trHeight w:val="340"/>
          <w:jc w:val="center"/>
        </w:trPr>
        <w:tc>
          <w:tcPr>
            <w:tcW w:w="2599" w:type="pct"/>
            <w:tcBorders>
              <w:top w:val="nil"/>
              <w:left w:val="nil"/>
              <w:bottom w:val="nil"/>
              <w:right w:val="nil"/>
            </w:tcBorders>
            <w:shd w:val="clear" w:color="auto" w:fill="auto"/>
            <w:noWrap/>
            <w:vAlign w:val="center"/>
            <w:hideMark/>
          </w:tcPr>
          <w:p w14:paraId="0339DC04"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Imputación de subvenciones de inmovilizado no financiero y otras</w:t>
            </w:r>
          </w:p>
        </w:tc>
        <w:tc>
          <w:tcPr>
            <w:tcW w:w="658" w:type="pct"/>
            <w:tcBorders>
              <w:top w:val="nil"/>
              <w:left w:val="nil"/>
              <w:bottom w:val="nil"/>
              <w:right w:val="nil"/>
            </w:tcBorders>
            <w:shd w:val="clear" w:color="auto" w:fill="auto"/>
            <w:noWrap/>
            <w:vAlign w:val="center"/>
            <w:hideMark/>
          </w:tcPr>
          <w:p w14:paraId="5DBA3807" w14:textId="15DB601F"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15</w:t>
            </w:r>
            <w:r w:rsidR="005873E7">
              <w:rPr>
                <w:rFonts w:eastAsia="Times New Roman"/>
                <w:b/>
                <w:bCs/>
                <w:sz w:val="18"/>
                <w:szCs w:val="18"/>
                <w:bdr w:val="none" w:sz="0" w:space="0" w:color="auto"/>
                <w:lang w:eastAsia="es-ES"/>
              </w:rPr>
              <w:t>.1</w:t>
            </w:r>
          </w:p>
        </w:tc>
        <w:tc>
          <w:tcPr>
            <w:tcW w:w="871" w:type="pct"/>
            <w:tcBorders>
              <w:top w:val="nil"/>
              <w:left w:val="nil"/>
              <w:bottom w:val="nil"/>
              <w:right w:val="nil"/>
            </w:tcBorders>
            <w:shd w:val="clear" w:color="auto" w:fill="auto"/>
            <w:noWrap/>
            <w:vAlign w:val="center"/>
          </w:tcPr>
          <w:p w14:paraId="4C0455B0" w14:textId="3AA8675A"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72.549,44</w:t>
            </w:r>
          </w:p>
        </w:tc>
        <w:tc>
          <w:tcPr>
            <w:tcW w:w="871" w:type="pct"/>
            <w:tcBorders>
              <w:top w:val="nil"/>
              <w:left w:val="nil"/>
              <w:bottom w:val="nil"/>
              <w:right w:val="nil"/>
            </w:tcBorders>
            <w:shd w:val="clear" w:color="auto" w:fill="auto"/>
            <w:noWrap/>
            <w:vAlign w:val="center"/>
            <w:hideMark/>
          </w:tcPr>
          <w:p w14:paraId="5D58160E" w14:textId="082E913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 xml:space="preserve">116.577,80   </w:t>
            </w:r>
          </w:p>
        </w:tc>
      </w:tr>
      <w:tr w:rsidR="009A2A1E" w:rsidRPr="00992840" w14:paraId="0D12CC78" w14:textId="77777777" w:rsidTr="009A2A1E">
        <w:trPr>
          <w:trHeight w:val="340"/>
          <w:jc w:val="center"/>
        </w:trPr>
        <w:tc>
          <w:tcPr>
            <w:tcW w:w="2599" w:type="pct"/>
            <w:tcBorders>
              <w:top w:val="nil"/>
              <w:left w:val="nil"/>
              <w:bottom w:val="nil"/>
              <w:right w:val="nil"/>
            </w:tcBorders>
            <w:shd w:val="clear" w:color="auto" w:fill="auto"/>
            <w:noWrap/>
            <w:vAlign w:val="center"/>
          </w:tcPr>
          <w:p w14:paraId="0356AAA2" w14:textId="65D14D26" w:rsidR="005E201B" w:rsidRPr="005E201B"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Pr>
                <w:b/>
                <w:bCs/>
                <w:sz w:val="18"/>
                <w:szCs w:val="18"/>
              </w:rPr>
              <w:t xml:space="preserve">Deterioro y </w:t>
            </w:r>
            <w:proofErr w:type="spellStart"/>
            <w:r>
              <w:rPr>
                <w:b/>
                <w:bCs/>
                <w:sz w:val="18"/>
                <w:szCs w:val="18"/>
              </w:rPr>
              <w:t>rtdo</w:t>
            </w:r>
            <w:proofErr w:type="spellEnd"/>
            <w:r w:rsidR="00881880">
              <w:rPr>
                <w:b/>
                <w:bCs/>
                <w:sz w:val="18"/>
                <w:szCs w:val="18"/>
              </w:rPr>
              <w:t>.</w:t>
            </w:r>
            <w:r>
              <w:rPr>
                <w:b/>
                <w:bCs/>
                <w:sz w:val="18"/>
                <w:szCs w:val="18"/>
              </w:rPr>
              <w:t xml:space="preserve"> por enajenaciones del </w:t>
            </w:r>
            <w:proofErr w:type="spellStart"/>
            <w:r>
              <w:rPr>
                <w:b/>
                <w:bCs/>
                <w:sz w:val="18"/>
                <w:szCs w:val="18"/>
              </w:rPr>
              <w:t>inmov</w:t>
            </w:r>
            <w:proofErr w:type="spellEnd"/>
            <w:r w:rsidR="00881880">
              <w:rPr>
                <w:b/>
                <w:bCs/>
                <w:sz w:val="18"/>
                <w:szCs w:val="18"/>
              </w:rPr>
              <w:t>.</w:t>
            </w:r>
            <w:r>
              <w:rPr>
                <w:b/>
                <w:bCs/>
                <w:sz w:val="18"/>
                <w:szCs w:val="18"/>
              </w:rPr>
              <w:t xml:space="preserve"> </w:t>
            </w:r>
          </w:p>
        </w:tc>
        <w:tc>
          <w:tcPr>
            <w:tcW w:w="658" w:type="pct"/>
            <w:tcBorders>
              <w:top w:val="nil"/>
              <w:left w:val="nil"/>
              <w:bottom w:val="nil"/>
              <w:right w:val="nil"/>
            </w:tcBorders>
            <w:shd w:val="clear" w:color="auto" w:fill="auto"/>
            <w:noWrap/>
            <w:vAlign w:val="center"/>
          </w:tcPr>
          <w:p w14:paraId="2EDCB79C"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647C9C55" w14:textId="3FF8285B" w:rsidR="005E201B" w:rsidRPr="005E201B"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(686,43)</w:t>
            </w:r>
          </w:p>
        </w:tc>
        <w:tc>
          <w:tcPr>
            <w:tcW w:w="871" w:type="pct"/>
            <w:tcBorders>
              <w:top w:val="nil"/>
              <w:left w:val="nil"/>
              <w:bottom w:val="nil"/>
              <w:right w:val="nil"/>
            </w:tcBorders>
            <w:shd w:val="clear" w:color="auto" w:fill="auto"/>
            <w:noWrap/>
            <w:vAlign w:val="center"/>
          </w:tcPr>
          <w:p w14:paraId="1B865FB8" w14:textId="2E311383"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w:t>
            </w:r>
          </w:p>
        </w:tc>
      </w:tr>
      <w:tr w:rsidR="009A2A1E" w:rsidRPr="00992840" w14:paraId="12770BF4" w14:textId="77777777" w:rsidTr="009A2A1E">
        <w:trPr>
          <w:trHeight w:val="340"/>
          <w:jc w:val="center"/>
        </w:trPr>
        <w:tc>
          <w:tcPr>
            <w:tcW w:w="2599" w:type="pct"/>
            <w:tcBorders>
              <w:top w:val="nil"/>
              <w:left w:val="nil"/>
              <w:bottom w:val="nil"/>
              <w:right w:val="nil"/>
            </w:tcBorders>
            <w:shd w:val="clear" w:color="auto" w:fill="auto"/>
            <w:noWrap/>
            <w:vAlign w:val="center"/>
            <w:hideMark/>
          </w:tcPr>
          <w:p w14:paraId="65EB6F02" w14:textId="77777777" w:rsidR="00EC7B18" w:rsidRPr="00992840" w:rsidRDefault="00EC7B18" w:rsidP="00EC7B1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Otros resultados</w:t>
            </w:r>
          </w:p>
        </w:tc>
        <w:tc>
          <w:tcPr>
            <w:tcW w:w="658" w:type="pct"/>
            <w:tcBorders>
              <w:top w:val="nil"/>
              <w:left w:val="nil"/>
              <w:bottom w:val="nil"/>
              <w:right w:val="nil"/>
            </w:tcBorders>
            <w:shd w:val="clear" w:color="auto" w:fill="auto"/>
            <w:noWrap/>
            <w:vAlign w:val="center"/>
            <w:hideMark/>
          </w:tcPr>
          <w:p w14:paraId="140E7CB7" w14:textId="77777777" w:rsidR="00EC7B18" w:rsidRPr="00F61C20" w:rsidRDefault="00EC7B18"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0AD33BEB" w14:textId="4356A485" w:rsidR="00EC7B18" w:rsidRPr="005E201B"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(1.534,22)</w:t>
            </w:r>
          </w:p>
        </w:tc>
        <w:tc>
          <w:tcPr>
            <w:tcW w:w="871" w:type="pct"/>
            <w:tcBorders>
              <w:top w:val="nil"/>
              <w:left w:val="nil"/>
              <w:bottom w:val="nil"/>
              <w:right w:val="nil"/>
            </w:tcBorders>
            <w:shd w:val="clear" w:color="auto" w:fill="auto"/>
            <w:noWrap/>
            <w:vAlign w:val="center"/>
            <w:hideMark/>
          </w:tcPr>
          <w:p w14:paraId="64AE6C21" w14:textId="091A0BD2" w:rsidR="00EC7B18" w:rsidRPr="00992840" w:rsidRDefault="00EC7B18" w:rsidP="00EC7B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w:t>
            </w:r>
            <w:r>
              <w:rPr>
                <w:rFonts w:eastAsia="Times New Roman"/>
                <w:b/>
                <w:bCs/>
                <w:sz w:val="18"/>
                <w:szCs w:val="18"/>
                <w:bdr w:val="none" w:sz="0" w:space="0" w:color="auto"/>
                <w:lang w:eastAsia="es-ES"/>
              </w:rPr>
              <w:t>.</w:t>
            </w:r>
            <w:r w:rsidRPr="00992840">
              <w:rPr>
                <w:rFonts w:eastAsia="Times New Roman"/>
                <w:b/>
                <w:bCs/>
                <w:sz w:val="18"/>
                <w:szCs w:val="18"/>
                <w:bdr w:val="none" w:sz="0" w:space="0" w:color="auto"/>
                <w:lang w:eastAsia="es-ES"/>
              </w:rPr>
              <w:t>903,19</w:t>
            </w:r>
          </w:p>
        </w:tc>
      </w:tr>
      <w:tr w:rsidR="009A2A1E" w:rsidRPr="00992840" w14:paraId="135E4421" w14:textId="77777777" w:rsidTr="009A2A1E">
        <w:trPr>
          <w:trHeight w:val="340"/>
          <w:jc w:val="center"/>
        </w:trPr>
        <w:tc>
          <w:tcPr>
            <w:tcW w:w="2599" w:type="pct"/>
            <w:tcBorders>
              <w:top w:val="single" w:sz="8" w:space="0" w:color="auto"/>
              <w:left w:val="nil"/>
              <w:bottom w:val="single" w:sz="8" w:space="0" w:color="auto"/>
              <w:right w:val="nil"/>
            </w:tcBorders>
            <w:shd w:val="clear" w:color="000000" w:fill="F2F2F2"/>
            <w:noWrap/>
            <w:vAlign w:val="center"/>
            <w:hideMark/>
          </w:tcPr>
          <w:p w14:paraId="7C123A92"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RESULTADO DE EXPLOTACIÓN</w:t>
            </w:r>
          </w:p>
        </w:tc>
        <w:tc>
          <w:tcPr>
            <w:tcW w:w="658" w:type="pct"/>
            <w:tcBorders>
              <w:top w:val="single" w:sz="8" w:space="0" w:color="auto"/>
              <w:left w:val="nil"/>
              <w:bottom w:val="single" w:sz="8" w:space="0" w:color="auto"/>
              <w:right w:val="nil"/>
            </w:tcBorders>
            <w:shd w:val="clear" w:color="000000" w:fill="F2F2F2"/>
            <w:noWrap/>
            <w:vAlign w:val="center"/>
            <w:hideMark/>
          </w:tcPr>
          <w:p w14:paraId="625DF650" w14:textId="071942F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single" w:sz="8" w:space="0" w:color="auto"/>
              <w:left w:val="nil"/>
              <w:bottom w:val="single" w:sz="8" w:space="0" w:color="auto"/>
              <w:right w:val="nil"/>
            </w:tcBorders>
            <w:shd w:val="clear" w:color="000000" w:fill="F2F2F2"/>
            <w:noWrap/>
            <w:vAlign w:val="center"/>
          </w:tcPr>
          <w:p w14:paraId="49BF3DE5" w14:textId="7056118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(2.272.604,36)</w:t>
            </w:r>
          </w:p>
        </w:tc>
        <w:tc>
          <w:tcPr>
            <w:tcW w:w="871" w:type="pct"/>
            <w:tcBorders>
              <w:top w:val="single" w:sz="8" w:space="0" w:color="auto"/>
              <w:left w:val="nil"/>
              <w:bottom w:val="single" w:sz="8" w:space="0" w:color="auto"/>
              <w:right w:val="nil"/>
            </w:tcBorders>
            <w:shd w:val="clear" w:color="000000" w:fill="F2F2F2"/>
            <w:noWrap/>
            <w:vAlign w:val="center"/>
            <w:hideMark/>
          </w:tcPr>
          <w:p w14:paraId="48B64412" w14:textId="1B2F89A4"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(2.145.552,97)</w:t>
            </w:r>
          </w:p>
        </w:tc>
      </w:tr>
      <w:tr w:rsidR="009A2A1E" w:rsidRPr="00992840" w14:paraId="09CBDC22" w14:textId="77777777" w:rsidTr="009A2A1E">
        <w:trPr>
          <w:trHeight w:val="340"/>
          <w:jc w:val="center"/>
        </w:trPr>
        <w:tc>
          <w:tcPr>
            <w:tcW w:w="2599" w:type="pct"/>
            <w:tcBorders>
              <w:top w:val="nil"/>
              <w:left w:val="nil"/>
              <w:bottom w:val="nil"/>
              <w:right w:val="nil"/>
            </w:tcBorders>
            <w:shd w:val="clear" w:color="auto" w:fill="auto"/>
            <w:noWrap/>
            <w:vAlign w:val="center"/>
            <w:hideMark/>
          </w:tcPr>
          <w:p w14:paraId="22685472"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Ingresos financieros</w:t>
            </w:r>
          </w:p>
        </w:tc>
        <w:tc>
          <w:tcPr>
            <w:tcW w:w="658" w:type="pct"/>
            <w:tcBorders>
              <w:top w:val="nil"/>
              <w:left w:val="nil"/>
              <w:bottom w:val="nil"/>
              <w:right w:val="nil"/>
            </w:tcBorders>
            <w:shd w:val="clear" w:color="auto" w:fill="auto"/>
            <w:noWrap/>
            <w:vAlign w:val="center"/>
            <w:hideMark/>
          </w:tcPr>
          <w:p w14:paraId="177C6492"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12.e</w:t>
            </w:r>
          </w:p>
        </w:tc>
        <w:tc>
          <w:tcPr>
            <w:tcW w:w="871" w:type="pct"/>
            <w:tcBorders>
              <w:top w:val="nil"/>
              <w:left w:val="nil"/>
              <w:bottom w:val="nil"/>
              <w:right w:val="nil"/>
            </w:tcBorders>
            <w:shd w:val="clear" w:color="auto" w:fill="auto"/>
            <w:noWrap/>
            <w:vAlign w:val="center"/>
          </w:tcPr>
          <w:p w14:paraId="1A2AEFA3" w14:textId="30EB5A16"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77,98</w:t>
            </w:r>
          </w:p>
        </w:tc>
        <w:tc>
          <w:tcPr>
            <w:tcW w:w="871" w:type="pct"/>
            <w:tcBorders>
              <w:top w:val="nil"/>
              <w:left w:val="nil"/>
              <w:bottom w:val="nil"/>
              <w:right w:val="nil"/>
            </w:tcBorders>
            <w:shd w:val="clear" w:color="auto" w:fill="auto"/>
            <w:noWrap/>
            <w:vAlign w:val="center"/>
            <w:hideMark/>
          </w:tcPr>
          <w:p w14:paraId="7C37F556" w14:textId="27000DBE"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84,00</w:t>
            </w:r>
          </w:p>
        </w:tc>
      </w:tr>
      <w:tr w:rsidR="009A2A1E" w:rsidRPr="00992840" w14:paraId="5A93FBB5" w14:textId="77777777" w:rsidTr="009A2A1E">
        <w:trPr>
          <w:trHeight w:val="340"/>
          <w:jc w:val="center"/>
        </w:trPr>
        <w:tc>
          <w:tcPr>
            <w:tcW w:w="2599" w:type="pct"/>
            <w:tcBorders>
              <w:top w:val="nil"/>
              <w:left w:val="nil"/>
              <w:bottom w:val="nil"/>
              <w:right w:val="nil"/>
            </w:tcBorders>
            <w:shd w:val="clear" w:color="auto" w:fill="auto"/>
            <w:noWrap/>
            <w:vAlign w:val="center"/>
            <w:hideMark/>
          </w:tcPr>
          <w:p w14:paraId="6CC8A970"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Gastos financieros</w:t>
            </w:r>
          </w:p>
        </w:tc>
        <w:tc>
          <w:tcPr>
            <w:tcW w:w="658" w:type="pct"/>
            <w:tcBorders>
              <w:top w:val="nil"/>
              <w:left w:val="nil"/>
              <w:bottom w:val="nil"/>
              <w:right w:val="nil"/>
            </w:tcBorders>
            <w:shd w:val="clear" w:color="auto" w:fill="auto"/>
            <w:noWrap/>
            <w:vAlign w:val="center"/>
            <w:hideMark/>
          </w:tcPr>
          <w:p w14:paraId="69192A84"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12.e</w:t>
            </w:r>
          </w:p>
        </w:tc>
        <w:tc>
          <w:tcPr>
            <w:tcW w:w="871" w:type="pct"/>
            <w:tcBorders>
              <w:top w:val="nil"/>
              <w:left w:val="nil"/>
              <w:bottom w:val="nil"/>
              <w:right w:val="nil"/>
            </w:tcBorders>
            <w:shd w:val="clear" w:color="auto" w:fill="auto"/>
            <w:noWrap/>
            <w:vAlign w:val="center"/>
          </w:tcPr>
          <w:p w14:paraId="0580FB79" w14:textId="4FEBC326"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(3.262,47)</w:t>
            </w:r>
          </w:p>
        </w:tc>
        <w:tc>
          <w:tcPr>
            <w:tcW w:w="871" w:type="pct"/>
            <w:tcBorders>
              <w:top w:val="nil"/>
              <w:left w:val="nil"/>
              <w:bottom w:val="nil"/>
              <w:right w:val="nil"/>
            </w:tcBorders>
            <w:shd w:val="clear" w:color="auto" w:fill="auto"/>
            <w:noWrap/>
            <w:vAlign w:val="center"/>
            <w:hideMark/>
          </w:tcPr>
          <w:p w14:paraId="403C0B8D" w14:textId="75C97CEC"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(68.455,00)</w:t>
            </w:r>
          </w:p>
        </w:tc>
      </w:tr>
      <w:tr w:rsidR="009A2A1E" w:rsidRPr="00992840" w14:paraId="11EE5FA7" w14:textId="77777777" w:rsidTr="009A2A1E">
        <w:trPr>
          <w:trHeight w:val="340"/>
          <w:jc w:val="center"/>
        </w:trPr>
        <w:tc>
          <w:tcPr>
            <w:tcW w:w="2599" w:type="pct"/>
            <w:tcBorders>
              <w:top w:val="nil"/>
              <w:left w:val="nil"/>
              <w:bottom w:val="nil"/>
              <w:right w:val="nil"/>
            </w:tcBorders>
            <w:shd w:val="clear" w:color="auto" w:fill="auto"/>
            <w:noWrap/>
            <w:vAlign w:val="center"/>
            <w:hideMark/>
          </w:tcPr>
          <w:p w14:paraId="7A2C46A3"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Diferencias de cambio</w:t>
            </w:r>
          </w:p>
        </w:tc>
        <w:tc>
          <w:tcPr>
            <w:tcW w:w="658" w:type="pct"/>
            <w:tcBorders>
              <w:top w:val="nil"/>
              <w:left w:val="nil"/>
              <w:bottom w:val="nil"/>
              <w:right w:val="nil"/>
            </w:tcBorders>
            <w:shd w:val="clear" w:color="auto" w:fill="auto"/>
            <w:noWrap/>
            <w:vAlign w:val="center"/>
            <w:hideMark/>
          </w:tcPr>
          <w:p w14:paraId="0F9ECD09"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12.e</w:t>
            </w:r>
          </w:p>
        </w:tc>
        <w:tc>
          <w:tcPr>
            <w:tcW w:w="871" w:type="pct"/>
            <w:tcBorders>
              <w:top w:val="nil"/>
              <w:left w:val="nil"/>
              <w:bottom w:val="nil"/>
              <w:right w:val="nil"/>
            </w:tcBorders>
            <w:shd w:val="clear" w:color="auto" w:fill="auto"/>
            <w:noWrap/>
            <w:vAlign w:val="center"/>
          </w:tcPr>
          <w:p w14:paraId="5A2C8272" w14:textId="22AA7BBF"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7.900,85</w:t>
            </w:r>
          </w:p>
        </w:tc>
        <w:tc>
          <w:tcPr>
            <w:tcW w:w="871" w:type="pct"/>
            <w:tcBorders>
              <w:top w:val="nil"/>
              <w:left w:val="nil"/>
              <w:bottom w:val="nil"/>
              <w:right w:val="nil"/>
            </w:tcBorders>
            <w:shd w:val="clear" w:color="auto" w:fill="auto"/>
            <w:noWrap/>
            <w:vAlign w:val="center"/>
            <w:hideMark/>
          </w:tcPr>
          <w:p w14:paraId="789547BF" w14:textId="66F3491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(9.759,03)</w:t>
            </w:r>
          </w:p>
        </w:tc>
      </w:tr>
      <w:tr w:rsidR="009A2A1E" w:rsidRPr="00992840" w14:paraId="15054402" w14:textId="77777777" w:rsidTr="009A2A1E">
        <w:trPr>
          <w:trHeight w:val="340"/>
          <w:jc w:val="center"/>
        </w:trPr>
        <w:tc>
          <w:tcPr>
            <w:tcW w:w="2599" w:type="pct"/>
            <w:tcBorders>
              <w:top w:val="single" w:sz="8" w:space="0" w:color="auto"/>
              <w:left w:val="nil"/>
              <w:bottom w:val="single" w:sz="8" w:space="0" w:color="auto"/>
              <w:right w:val="nil"/>
            </w:tcBorders>
            <w:shd w:val="clear" w:color="000000" w:fill="F2F2F2"/>
            <w:noWrap/>
            <w:vAlign w:val="center"/>
            <w:hideMark/>
          </w:tcPr>
          <w:p w14:paraId="00D8477D" w14:textId="77777777" w:rsidR="005E201B" w:rsidRPr="00085996"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085996">
              <w:rPr>
                <w:rFonts w:eastAsia="Times New Roman"/>
                <w:b/>
                <w:bCs/>
                <w:sz w:val="18"/>
                <w:szCs w:val="18"/>
                <w:bdr w:val="none" w:sz="0" w:space="0" w:color="auto"/>
                <w:lang w:eastAsia="es-ES"/>
              </w:rPr>
              <w:t>RESULTADO FINANCIERO</w:t>
            </w:r>
          </w:p>
        </w:tc>
        <w:tc>
          <w:tcPr>
            <w:tcW w:w="658" w:type="pct"/>
            <w:tcBorders>
              <w:top w:val="single" w:sz="8" w:space="0" w:color="auto"/>
              <w:left w:val="nil"/>
              <w:bottom w:val="single" w:sz="8" w:space="0" w:color="auto"/>
              <w:right w:val="nil"/>
            </w:tcBorders>
            <w:shd w:val="clear" w:color="000000" w:fill="F2F2F2"/>
            <w:noWrap/>
            <w:vAlign w:val="center"/>
            <w:hideMark/>
          </w:tcPr>
          <w:p w14:paraId="043B3445" w14:textId="6F2AA84A"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single" w:sz="8" w:space="0" w:color="auto"/>
              <w:left w:val="nil"/>
              <w:bottom w:val="single" w:sz="8" w:space="0" w:color="auto"/>
              <w:right w:val="nil"/>
            </w:tcBorders>
            <w:shd w:val="clear" w:color="000000" w:fill="F2F2F2"/>
            <w:noWrap/>
            <w:vAlign w:val="center"/>
          </w:tcPr>
          <w:p w14:paraId="6E50F4D6" w14:textId="4BFB9398"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4.716,36</w:t>
            </w:r>
          </w:p>
        </w:tc>
        <w:tc>
          <w:tcPr>
            <w:tcW w:w="871" w:type="pct"/>
            <w:tcBorders>
              <w:top w:val="single" w:sz="8" w:space="0" w:color="auto"/>
              <w:left w:val="nil"/>
              <w:bottom w:val="single" w:sz="8" w:space="0" w:color="auto"/>
              <w:right w:val="nil"/>
            </w:tcBorders>
            <w:shd w:val="clear" w:color="000000" w:fill="F2F2F2"/>
            <w:noWrap/>
            <w:vAlign w:val="center"/>
            <w:hideMark/>
          </w:tcPr>
          <w:p w14:paraId="32CD9CCD" w14:textId="48616C99"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(78.130,03)</w:t>
            </w:r>
          </w:p>
        </w:tc>
      </w:tr>
      <w:tr w:rsidR="009A2A1E" w:rsidRPr="00992840" w14:paraId="55B54D92" w14:textId="77777777" w:rsidTr="009A2A1E">
        <w:trPr>
          <w:trHeight w:val="340"/>
          <w:jc w:val="center"/>
        </w:trPr>
        <w:tc>
          <w:tcPr>
            <w:tcW w:w="2599" w:type="pct"/>
            <w:tcBorders>
              <w:top w:val="nil"/>
              <w:left w:val="nil"/>
              <w:bottom w:val="single" w:sz="8" w:space="0" w:color="auto"/>
              <w:right w:val="nil"/>
            </w:tcBorders>
            <w:shd w:val="clear" w:color="000000" w:fill="F2F2F2"/>
            <w:noWrap/>
            <w:vAlign w:val="center"/>
            <w:hideMark/>
          </w:tcPr>
          <w:p w14:paraId="060ECAE9" w14:textId="77777777" w:rsidR="005E201B" w:rsidRPr="00085996"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085996">
              <w:rPr>
                <w:rFonts w:eastAsia="Times New Roman"/>
                <w:b/>
                <w:bCs/>
                <w:sz w:val="18"/>
                <w:szCs w:val="18"/>
                <w:bdr w:val="none" w:sz="0" w:space="0" w:color="auto"/>
                <w:lang w:eastAsia="es-ES"/>
              </w:rPr>
              <w:t>RESULTADO ANTES DE IMPUESTOS</w:t>
            </w:r>
          </w:p>
        </w:tc>
        <w:tc>
          <w:tcPr>
            <w:tcW w:w="658" w:type="pct"/>
            <w:tcBorders>
              <w:top w:val="nil"/>
              <w:left w:val="nil"/>
              <w:bottom w:val="single" w:sz="8" w:space="0" w:color="auto"/>
              <w:right w:val="nil"/>
            </w:tcBorders>
            <w:shd w:val="clear" w:color="000000" w:fill="F2F2F2"/>
            <w:noWrap/>
            <w:vAlign w:val="center"/>
            <w:hideMark/>
          </w:tcPr>
          <w:p w14:paraId="008AF962" w14:textId="5286FF51"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single" w:sz="8" w:space="0" w:color="auto"/>
              <w:right w:val="nil"/>
            </w:tcBorders>
            <w:shd w:val="clear" w:color="000000" w:fill="F2F2F2"/>
            <w:noWrap/>
            <w:vAlign w:val="center"/>
          </w:tcPr>
          <w:p w14:paraId="6E8DC292" w14:textId="0D59FA80"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(2.267.888,00)</w:t>
            </w:r>
          </w:p>
        </w:tc>
        <w:tc>
          <w:tcPr>
            <w:tcW w:w="871" w:type="pct"/>
            <w:tcBorders>
              <w:top w:val="nil"/>
              <w:left w:val="nil"/>
              <w:bottom w:val="single" w:sz="8" w:space="0" w:color="auto"/>
              <w:right w:val="nil"/>
            </w:tcBorders>
            <w:shd w:val="clear" w:color="000000" w:fill="F2F2F2"/>
            <w:noWrap/>
            <w:vAlign w:val="center"/>
            <w:hideMark/>
          </w:tcPr>
          <w:p w14:paraId="4F6E4E0E" w14:textId="1B6A3D36"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(2.223.683,00)</w:t>
            </w:r>
          </w:p>
        </w:tc>
      </w:tr>
      <w:tr w:rsidR="009A2A1E" w:rsidRPr="00992840" w14:paraId="1E98B89E" w14:textId="77777777" w:rsidTr="009A2A1E">
        <w:trPr>
          <w:trHeight w:val="340"/>
          <w:jc w:val="center"/>
        </w:trPr>
        <w:tc>
          <w:tcPr>
            <w:tcW w:w="2599" w:type="pct"/>
            <w:tcBorders>
              <w:top w:val="nil"/>
              <w:left w:val="nil"/>
              <w:bottom w:val="nil"/>
              <w:right w:val="nil"/>
            </w:tcBorders>
            <w:shd w:val="clear" w:color="auto" w:fill="auto"/>
            <w:noWrap/>
            <w:vAlign w:val="center"/>
            <w:hideMark/>
          </w:tcPr>
          <w:p w14:paraId="276DB5C1"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Impuestos sobre beneficios</w:t>
            </w:r>
          </w:p>
        </w:tc>
        <w:tc>
          <w:tcPr>
            <w:tcW w:w="658" w:type="pct"/>
            <w:tcBorders>
              <w:top w:val="nil"/>
              <w:left w:val="nil"/>
              <w:bottom w:val="nil"/>
              <w:right w:val="nil"/>
            </w:tcBorders>
            <w:shd w:val="clear" w:color="auto" w:fill="auto"/>
            <w:noWrap/>
            <w:vAlign w:val="center"/>
            <w:hideMark/>
          </w:tcPr>
          <w:p w14:paraId="36E26D2E"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11.2</w:t>
            </w:r>
          </w:p>
        </w:tc>
        <w:tc>
          <w:tcPr>
            <w:tcW w:w="871" w:type="pct"/>
            <w:tcBorders>
              <w:top w:val="nil"/>
              <w:left w:val="nil"/>
              <w:bottom w:val="nil"/>
              <w:right w:val="nil"/>
            </w:tcBorders>
            <w:shd w:val="clear" w:color="auto" w:fill="auto"/>
            <w:noWrap/>
            <w:vAlign w:val="center"/>
          </w:tcPr>
          <w:p w14:paraId="27833CCD" w14:textId="4FEBB087" w:rsidR="005E201B" w:rsidRPr="00085996"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r w:rsidRPr="00085996">
              <w:rPr>
                <w:b/>
                <w:bCs/>
                <w:sz w:val="18"/>
                <w:szCs w:val="18"/>
              </w:rPr>
              <w:t xml:space="preserve"> -</w:t>
            </w:r>
          </w:p>
        </w:tc>
        <w:tc>
          <w:tcPr>
            <w:tcW w:w="871" w:type="pct"/>
            <w:tcBorders>
              <w:top w:val="nil"/>
              <w:left w:val="nil"/>
              <w:bottom w:val="nil"/>
              <w:right w:val="nil"/>
            </w:tcBorders>
            <w:shd w:val="clear" w:color="auto" w:fill="auto"/>
            <w:noWrap/>
            <w:vAlign w:val="center"/>
            <w:hideMark/>
          </w:tcPr>
          <w:p w14:paraId="70C05C10" w14:textId="0274D466"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rFonts w:ascii="Times New Roman" w:eastAsia="Times New Roman" w:hAnsi="Times New Roman" w:cs="Times New Roman"/>
                <w:color w:val="auto"/>
                <w:sz w:val="18"/>
                <w:szCs w:val="18"/>
                <w:bdr w:val="none" w:sz="0" w:space="0" w:color="auto"/>
                <w:lang w:eastAsia="es-ES"/>
              </w:rPr>
              <w:t>-</w:t>
            </w:r>
          </w:p>
        </w:tc>
      </w:tr>
      <w:tr w:rsidR="009A2A1E" w:rsidRPr="00992840" w14:paraId="4E61994B" w14:textId="77777777" w:rsidTr="009A2A1E">
        <w:trPr>
          <w:trHeight w:val="340"/>
          <w:jc w:val="center"/>
        </w:trPr>
        <w:tc>
          <w:tcPr>
            <w:tcW w:w="2599" w:type="pct"/>
            <w:tcBorders>
              <w:top w:val="single" w:sz="8" w:space="0" w:color="auto"/>
              <w:left w:val="nil"/>
              <w:bottom w:val="single" w:sz="8" w:space="0" w:color="auto"/>
              <w:right w:val="nil"/>
            </w:tcBorders>
            <w:shd w:val="clear" w:color="000000" w:fill="F2F2F2"/>
            <w:noWrap/>
            <w:vAlign w:val="center"/>
            <w:hideMark/>
          </w:tcPr>
          <w:p w14:paraId="63EF40F7" w14:textId="77777777"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RESULTADO DEL EJERCICIO</w:t>
            </w:r>
          </w:p>
        </w:tc>
        <w:tc>
          <w:tcPr>
            <w:tcW w:w="658" w:type="pct"/>
            <w:tcBorders>
              <w:top w:val="single" w:sz="8" w:space="0" w:color="auto"/>
              <w:left w:val="nil"/>
              <w:bottom w:val="single" w:sz="8" w:space="0" w:color="auto"/>
              <w:right w:val="nil"/>
            </w:tcBorders>
            <w:shd w:val="clear" w:color="000000" w:fill="F2F2F2"/>
            <w:noWrap/>
            <w:vAlign w:val="center"/>
            <w:hideMark/>
          </w:tcPr>
          <w:p w14:paraId="6C9C2D14" w14:textId="77777777" w:rsidR="005E201B" w:rsidRPr="00F61C20" w:rsidRDefault="005E201B"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3</w:t>
            </w:r>
          </w:p>
        </w:tc>
        <w:tc>
          <w:tcPr>
            <w:tcW w:w="871" w:type="pct"/>
            <w:tcBorders>
              <w:top w:val="single" w:sz="8" w:space="0" w:color="auto"/>
              <w:left w:val="nil"/>
              <w:bottom w:val="single" w:sz="8" w:space="0" w:color="auto"/>
              <w:right w:val="nil"/>
            </w:tcBorders>
            <w:shd w:val="clear" w:color="000000" w:fill="F2F2F2"/>
            <w:noWrap/>
            <w:vAlign w:val="center"/>
          </w:tcPr>
          <w:p w14:paraId="3E7A40F1" w14:textId="1FE01572" w:rsidR="005E201B" w:rsidRPr="006D37A3"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6D37A3">
              <w:rPr>
                <w:b/>
                <w:bCs/>
                <w:sz w:val="18"/>
                <w:szCs w:val="18"/>
              </w:rPr>
              <w:t>(2.267.888,00)</w:t>
            </w:r>
          </w:p>
        </w:tc>
        <w:tc>
          <w:tcPr>
            <w:tcW w:w="871" w:type="pct"/>
            <w:tcBorders>
              <w:top w:val="single" w:sz="8" w:space="0" w:color="auto"/>
              <w:left w:val="nil"/>
              <w:bottom w:val="single" w:sz="8" w:space="0" w:color="auto"/>
              <w:right w:val="nil"/>
            </w:tcBorders>
            <w:shd w:val="clear" w:color="000000" w:fill="F2F2F2"/>
            <w:noWrap/>
            <w:vAlign w:val="center"/>
            <w:hideMark/>
          </w:tcPr>
          <w:p w14:paraId="731A2DF2" w14:textId="7839B8D3" w:rsidR="005E201B" w:rsidRPr="00992840" w:rsidRDefault="005E201B" w:rsidP="005E20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(2.223.683,00)</w:t>
            </w:r>
          </w:p>
        </w:tc>
      </w:tr>
    </w:tbl>
    <w:p w14:paraId="605AC2D8" w14:textId="6F9DC2F7" w:rsidR="006220A2" w:rsidRPr="0083433F" w:rsidRDefault="006220A2"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center"/>
        <w:outlineLvl w:val="0"/>
        <w:rPr>
          <w:sz w:val="20"/>
        </w:rPr>
      </w:pPr>
      <w:r w:rsidRPr="0083433F">
        <w:rPr>
          <w:i/>
          <w:iCs/>
          <w:sz w:val="16"/>
          <w:szCs w:val="18"/>
        </w:rPr>
        <w:t xml:space="preserve">Las Cuentas Anuales de la Sociedad, que forman una sola unidad, comprenden esta Cuenta de Pérdidas y Ganancias, el Balance, el Estado de Cambios en el Patrimonio Neto, el Estado de Flujos de Efectivo adjuntos y la Memoria Anual adjunta que </w:t>
      </w:r>
      <w:r w:rsidRPr="00BB2CD8">
        <w:rPr>
          <w:i/>
          <w:iCs/>
          <w:sz w:val="16"/>
          <w:szCs w:val="18"/>
        </w:rPr>
        <w:t>const</w:t>
      </w:r>
      <w:r w:rsidR="00A05A11" w:rsidRPr="00BB2CD8">
        <w:rPr>
          <w:i/>
          <w:iCs/>
          <w:sz w:val="16"/>
          <w:szCs w:val="18"/>
        </w:rPr>
        <w:t>a de 20</w:t>
      </w:r>
      <w:r w:rsidRPr="00BB2CD8">
        <w:rPr>
          <w:i/>
          <w:iCs/>
          <w:sz w:val="16"/>
          <w:szCs w:val="18"/>
        </w:rPr>
        <w:t xml:space="preserve"> Notas</w:t>
      </w:r>
    </w:p>
    <w:p w14:paraId="14F1BE60" w14:textId="77777777" w:rsidR="003A4111" w:rsidRPr="0083433F" w:rsidRDefault="006220A2" w:rsidP="006220A2">
      <w:pPr>
        <w:widowControl w:val="0"/>
        <w:tabs>
          <w:tab w:val="left" w:pos="284"/>
          <w:tab w:val="left" w:pos="567"/>
          <w:tab w:val="left" w:pos="851"/>
        </w:tabs>
        <w:rPr>
          <w:sz w:val="20"/>
        </w:rPr>
      </w:pPr>
      <w:r w:rsidRPr="0083433F">
        <w:rPr>
          <w:sz w:val="20"/>
        </w:rPr>
        <w:br w:type="page"/>
      </w:r>
    </w:p>
    <w:p w14:paraId="19211D8D" w14:textId="77777777" w:rsidR="006220A2" w:rsidRPr="0083433F" w:rsidRDefault="006220A2" w:rsidP="007825C6">
      <w:pPr>
        <w:widowControl w:val="0"/>
        <w:tabs>
          <w:tab w:val="left" w:pos="284"/>
          <w:tab w:val="left" w:pos="567"/>
          <w:tab w:val="left" w:pos="851"/>
        </w:tabs>
        <w:spacing w:line="280" w:lineRule="exact"/>
        <w:rPr>
          <w:b/>
          <w:snapToGrid w:val="0"/>
          <w:sz w:val="20"/>
        </w:rPr>
      </w:pPr>
      <w:r w:rsidRPr="0083433F">
        <w:rPr>
          <w:b/>
          <w:snapToGrid w:val="0"/>
          <w:sz w:val="20"/>
        </w:rPr>
        <w:lastRenderedPageBreak/>
        <w:t>PROMOTUR TURISMO CANARIAS, S.A.</w:t>
      </w:r>
    </w:p>
    <w:p w14:paraId="2677784D" w14:textId="08F65E65" w:rsidR="006220A2" w:rsidRPr="0083433F" w:rsidRDefault="006220A2" w:rsidP="007825C6">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rPr>
          <w:b/>
          <w:snapToGrid w:val="0"/>
          <w:sz w:val="20"/>
        </w:rPr>
      </w:pPr>
      <w:r w:rsidRPr="0083433F">
        <w:rPr>
          <w:b/>
          <w:snapToGrid w:val="0"/>
          <w:sz w:val="20"/>
        </w:rPr>
        <w:t>ESTADO DE CAMBIOS EN EL PATRIMONIO NETO CORRESPONDIENTE AL EJERCICIO ANUAL TERMI</w:t>
      </w:r>
      <w:r w:rsidR="00556E1C" w:rsidRPr="0083433F">
        <w:rPr>
          <w:b/>
          <w:snapToGrid w:val="0"/>
          <w:sz w:val="20"/>
        </w:rPr>
        <w:t>NADO EL 31 DE DICIEMBRE DE 20</w:t>
      </w:r>
      <w:r w:rsidR="006248B7">
        <w:rPr>
          <w:b/>
          <w:snapToGrid w:val="0"/>
          <w:sz w:val="20"/>
        </w:rPr>
        <w:t>2</w:t>
      </w:r>
      <w:r w:rsidR="00C97B50">
        <w:rPr>
          <w:b/>
          <w:snapToGrid w:val="0"/>
          <w:sz w:val="20"/>
        </w:rPr>
        <w:t>1</w:t>
      </w:r>
      <w:r w:rsidR="00556E1C" w:rsidRPr="0083433F">
        <w:rPr>
          <w:b/>
          <w:snapToGrid w:val="0"/>
          <w:sz w:val="20"/>
        </w:rPr>
        <w:t xml:space="preserve"> Y 20</w:t>
      </w:r>
      <w:r w:rsidR="00C97B50">
        <w:rPr>
          <w:b/>
          <w:snapToGrid w:val="0"/>
          <w:sz w:val="20"/>
        </w:rPr>
        <w:t>20</w:t>
      </w:r>
    </w:p>
    <w:p w14:paraId="504EDFCA"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20"/>
        </w:rPr>
      </w:pPr>
    </w:p>
    <w:p w14:paraId="7CEC1C99"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 w:val="20"/>
        </w:rPr>
      </w:pPr>
      <w:r w:rsidRPr="0083433F">
        <w:rPr>
          <w:b/>
          <w:snapToGrid w:val="0"/>
          <w:sz w:val="20"/>
        </w:rPr>
        <w:t xml:space="preserve">A) ESTADO DE INGRESOS Y GASTOS RECONOCIDOS </w:t>
      </w:r>
      <w:r w:rsidRPr="0083433F">
        <w:rPr>
          <w:b/>
          <w:bCs/>
          <w:sz w:val="20"/>
        </w:rPr>
        <w:t>(Expresado en euros)</w:t>
      </w:r>
      <w:r w:rsidRPr="0083433F">
        <w:rPr>
          <w:b/>
          <w:bCs/>
          <w:snapToGrid w:val="0"/>
          <w:sz w:val="20"/>
        </w:rPr>
        <w:t xml:space="preserve"> </w:t>
      </w:r>
    </w:p>
    <w:p w14:paraId="09122015" w14:textId="77777777" w:rsidR="006220A2" w:rsidRPr="0083433F" w:rsidRDefault="006220A2" w:rsidP="006220A2">
      <w:pPr>
        <w:widowControl w:val="0"/>
        <w:tabs>
          <w:tab w:val="left" w:pos="284"/>
          <w:tab w:val="left" w:pos="567"/>
          <w:tab w:val="left" w:pos="851"/>
        </w:tabs>
        <w:rPr>
          <w:b/>
          <w:snapToGrid w:val="0"/>
          <w:sz w:val="20"/>
        </w:rPr>
      </w:pPr>
    </w:p>
    <w:tbl>
      <w:tblPr>
        <w:tblW w:w="5000" w:type="pct"/>
        <w:jc w:val="center"/>
        <w:tblCellMar>
          <w:left w:w="70" w:type="dxa"/>
          <w:right w:w="70" w:type="dxa"/>
        </w:tblCellMar>
        <w:tblLook w:val="04A0" w:firstRow="1" w:lastRow="0" w:firstColumn="1" w:lastColumn="0" w:noHBand="0" w:noVBand="1"/>
      </w:tblPr>
      <w:tblGrid>
        <w:gridCol w:w="4542"/>
        <w:gridCol w:w="841"/>
        <w:gridCol w:w="1885"/>
        <w:gridCol w:w="1797"/>
      </w:tblGrid>
      <w:tr w:rsidR="009524CA" w:rsidRPr="00433906" w14:paraId="65DA3B98" w14:textId="77777777" w:rsidTr="002E3C11">
        <w:trPr>
          <w:trHeight w:val="238"/>
          <w:jc w:val="center"/>
        </w:trPr>
        <w:tc>
          <w:tcPr>
            <w:tcW w:w="2505" w:type="pct"/>
            <w:tcBorders>
              <w:top w:val="single" w:sz="8" w:space="0" w:color="auto"/>
              <w:left w:val="nil"/>
              <w:bottom w:val="nil"/>
              <w:right w:val="nil"/>
            </w:tcBorders>
            <w:shd w:val="clear" w:color="auto" w:fill="D9D9D9" w:themeFill="background1" w:themeFillShade="D9"/>
            <w:noWrap/>
            <w:vAlign w:val="bottom"/>
            <w:hideMark/>
          </w:tcPr>
          <w:p w14:paraId="17657AE8" w14:textId="77777777" w:rsidR="006220A2" w:rsidRPr="00433906" w:rsidRDefault="006220A2" w:rsidP="00852114">
            <w:pPr>
              <w:rPr>
                <w:rFonts w:eastAsia="Times New Roman"/>
                <w:color w:val="auto"/>
                <w:sz w:val="18"/>
                <w:szCs w:val="18"/>
              </w:rPr>
            </w:pPr>
            <w:r w:rsidRPr="00433906">
              <w:rPr>
                <w:rFonts w:eastAsia="Times New Roman"/>
                <w:color w:val="auto"/>
                <w:sz w:val="18"/>
                <w:szCs w:val="18"/>
              </w:rPr>
              <w:t> </w:t>
            </w:r>
          </w:p>
        </w:tc>
        <w:tc>
          <w:tcPr>
            <w:tcW w:w="464" w:type="pct"/>
            <w:tcBorders>
              <w:top w:val="single" w:sz="8" w:space="0" w:color="auto"/>
              <w:left w:val="nil"/>
              <w:bottom w:val="nil"/>
              <w:right w:val="nil"/>
            </w:tcBorders>
            <w:shd w:val="clear" w:color="auto" w:fill="D9D9D9" w:themeFill="background1" w:themeFillShade="D9"/>
            <w:noWrap/>
            <w:vAlign w:val="bottom"/>
            <w:hideMark/>
          </w:tcPr>
          <w:p w14:paraId="2B28CF61" w14:textId="77777777" w:rsidR="006220A2" w:rsidRPr="00433906" w:rsidRDefault="006220A2" w:rsidP="00852114">
            <w:pPr>
              <w:rPr>
                <w:rFonts w:eastAsia="Times New Roman"/>
                <w:color w:val="auto"/>
                <w:sz w:val="18"/>
                <w:szCs w:val="18"/>
              </w:rPr>
            </w:pPr>
            <w:r w:rsidRPr="00433906">
              <w:rPr>
                <w:rFonts w:eastAsia="Times New Roman"/>
                <w:color w:val="auto"/>
                <w:sz w:val="18"/>
                <w:szCs w:val="18"/>
              </w:rPr>
              <w:t> </w:t>
            </w:r>
          </w:p>
        </w:tc>
        <w:tc>
          <w:tcPr>
            <w:tcW w:w="1040" w:type="pct"/>
            <w:tcBorders>
              <w:top w:val="single" w:sz="8" w:space="0" w:color="auto"/>
              <w:left w:val="nil"/>
              <w:bottom w:val="single" w:sz="8" w:space="0" w:color="auto"/>
              <w:right w:val="nil"/>
            </w:tcBorders>
            <w:shd w:val="clear" w:color="auto" w:fill="D9D9D9" w:themeFill="background1" w:themeFillShade="D9"/>
            <w:noWrap/>
            <w:vAlign w:val="bottom"/>
            <w:hideMark/>
          </w:tcPr>
          <w:p w14:paraId="57A87F73" w14:textId="77777777" w:rsidR="006220A2" w:rsidRPr="00433906" w:rsidRDefault="006220A2" w:rsidP="00414B3D">
            <w:pPr>
              <w:jc w:val="center"/>
              <w:rPr>
                <w:rFonts w:eastAsia="Times New Roman"/>
                <w:b/>
                <w:bCs/>
                <w:color w:val="auto"/>
                <w:sz w:val="18"/>
                <w:szCs w:val="18"/>
              </w:rPr>
            </w:pPr>
            <w:r w:rsidRPr="00433906">
              <w:rPr>
                <w:rFonts w:eastAsia="Times New Roman"/>
                <w:b/>
                <w:bCs/>
                <w:color w:val="auto"/>
                <w:sz w:val="18"/>
                <w:szCs w:val="18"/>
              </w:rPr>
              <w:t>Al 31 de diciembre</w:t>
            </w:r>
          </w:p>
        </w:tc>
        <w:tc>
          <w:tcPr>
            <w:tcW w:w="991" w:type="pct"/>
            <w:tcBorders>
              <w:top w:val="single" w:sz="8" w:space="0" w:color="auto"/>
              <w:left w:val="nil"/>
              <w:bottom w:val="single" w:sz="8" w:space="0" w:color="auto"/>
              <w:right w:val="nil"/>
            </w:tcBorders>
            <w:shd w:val="clear" w:color="auto" w:fill="D9D9D9" w:themeFill="background1" w:themeFillShade="D9"/>
            <w:noWrap/>
            <w:vAlign w:val="bottom"/>
            <w:hideMark/>
          </w:tcPr>
          <w:p w14:paraId="762E35FE" w14:textId="77777777" w:rsidR="006220A2" w:rsidRPr="00433906" w:rsidRDefault="006220A2" w:rsidP="00414B3D">
            <w:pPr>
              <w:jc w:val="center"/>
              <w:rPr>
                <w:rFonts w:eastAsia="Times New Roman"/>
                <w:b/>
                <w:bCs/>
                <w:color w:val="auto"/>
                <w:sz w:val="18"/>
                <w:szCs w:val="18"/>
              </w:rPr>
            </w:pPr>
            <w:r w:rsidRPr="00433906">
              <w:rPr>
                <w:rFonts w:eastAsia="Times New Roman"/>
                <w:b/>
                <w:bCs/>
                <w:color w:val="auto"/>
                <w:sz w:val="18"/>
                <w:szCs w:val="18"/>
              </w:rPr>
              <w:t>Al 31 de diciembre</w:t>
            </w:r>
          </w:p>
        </w:tc>
      </w:tr>
      <w:tr w:rsidR="009524CA" w:rsidRPr="00433906" w14:paraId="4B5F68CF" w14:textId="77777777" w:rsidTr="002E3C11">
        <w:trPr>
          <w:trHeight w:val="238"/>
          <w:jc w:val="center"/>
        </w:trPr>
        <w:tc>
          <w:tcPr>
            <w:tcW w:w="2505" w:type="pct"/>
            <w:tcBorders>
              <w:top w:val="nil"/>
              <w:left w:val="nil"/>
              <w:bottom w:val="single" w:sz="8" w:space="0" w:color="auto"/>
              <w:right w:val="nil"/>
            </w:tcBorders>
            <w:shd w:val="clear" w:color="auto" w:fill="D9D9D9" w:themeFill="background1" w:themeFillShade="D9"/>
            <w:noWrap/>
            <w:vAlign w:val="bottom"/>
            <w:hideMark/>
          </w:tcPr>
          <w:p w14:paraId="002D2CD6" w14:textId="77777777" w:rsidR="006220A2" w:rsidRPr="00433906" w:rsidRDefault="006220A2" w:rsidP="00852114">
            <w:pPr>
              <w:rPr>
                <w:rFonts w:eastAsia="Times New Roman"/>
                <w:color w:val="auto"/>
                <w:sz w:val="18"/>
                <w:szCs w:val="18"/>
              </w:rPr>
            </w:pPr>
            <w:r w:rsidRPr="00433906">
              <w:rPr>
                <w:rFonts w:eastAsia="Times New Roman"/>
                <w:color w:val="auto"/>
                <w:sz w:val="18"/>
                <w:szCs w:val="18"/>
              </w:rPr>
              <w:t> </w:t>
            </w:r>
          </w:p>
        </w:tc>
        <w:tc>
          <w:tcPr>
            <w:tcW w:w="464" w:type="pct"/>
            <w:tcBorders>
              <w:top w:val="nil"/>
              <w:left w:val="nil"/>
              <w:bottom w:val="single" w:sz="8" w:space="0" w:color="auto"/>
              <w:right w:val="nil"/>
            </w:tcBorders>
            <w:shd w:val="clear" w:color="auto" w:fill="D9D9D9" w:themeFill="background1" w:themeFillShade="D9"/>
            <w:noWrap/>
            <w:vAlign w:val="center"/>
            <w:hideMark/>
          </w:tcPr>
          <w:p w14:paraId="601DAF75" w14:textId="77777777" w:rsidR="006220A2" w:rsidRPr="00433906" w:rsidRDefault="006220A2" w:rsidP="00852114">
            <w:pPr>
              <w:jc w:val="center"/>
              <w:rPr>
                <w:rFonts w:eastAsia="Times New Roman"/>
                <w:b/>
                <w:bCs/>
                <w:color w:val="auto"/>
                <w:sz w:val="18"/>
                <w:szCs w:val="18"/>
              </w:rPr>
            </w:pPr>
            <w:r w:rsidRPr="00433906">
              <w:rPr>
                <w:rFonts w:eastAsia="Times New Roman"/>
                <w:b/>
                <w:bCs/>
                <w:color w:val="auto"/>
                <w:sz w:val="18"/>
                <w:szCs w:val="18"/>
              </w:rPr>
              <w:t>Notas</w:t>
            </w:r>
          </w:p>
        </w:tc>
        <w:tc>
          <w:tcPr>
            <w:tcW w:w="1040" w:type="pct"/>
            <w:tcBorders>
              <w:top w:val="nil"/>
              <w:left w:val="nil"/>
              <w:bottom w:val="single" w:sz="8" w:space="0" w:color="auto"/>
              <w:right w:val="nil"/>
            </w:tcBorders>
            <w:shd w:val="clear" w:color="auto" w:fill="D9D9D9" w:themeFill="background1" w:themeFillShade="D9"/>
            <w:noWrap/>
            <w:vAlign w:val="bottom"/>
            <w:hideMark/>
          </w:tcPr>
          <w:p w14:paraId="6DE111AA" w14:textId="6950F49F" w:rsidR="006220A2" w:rsidRPr="00433906" w:rsidRDefault="004777E0" w:rsidP="00414B3D">
            <w:pPr>
              <w:jc w:val="center"/>
              <w:rPr>
                <w:rFonts w:eastAsia="Times New Roman"/>
                <w:b/>
                <w:bCs/>
                <w:color w:val="auto"/>
                <w:sz w:val="18"/>
                <w:szCs w:val="18"/>
              </w:rPr>
            </w:pPr>
            <w:r w:rsidRPr="00433906">
              <w:rPr>
                <w:rFonts w:eastAsia="Times New Roman"/>
                <w:b/>
                <w:bCs/>
                <w:color w:val="auto"/>
                <w:sz w:val="18"/>
                <w:szCs w:val="18"/>
              </w:rPr>
              <w:t>202</w:t>
            </w:r>
            <w:r w:rsidR="00C97B50" w:rsidRPr="00433906">
              <w:rPr>
                <w:rFonts w:eastAsia="Times New Roman"/>
                <w:b/>
                <w:bCs/>
                <w:color w:val="auto"/>
                <w:sz w:val="18"/>
                <w:szCs w:val="18"/>
              </w:rPr>
              <w:t>1</w:t>
            </w:r>
          </w:p>
        </w:tc>
        <w:tc>
          <w:tcPr>
            <w:tcW w:w="991" w:type="pct"/>
            <w:tcBorders>
              <w:top w:val="nil"/>
              <w:left w:val="nil"/>
              <w:bottom w:val="single" w:sz="8" w:space="0" w:color="auto"/>
              <w:right w:val="nil"/>
            </w:tcBorders>
            <w:shd w:val="clear" w:color="auto" w:fill="D9D9D9" w:themeFill="background1" w:themeFillShade="D9"/>
            <w:noWrap/>
            <w:vAlign w:val="bottom"/>
            <w:hideMark/>
          </w:tcPr>
          <w:p w14:paraId="6E6FA024" w14:textId="688F33D4" w:rsidR="006220A2" w:rsidRPr="00433906" w:rsidRDefault="004777E0" w:rsidP="00414B3D">
            <w:pPr>
              <w:jc w:val="center"/>
              <w:rPr>
                <w:rFonts w:eastAsia="Times New Roman"/>
                <w:b/>
                <w:bCs/>
                <w:color w:val="auto"/>
                <w:sz w:val="18"/>
                <w:szCs w:val="18"/>
              </w:rPr>
            </w:pPr>
            <w:r w:rsidRPr="00433906">
              <w:rPr>
                <w:rFonts w:eastAsia="Times New Roman"/>
                <w:b/>
                <w:bCs/>
                <w:color w:val="auto"/>
                <w:sz w:val="18"/>
                <w:szCs w:val="18"/>
              </w:rPr>
              <w:t>20</w:t>
            </w:r>
            <w:r w:rsidR="00C97B50" w:rsidRPr="00433906">
              <w:rPr>
                <w:rFonts w:eastAsia="Times New Roman"/>
                <w:b/>
                <w:bCs/>
                <w:color w:val="auto"/>
                <w:sz w:val="18"/>
                <w:szCs w:val="18"/>
              </w:rPr>
              <w:t>20</w:t>
            </w:r>
          </w:p>
        </w:tc>
      </w:tr>
      <w:tr w:rsidR="00C97B50" w:rsidRPr="00433906" w14:paraId="3870BF95" w14:textId="77777777" w:rsidTr="009524CA">
        <w:trPr>
          <w:trHeight w:val="340"/>
          <w:jc w:val="center"/>
        </w:trPr>
        <w:tc>
          <w:tcPr>
            <w:tcW w:w="2505" w:type="pct"/>
            <w:tcBorders>
              <w:top w:val="nil"/>
              <w:left w:val="nil"/>
              <w:bottom w:val="single" w:sz="8" w:space="0" w:color="auto"/>
              <w:right w:val="nil"/>
            </w:tcBorders>
            <w:shd w:val="clear" w:color="auto" w:fill="F2F2F2" w:themeFill="background1" w:themeFillShade="F2"/>
            <w:noWrap/>
            <w:vAlign w:val="center"/>
            <w:hideMark/>
          </w:tcPr>
          <w:p w14:paraId="26449E0C" w14:textId="77777777" w:rsidR="00C97B50" w:rsidRPr="00433906" w:rsidRDefault="00C97B50" w:rsidP="00C97B50">
            <w:pPr>
              <w:rPr>
                <w:rFonts w:eastAsia="Times New Roman"/>
                <w:b/>
                <w:bCs/>
                <w:color w:val="auto"/>
                <w:sz w:val="18"/>
                <w:szCs w:val="18"/>
              </w:rPr>
            </w:pPr>
            <w:r w:rsidRPr="00433906">
              <w:rPr>
                <w:rFonts w:eastAsia="Times New Roman"/>
                <w:b/>
                <w:bCs/>
                <w:color w:val="auto"/>
                <w:sz w:val="18"/>
                <w:szCs w:val="18"/>
              </w:rPr>
              <w:t>Resultado de la cuenta de pérdidas y ganancias</w:t>
            </w:r>
          </w:p>
        </w:tc>
        <w:tc>
          <w:tcPr>
            <w:tcW w:w="464" w:type="pct"/>
            <w:tcBorders>
              <w:top w:val="nil"/>
              <w:left w:val="nil"/>
              <w:bottom w:val="single" w:sz="8" w:space="0" w:color="auto"/>
              <w:right w:val="nil"/>
            </w:tcBorders>
            <w:shd w:val="clear" w:color="auto" w:fill="F2F2F2" w:themeFill="background1" w:themeFillShade="F2"/>
            <w:noWrap/>
            <w:vAlign w:val="center"/>
            <w:hideMark/>
          </w:tcPr>
          <w:p w14:paraId="31700BD3" w14:textId="604A6AD4" w:rsidR="00C97B50" w:rsidRPr="00433906" w:rsidRDefault="00C97B50" w:rsidP="00433906">
            <w:pPr>
              <w:jc w:val="center"/>
              <w:rPr>
                <w:rFonts w:eastAsia="Times New Roman"/>
                <w:color w:val="auto"/>
                <w:sz w:val="18"/>
                <w:szCs w:val="18"/>
              </w:rPr>
            </w:pPr>
          </w:p>
        </w:tc>
        <w:tc>
          <w:tcPr>
            <w:tcW w:w="1040" w:type="pct"/>
            <w:tcBorders>
              <w:top w:val="nil"/>
              <w:left w:val="nil"/>
              <w:bottom w:val="single" w:sz="8" w:space="0" w:color="auto"/>
              <w:right w:val="nil"/>
            </w:tcBorders>
            <w:shd w:val="clear" w:color="auto" w:fill="F2F2F2" w:themeFill="background1" w:themeFillShade="F2"/>
            <w:noWrap/>
            <w:vAlign w:val="center"/>
          </w:tcPr>
          <w:p w14:paraId="328272D9" w14:textId="641E7FF7" w:rsidR="00C97B50" w:rsidRPr="00433906" w:rsidRDefault="00D0273B" w:rsidP="00D0273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433906">
              <w:rPr>
                <w:b/>
                <w:bCs/>
                <w:sz w:val="18"/>
                <w:szCs w:val="18"/>
              </w:rPr>
              <w:t>(2.267.888,00)</w:t>
            </w:r>
          </w:p>
        </w:tc>
        <w:tc>
          <w:tcPr>
            <w:tcW w:w="991" w:type="pct"/>
            <w:tcBorders>
              <w:top w:val="nil"/>
              <w:left w:val="nil"/>
              <w:bottom w:val="single" w:sz="8" w:space="0" w:color="auto"/>
              <w:right w:val="nil"/>
            </w:tcBorders>
            <w:shd w:val="clear" w:color="auto" w:fill="F2F2F2" w:themeFill="background1" w:themeFillShade="F2"/>
            <w:noWrap/>
            <w:vAlign w:val="center"/>
            <w:hideMark/>
          </w:tcPr>
          <w:p w14:paraId="517CB676" w14:textId="68C6A4B5" w:rsidR="00C97B50" w:rsidRPr="00433906" w:rsidRDefault="00C97B50" w:rsidP="00C97B50">
            <w:pPr>
              <w:jc w:val="right"/>
              <w:rPr>
                <w:b/>
                <w:bCs/>
                <w:color w:val="auto"/>
                <w:sz w:val="18"/>
                <w:szCs w:val="18"/>
              </w:rPr>
            </w:pPr>
            <w:r w:rsidRPr="00433906">
              <w:rPr>
                <w:b/>
                <w:bCs/>
                <w:color w:val="auto"/>
                <w:sz w:val="18"/>
                <w:szCs w:val="18"/>
              </w:rPr>
              <w:t>(2.223.683,00)</w:t>
            </w:r>
          </w:p>
        </w:tc>
      </w:tr>
      <w:tr w:rsidR="00C97B50" w:rsidRPr="00433906" w14:paraId="2D389334" w14:textId="77777777" w:rsidTr="009524CA">
        <w:trPr>
          <w:trHeight w:val="255"/>
          <w:jc w:val="center"/>
        </w:trPr>
        <w:tc>
          <w:tcPr>
            <w:tcW w:w="2505" w:type="pct"/>
            <w:tcBorders>
              <w:top w:val="nil"/>
              <w:left w:val="nil"/>
              <w:right w:val="nil"/>
            </w:tcBorders>
            <w:shd w:val="clear" w:color="auto" w:fill="auto"/>
            <w:noWrap/>
            <w:vAlign w:val="center"/>
            <w:hideMark/>
          </w:tcPr>
          <w:p w14:paraId="5872947D" w14:textId="77777777" w:rsidR="00C97B50" w:rsidRPr="00433906" w:rsidRDefault="00C97B50" w:rsidP="00C97B50">
            <w:pPr>
              <w:rPr>
                <w:rFonts w:eastAsia="Times New Roman"/>
                <w:b/>
                <w:bCs/>
                <w:color w:val="auto"/>
                <w:sz w:val="18"/>
                <w:szCs w:val="18"/>
              </w:rPr>
            </w:pPr>
            <w:r w:rsidRPr="00433906">
              <w:rPr>
                <w:rFonts w:eastAsia="Times New Roman"/>
                <w:b/>
                <w:bCs/>
                <w:color w:val="auto"/>
                <w:sz w:val="18"/>
                <w:szCs w:val="18"/>
              </w:rPr>
              <w:t xml:space="preserve">Ingresos y gastos imputados directamente </w:t>
            </w:r>
          </w:p>
          <w:p w14:paraId="3EB765B0" w14:textId="77777777" w:rsidR="00C97B50" w:rsidRPr="00433906" w:rsidRDefault="00C97B50" w:rsidP="00C97B50">
            <w:pPr>
              <w:rPr>
                <w:rFonts w:eastAsia="Times New Roman"/>
                <w:b/>
                <w:bCs/>
                <w:color w:val="auto"/>
                <w:sz w:val="18"/>
                <w:szCs w:val="18"/>
              </w:rPr>
            </w:pPr>
            <w:r w:rsidRPr="00433906">
              <w:rPr>
                <w:rFonts w:eastAsia="Times New Roman"/>
                <w:b/>
                <w:bCs/>
                <w:color w:val="auto"/>
                <w:sz w:val="18"/>
                <w:szCs w:val="18"/>
              </w:rPr>
              <w:t>al patrimonio neto</w:t>
            </w:r>
          </w:p>
        </w:tc>
        <w:tc>
          <w:tcPr>
            <w:tcW w:w="464" w:type="pct"/>
            <w:tcBorders>
              <w:top w:val="nil"/>
              <w:left w:val="nil"/>
              <w:right w:val="nil"/>
            </w:tcBorders>
            <w:shd w:val="clear" w:color="auto" w:fill="auto"/>
            <w:noWrap/>
            <w:vAlign w:val="center"/>
            <w:hideMark/>
          </w:tcPr>
          <w:p w14:paraId="1CC4E875" w14:textId="21F139E2" w:rsidR="00C97B50" w:rsidRPr="00433906" w:rsidRDefault="00C97B50" w:rsidP="00433906">
            <w:pPr>
              <w:jc w:val="center"/>
              <w:rPr>
                <w:rFonts w:eastAsia="Times New Roman"/>
                <w:color w:val="auto"/>
                <w:sz w:val="18"/>
                <w:szCs w:val="18"/>
              </w:rPr>
            </w:pPr>
          </w:p>
        </w:tc>
        <w:tc>
          <w:tcPr>
            <w:tcW w:w="1040" w:type="pct"/>
            <w:tcBorders>
              <w:top w:val="nil"/>
              <w:left w:val="nil"/>
              <w:right w:val="nil"/>
            </w:tcBorders>
            <w:shd w:val="clear" w:color="auto" w:fill="auto"/>
            <w:noWrap/>
            <w:vAlign w:val="center"/>
          </w:tcPr>
          <w:p w14:paraId="491689F9" w14:textId="012011E2" w:rsidR="00C97B50" w:rsidRPr="00433906" w:rsidRDefault="00D0273B" w:rsidP="00C97B50">
            <w:pPr>
              <w:jc w:val="right"/>
              <w:rPr>
                <w:color w:val="auto"/>
                <w:sz w:val="18"/>
                <w:szCs w:val="18"/>
              </w:rPr>
            </w:pPr>
            <w:r w:rsidRPr="00433906">
              <w:rPr>
                <w:color w:val="auto"/>
                <w:sz w:val="18"/>
                <w:szCs w:val="18"/>
              </w:rPr>
              <w:t>-</w:t>
            </w:r>
          </w:p>
        </w:tc>
        <w:tc>
          <w:tcPr>
            <w:tcW w:w="991" w:type="pct"/>
            <w:tcBorders>
              <w:top w:val="nil"/>
              <w:left w:val="nil"/>
              <w:right w:val="nil"/>
            </w:tcBorders>
            <w:shd w:val="clear" w:color="auto" w:fill="auto"/>
            <w:noWrap/>
            <w:vAlign w:val="center"/>
            <w:hideMark/>
          </w:tcPr>
          <w:p w14:paraId="00B7FB83" w14:textId="342A5286" w:rsidR="00C97B50" w:rsidRPr="00433906" w:rsidRDefault="00C97B50" w:rsidP="00C97B50">
            <w:pPr>
              <w:jc w:val="right"/>
              <w:rPr>
                <w:color w:val="auto"/>
                <w:sz w:val="18"/>
                <w:szCs w:val="18"/>
              </w:rPr>
            </w:pPr>
            <w:r w:rsidRPr="00433906">
              <w:rPr>
                <w:color w:val="auto"/>
                <w:sz w:val="18"/>
                <w:szCs w:val="18"/>
              </w:rPr>
              <w:t xml:space="preserve"> -</w:t>
            </w:r>
          </w:p>
        </w:tc>
      </w:tr>
      <w:tr w:rsidR="00C97B50" w:rsidRPr="00433906" w14:paraId="509815AD" w14:textId="77777777" w:rsidTr="009524CA">
        <w:trPr>
          <w:trHeight w:val="255"/>
          <w:jc w:val="center"/>
        </w:trPr>
        <w:tc>
          <w:tcPr>
            <w:tcW w:w="2505" w:type="pct"/>
            <w:tcBorders>
              <w:left w:val="nil"/>
              <w:right w:val="nil"/>
            </w:tcBorders>
            <w:shd w:val="clear" w:color="auto" w:fill="auto"/>
            <w:noWrap/>
            <w:vAlign w:val="center"/>
          </w:tcPr>
          <w:p w14:paraId="6E73F7B9" w14:textId="77777777" w:rsidR="00C97B50" w:rsidRPr="00433906" w:rsidRDefault="00C97B50" w:rsidP="00C97B50">
            <w:pPr>
              <w:rPr>
                <w:rFonts w:eastAsia="Times New Roman"/>
                <w:color w:val="auto"/>
                <w:sz w:val="18"/>
                <w:szCs w:val="18"/>
              </w:rPr>
            </w:pPr>
            <w:r w:rsidRPr="00433906">
              <w:rPr>
                <w:rFonts w:eastAsia="Times New Roman"/>
                <w:color w:val="auto"/>
                <w:sz w:val="18"/>
                <w:szCs w:val="18"/>
              </w:rPr>
              <w:t>Subvenciones, donaciones y legados recibidos</w:t>
            </w:r>
          </w:p>
        </w:tc>
        <w:tc>
          <w:tcPr>
            <w:tcW w:w="464" w:type="pct"/>
            <w:tcBorders>
              <w:left w:val="nil"/>
              <w:right w:val="nil"/>
            </w:tcBorders>
            <w:shd w:val="clear" w:color="auto" w:fill="auto"/>
            <w:noWrap/>
            <w:vAlign w:val="center"/>
          </w:tcPr>
          <w:p w14:paraId="71F364A2" w14:textId="77777777" w:rsidR="00C97B50" w:rsidRPr="00433906" w:rsidRDefault="00C97B50" w:rsidP="00433906">
            <w:pPr>
              <w:jc w:val="center"/>
              <w:rPr>
                <w:rFonts w:eastAsia="Times New Roman"/>
                <w:color w:val="auto"/>
                <w:sz w:val="18"/>
                <w:szCs w:val="18"/>
              </w:rPr>
            </w:pPr>
            <w:r w:rsidRPr="00433906">
              <w:rPr>
                <w:rFonts w:eastAsia="Times New Roman"/>
                <w:color w:val="auto"/>
                <w:sz w:val="18"/>
                <w:szCs w:val="18"/>
              </w:rPr>
              <w:t>15</w:t>
            </w:r>
          </w:p>
        </w:tc>
        <w:tc>
          <w:tcPr>
            <w:tcW w:w="1040" w:type="pct"/>
            <w:tcBorders>
              <w:left w:val="nil"/>
              <w:right w:val="nil"/>
            </w:tcBorders>
            <w:shd w:val="clear" w:color="auto" w:fill="auto"/>
            <w:noWrap/>
            <w:vAlign w:val="center"/>
          </w:tcPr>
          <w:p w14:paraId="21689D27" w14:textId="465AB4D6" w:rsidR="00C97B50" w:rsidRPr="00433906" w:rsidRDefault="00D0273B" w:rsidP="00C97B5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433906">
              <w:rPr>
                <w:rFonts w:eastAsia="Times New Roman"/>
                <w:color w:val="auto"/>
                <w:sz w:val="18"/>
                <w:szCs w:val="18"/>
                <w:bdr w:val="none" w:sz="0" w:space="0" w:color="auto"/>
                <w:lang w:eastAsia="es-ES"/>
              </w:rPr>
              <w:t>-</w:t>
            </w:r>
          </w:p>
        </w:tc>
        <w:tc>
          <w:tcPr>
            <w:tcW w:w="991" w:type="pct"/>
            <w:tcBorders>
              <w:left w:val="nil"/>
              <w:right w:val="nil"/>
            </w:tcBorders>
            <w:shd w:val="clear" w:color="auto" w:fill="auto"/>
            <w:noWrap/>
            <w:vAlign w:val="center"/>
          </w:tcPr>
          <w:p w14:paraId="4561B636" w14:textId="377542ED" w:rsidR="00C97B50" w:rsidRPr="00433906" w:rsidRDefault="00C97B50" w:rsidP="00C97B50">
            <w:pPr>
              <w:jc w:val="right"/>
              <w:rPr>
                <w:color w:val="auto"/>
                <w:sz w:val="18"/>
                <w:szCs w:val="18"/>
              </w:rPr>
            </w:pPr>
            <w:r w:rsidRPr="00433906">
              <w:rPr>
                <w:sz w:val="18"/>
                <w:szCs w:val="18"/>
              </w:rPr>
              <w:t>90.600,00</w:t>
            </w:r>
          </w:p>
        </w:tc>
      </w:tr>
      <w:tr w:rsidR="00C97B50" w:rsidRPr="00433906" w14:paraId="552CC16D" w14:textId="77777777" w:rsidTr="009524CA">
        <w:trPr>
          <w:trHeight w:val="255"/>
          <w:jc w:val="center"/>
        </w:trPr>
        <w:tc>
          <w:tcPr>
            <w:tcW w:w="2505" w:type="pct"/>
            <w:tcBorders>
              <w:left w:val="nil"/>
              <w:bottom w:val="single" w:sz="8" w:space="0" w:color="auto"/>
              <w:right w:val="nil"/>
            </w:tcBorders>
            <w:shd w:val="clear" w:color="auto" w:fill="auto"/>
            <w:noWrap/>
            <w:vAlign w:val="center"/>
          </w:tcPr>
          <w:p w14:paraId="75846270" w14:textId="77777777" w:rsidR="00C97B50" w:rsidRPr="00433906" w:rsidRDefault="00C97B50" w:rsidP="00C97B50">
            <w:pPr>
              <w:rPr>
                <w:rFonts w:eastAsia="Times New Roman"/>
                <w:color w:val="auto"/>
                <w:sz w:val="18"/>
                <w:szCs w:val="18"/>
              </w:rPr>
            </w:pPr>
            <w:r w:rsidRPr="00433906">
              <w:rPr>
                <w:rFonts w:eastAsia="Times New Roman"/>
                <w:color w:val="auto"/>
                <w:sz w:val="18"/>
                <w:szCs w:val="18"/>
              </w:rPr>
              <w:t>Efecto impositivo</w:t>
            </w:r>
          </w:p>
        </w:tc>
        <w:tc>
          <w:tcPr>
            <w:tcW w:w="464" w:type="pct"/>
            <w:tcBorders>
              <w:left w:val="nil"/>
              <w:bottom w:val="single" w:sz="8" w:space="0" w:color="auto"/>
              <w:right w:val="nil"/>
            </w:tcBorders>
            <w:shd w:val="clear" w:color="auto" w:fill="auto"/>
            <w:noWrap/>
            <w:vAlign w:val="center"/>
          </w:tcPr>
          <w:p w14:paraId="72C165A9" w14:textId="77777777" w:rsidR="00C97B50" w:rsidRPr="00433906" w:rsidRDefault="00C97B50" w:rsidP="00433906">
            <w:pPr>
              <w:jc w:val="center"/>
              <w:rPr>
                <w:rFonts w:eastAsia="Times New Roman"/>
                <w:color w:val="auto"/>
                <w:sz w:val="18"/>
                <w:szCs w:val="18"/>
              </w:rPr>
            </w:pPr>
            <w:r w:rsidRPr="00433906">
              <w:rPr>
                <w:rFonts w:eastAsia="Times New Roman"/>
                <w:color w:val="auto"/>
                <w:sz w:val="18"/>
                <w:szCs w:val="18"/>
              </w:rPr>
              <w:t>11.3 / 15</w:t>
            </w:r>
          </w:p>
        </w:tc>
        <w:tc>
          <w:tcPr>
            <w:tcW w:w="1040" w:type="pct"/>
            <w:tcBorders>
              <w:left w:val="nil"/>
              <w:bottom w:val="single" w:sz="8" w:space="0" w:color="auto"/>
              <w:right w:val="nil"/>
            </w:tcBorders>
            <w:shd w:val="clear" w:color="auto" w:fill="auto"/>
            <w:noWrap/>
            <w:vAlign w:val="center"/>
          </w:tcPr>
          <w:p w14:paraId="0065F1B8" w14:textId="20D85641" w:rsidR="00C97B50" w:rsidRPr="00433906" w:rsidRDefault="00D0273B" w:rsidP="00C97B50">
            <w:pPr>
              <w:jc w:val="right"/>
              <w:rPr>
                <w:sz w:val="18"/>
                <w:szCs w:val="18"/>
              </w:rPr>
            </w:pPr>
            <w:r w:rsidRPr="00433906">
              <w:rPr>
                <w:sz w:val="18"/>
                <w:szCs w:val="18"/>
              </w:rPr>
              <w:t>-</w:t>
            </w:r>
          </w:p>
        </w:tc>
        <w:tc>
          <w:tcPr>
            <w:tcW w:w="991" w:type="pct"/>
            <w:tcBorders>
              <w:left w:val="nil"/>
              <w:bottom w:val="single" w:sz="8" w:space="0" w:color="auto"/>
              <w:right w:val="nil"/>
            </w:tcBorders>
            <w:shd w:val="clear" w:color="auto" w:fill="auto"/>
            <w:noWrap/>
            <w:vAlign w:val="center"/>
          </w:tcPr>
          <w:p w14:paraId="61F6D3EB" w14:textId="025BBAE2" w:rsidR="00C97B50" w:rsidRPr="00433906" w:rsidRDefault="00C97B50" w:rsidP="00C97B50">
            <w:pPr>
              <w:jc w:val="right"/>
              <w:rPr>
                <w:color w:val="auto"/>
                <w:sz w:val="18"/>
                <w:szCs w:val="18"/>
              </w:rPr>
            </w:pPr>
            <w:r w:rsidRPr="00433906">
              <w:rPr>
                <w:sz w:val="18"/>
                <w:szCs w:val="18"/>
              </w:rPr>
              <w:t>(22.650,00)</w:t>
            </w:r>
          </w:p>
        </w:tc>
      </w:tr>
      <w:tr w:rsidR="00C97B50" w:rsidRPr="00433906" w14:paraId="7E95668D" w14:textId="77777777" w:rsidTr="009524CA">
        <w:trPr>
          <w:trHeight w:val="340"/>
          <w:jc w:val="center"/>
        </w:trPr>
        <w:tc>
          <w:tcPr>
            <w:tcW w:w="2505" w:type="pct"/>
            <w:tcBorders>
              <w:top w:val="nil"/>
              <w:left w:val="nil"/>
              <w:bottom w:val="single" w:sz="8" w:space="0" w:color="auto"/>
              <w:right w:val="nil"/>
            </w:tcBorders>
            <w:shd w:val="clear" w:color="auto" w:fill="F2F2F2" w:themeFill="background1" w:themeFillShade="F2"/>
            <w:noWrap/>
            <w:vAlign w:val="center"/>
            <w:hideMark/>
          </w:tcPr>
          <w:p w14:paraId="31055FC5" w14:textId="77777777" w:rsidR="00C97B50" w:rsidRPr="00433906" w:rsidRDefault="00C97B50" w:rsidP="00C97B50">
            <w:pPr>
              <w:rPr>
                <w:rFonts w:eastAsia="Times New Roman"/>
                <w:b/>
                <w:bCs/>
                <w:color w:val="auto"/>
                <w:sz w:val="18"/>
                <w:szCs w:val="18"/>
              </w:rPr>
            </w:pPr>
            <w:r w:rsidRPr="00433906">
              <w:rPr>
                <w:rFonts w:eastAsia="Times New Roman"/>
                <w:b/>
                <w:bCs/>
                <w:color w:val="auto"/>
                <w:sz w:val="18"/>
                <w:szCs w:val="18"/>
              </w:rPr>
              <w:t xml:space="preserve">Ingresos y Gastos imputados directamente </w:t>
            </w:r>
          </w:p>
          <w:p w14:paraId="3637D4FF" w14:textId="77777777" w:rsidR="00C97B50" w:rsidRPr="00433906" w:rsidRDefault="00C97B50" w:rsidP="00C97B50">
            <w:pPr>
              <w:rPr>
                <w:rFonts w:eastAsia="Times New Roman"/>
                <w:b/>
                <w:bCs/>
                <w:color w:val="auto"/>
                <w:sz w:val="18"/>
                <w:szCs w:val="18"/>
              </w:rPr>
            </w:pPr>
            <w:r w:rsidRPr="00433906">
              <w:rPr>
                <w:rFonts w:eastAsia="Times New Roman"/>
                <w:b/>
                <w:bCs/>
                <w:color w:val="auto"/>
                <w:sz w:val="18"/>
                <w:szCs w:val="18"/>
              </w:rPr>
              <w:t>en el Patrimonio neto</w:t>
            </w:r>
          </w:p>
        </w:tc>
        <w:tc>
          <w:tcPr>
            <w:tcW w:w="464" w:type="pct"/>
            <w:tcBorders>
              <w:top w:val="nil"/>
              <w:left w:val="nil"/>
              <w:bottom w:val="single" w:sz="8" w:space="0" w:color="auto"/>
              <w:right w:val="nil"/>
            </w:tcBorders>
            <w:shd w:val="clear" w:color="auto" w:fill="F2F2F2" w:themeFill="background1" w:themeFillShade="F2"/>
            <w:noWrap/>
            <w:vAlign w:val="center"/>
            <w:hideMark/>
          </w:tcPr>
          <w:p w14:paraId="16F2F89B" w14:textId="3E465809" w:rsidR="00C97B50" w:rsidRPr="00433906" w:rsidRDefault="00C97B50" w:rsidP="00433906">
            <w:pPr>
              <w:jc w:val="center"/>
              <w:rPr>
                <w:rFonts w:eastAsia="Times New Roman"/>
                <w:color w:val="auto"/>
                <w:sz w:val="18"/>
                <w:szCs w:val="18"/>
                <w:highlight w:val="yellow"/>
              </w:rPr>
            </w:pPr>
          </w:p>
        </w:tc>
        <w:tc>
          <w:tcPr>
            <w:tcW w:w="1040" w:type="pct"/>
            <w:tcBorders>
              <w:top w:val="nil"/>
              <w:left w:val="nil"/>
              <w:bottom w:val="single" w:sz="8" w:space="0" w:color="auto"/>
              <w:right w:val="nil"/>
            </w:tcBorders>
            <w:shd w:val="clear" w:color="auto" w:fill="F2F2F2" w:themeFill="background1" w:themeFillShade="F2"/>
            <w:noWrap/>
            <w:vAlign w:val="center"/>
          </w:tcPr>
          <w:p w14:paraId="02380E1B" w14:textId="2671B8C2" w:rsidR="00C97B50" w:rsidRPr="00433906" w:rsidRDefault="00D0273B" w:rsidP="00C97B50">
            <w:pPr>
              <w:jc w:val="right"/>
              <w:rPr>
                <w:b/>
                <w:bCs/>
                <w:sz w:val="18"/>
                <w:szCs w:val="18"/>
              </w:rPr>
            </w:pPr>
            <w:r w:rsidRPr="00433906">
              <w:rPr>
                <w:b/>
                <w:bCs/>
                <w:sz w:val="18"/>
                <w:szCs w:val="18"/>
              </w:rPr>
              <w:t>-</w:t>
            </w:r>
          </w:p>
        </w:tc>
        <w:tc>
          <w:tcPr>
            <w:tcW w:w="991" w:type="pct"/>
            <w:tcBorders>
              <w:top w:val="nil"/>
              <w:left w:val="nil"/>
              <w:bottom w:val="single" w:sz="8" w:space="0" w:color="auto"/>
              <w:right w:val="nil"/>
            </w:tcBorders>
            <w:shd w:val="clear" w:color="auto" w:fill="F2F2F2" w:themeFill="background1" w:themeFillShade="F2"/>
            <w:noWrap/>
            <w:vAlign w:val="center"/>
            <w:hideMark/>
          </w:tcPr>
          <w:p w14:paraId="3B81D356" w14:textId="3D8BAF33" w:rsidR="00C97B50" w:rsidRPr="00433906" w:rsidRDefault="00C97B50" w:rsidP="00C97B50">
            <w:pPr>
              <w:jc w:val="right"/>
              <w:rPr>
                <w:b/>
                <w:bCs/>
                <w:color w:val="auto"/>
                <w:sz w:val="18"/>
                <w:szCs w:val="18"/>
              </w:rPr>
            </w:pPr>
            <w:r w:rsidRPr="00433906">
              <w:rPr>
                <w:b/>
                <w:bCs/>
                <w:sz w:val="18"/>
                <w:szCs w:val="18"/>
              </w:rPr>
              <w:t>67.950,00</w:t>
            </w:r>
          </w:p>
        </w:tc>
      </w:tr>
      <w:tr w:rsidR="00D0273B" w:rsidRPr="00433906" w14:paraId="6D188F0B" w14:textId="77777777" w:rsidTr="009524CA">
        <w:trPr>
          <w:trHeight w:val="255"/>
          <w:jc w:val="center"/>
        </w:trPr>
        <w:tc>
          <w:tcPr>
            <w:tcW w:w="2505" w:type="pct"/>
            <w:tcBorders>
              <w:top w:val="nil"/>
              <w:left w:val="nil"/>
              <w:bottom w:val="nil"/>
              <w:right w:val="nil"/>
            </w:tcBorders>
            <w:shd w:val="clear" w:color="auto" w:fill="auto"/>
            <w:noWrap/>
            <w:vAlign w:val="center"/>
            <w:hideMark/>
          </w:tcPr>
          <w:p w14:paraId="448C3E09" w14:textId="77777777" w:rsidR="00D0273B" w:rsidRPr="00433906" w:rsidRDefault="00D0273B" w:rsidP="00D0273B">
            <w:pPr>
              <w:rPr>
                <w:rFonts w:eastAsia="Times New Roman"/>
                <w:color w:val="auto"/>
                <w:sz w:val="18"/>
                <w:szCs w:val="18"/>
              </w:rPr>
            </w:pPr>
            <w:r w:rsidRPr="00433906">
              <w:rPr>
                <w:rFonts w:eastAsia="Times New Roman"/>
                <w:color w:val="auto"/>
                <w:sz w:val="18"/>
                <w:szCs w:val="18"/>
              </w:rPr>
              <w:t>Subvenciones, donaciones y legados recibidos</w:t>
            </w:r>
          </w:p>
        </w:tc>
        <w:tc>
          <w:tcPr>
            <w:tcW w:w="464" w:type="pct"/>
            <w:tcBorders>
              <w:top w:val="nil"/>
              <w:left w:val="nil"/>
              <w:bottom w:val="nil"/>
              <w:right w:val="nil"/>
            </w:tcBorders>
            <w:shd w:val="clear" w:color="auto" w:fill="auto"/>
            <w:noWrap/>
            <w:vAlign w:val="center"/>
            <w:hideMark/>
          </w:tcPr>
          <w:p w14:paraId="5334C133" w14:textId="77777777" w:rsidR="00D0273B" w:rsidRPr="00433906" w:rsidRDefault="00D0273B" w:rsidP="00433906">
            <w:pPr>
              <w:jc w:val="center"/>
              <w:rPr>
                <w:rFonts w:eastAsia="Times New Roman"/>
                <w:color w:val="auto"/>
                <w:sz w:val="18"/>
                <w:szCs w:val="18"/>
              </w:rPr>
            </w:pPr>
            <w:r w:rsidRPr="00433906">
              <w:rPr>
                <w:rFonts w:eastAsia="Times New Roman"/>
                <w:color w:val="auto"/>
                <w:sz w:val="18"/>
                <w:szCs w:val="18"/>
              </w:rPr>
              <w:t>15</w:t>
            </w:r>
          </w:p>
        </w:tc>
        <w:tc>
          <w:tcPr>
            <w:tcW w:w="1040" w:type="pct"/>
            <w:tcBorders>
              <w:top w:val="nil"/>
              <w:left w:val="nil"/>
              <w:bottom w:val="nil"/>
              <w:right w:val="nil"/>
            </w:tcBorders>
            <w:shd w:val="clear" w:color="auto" w:fill="auto"/>
            <w:noWrap/>
            <w:vAlign w:val="center"/>
          </w:tcPr>
          <w:p w14:paraId="29E4AAE1" w14:textId="034BAEED" w:rsidR="00D0273B" w:rsidRPr="00433906" w:rsidRDefault="00D0273B" w:rsidP="00D0273B">
            <w:pPr>
              <w:jc w:val="right"/>
              <w:rPr>
                <w:sz w:val="18"/>
                <w:szCs w:val="18"/>
              </w:rPr>
            </w:pPr>
            <w:r w:rsidRPr="00433906">
              <w:rPr>
                <w:sz w:val="18"/>
                <w:szCs w:val="18"/>
              </w:rPr>
              <w:t>(72.549,44)</w:t>
            </w:r>
          </w:p>
        </w:tc>
        <w:tc>
          <w:tcPr>
            <w:tcW w:w="991" w:type="pct"/>
            <w:tcBorders>
              <w:top w:val="nil"/>
              <w:left w:val="nil"/>
              <w:bottom w:val="nil"/>
              <w:right w:val="nil"/>
            </w:tcBorders>
            <w:shd w:val="clear" w:color="auto" w:fill="auto"/>
            <w:noWrap/>
            <w:vAlign w:val="center"/>
            <w:hideMark/>
          </w:tcPr>
          <w:p w14:paraId="447C3C0D" w14:textId="7DAA9124" w:rsidR="00D0273B" w:rsidRPr="00433906" w:rsidRDefault="00D0273B" w:rsidP="00D0273B">
            <w:pPr>
              <w:jc w:val="right"/>
              <w:rPr>
                <w:color w:val="auto"/>
                <w:sz w:val="18"/>
                <w:szCs w:val="18"/>
              </w:rPr>
            </w:pPr>
            <w:r w:rsidRPr="00433906">
              <w:rPr>
                <w:sz w:val="18"/>
                <w:szCs w:val="18"/>
              </w:rPr>
              <w:t>(116.577,80)</w:t>
            </w:r>
          </w:p>
        </w:tc>
      </w:tr>
      <w:tr w:rsidR="00D0273B" w:rsidRPr="00433906" w14:paraId="479C1167" w14:textId="77777777" w:rsidTr="009524CA">
        <w:trPr>
          <w:trHeight w:val="255"/>
          <w:jc w:val="center"/>
        </w:trPr>
        <w:tc>
          <w:tcPr>
            <w:tcW w:w="2505" w:type="pct"/>
            <w:tcBorders>
              <w:top w:val="nil"/>
              <w:left w:val="nil"/>
              <w:bottom w:val="single" w:sz="4" w:space="0" w:color="auto"/>
              <w:right w:val="nil"/>
            </w:tcBorders>
            <w:shd w:val="clear" w:color="auto" w:fill="auto"/>
            <w:noWrap/>
            <w:vAlign w:val="center"/>
            <w:hideMark/>
          </w:tcPr>
          <w:p w14:paraId="62348E68" w14:textId="77777777" w:rsidR="00D0273B" w:rsidRPr="00433906" w:rsidRDefault="00D0273B" w:rsidP="00D0273B">
            <w:pPr>
              <w:rPr>
                <w:rFonts w:eastAsia="Times New Roman"/>
                <w:color w:val="auto"/>
                <w:sz w:val="18"/>
                <w:szCs w:val="18"/>
              </w:rPr>
            </w:pPr>
            <w:r w:rsidRPr="00433906">
              <w:rPr>
                <w:rFonts w:eastAsia="Times New Roman"/>
                <w:color w:val="auto"/>
                <w:sz w:val="18"/>
                <w:szCs w:val="18"/>
              </w:rPr>
              <w:t>Efecto impositivo</w:t>
            </w:r>
          </w:p>
        </w:tc>
        <w:tc>
          <w:tcPr>
            <w:tcW w:w="464" w:type="pct"/>
            <w:tcBorders>
              <w:top w:val="nil"/>
              <w:left w:val="nil"/>
              <w:bottom w:val="single" w:sz="4" w:space="0" w:color="auto"/>
              <w:right w:val="nil"/>
            </w:tcBorders>
            <w:shd w:val="clear" w:color="auto" w:fill="auto"/>
            <w:noWrap/>
            <w:vAlign w:val="center"/>
            <w:hideMark/>
          </w:tcPr>
          <w:p w14:paraId="15481DE6" w14:textId="77777777" w:rsidR="00D0273B" w:rsidRPr="00433906" w:rsidRDefault="00D0273B" w:rsidP="00433906">
            <w:pPr>
              <w:jc w:val="center"/>
              <w:rPr>
                <w:rFonts w:eastAsia="Times New Roman"/>
                <w:color w:val="auto"/>
                <w:sz w:val="18"/>
                <w:szCs w:val="18"/>
              </w:rPr>
            </w:pPr>
            <w:r w:rsidRPr="00433906">
              <w:rPr>
                <w:rFonts w:eastAsia="Times New Roman"/>
                <w:color w:val="auto"/>
                <w:sz w:val="18"/>
                <w:szCs w:val="18"/>
              </w:rPr>
              <w:t>11.3 / 15</w:t>
            </w:r>
          </w:p>
        </w:tc>
        <w:tc>
          <w:tcPr>
            <w:tcW w:w="1040" w:type="pct"/>
            <w:tcBorders>
              <w:top w:val="nil"/>
              <w:left w:val="nil"/>
              <w:bottom w:val="single" w:sz="4" w:space="0" w:color="auto"/>
              <w:right w:val="nil"/>
            </w:tcBorders>
            <w:shd w:val="clear" w:color="auto" w:fill="auto"/>
            <w:noWrap/>
            <w:vAlign w:val="center"/>
          </w:tcPr>
          <w:p w14:paraId="0AAFCC89" w14:textId="09827705" w:rsidR="00D0273B" w:rsidRPr="00433906" w:rsidRDefault="00D0273B" w:rsidP="00D0273B">
            <w:pPr>
              <w:jc w:val="right"/>
              <w:rPr>
                <w:sz w:val="18"/>
                <w:szCs w:val="18"/>
              </w:rPr>
            </w:pPr>
            <w:r w:rsidRPr="00433906">
              <w:rPr>
                <w:sz w:val="18"/>
                <w:szCs w:val="18"/>
              </w:rPr>
              <w:t>18.101,37</w:t>
            </w:r>
          </w:p>
        </w:tc>
        <w:tc>
          <w:tcPr>
            <w:tcW w:w="991" w:type="pct"/>
            <w:tcBorders>
              <w:top w:val="nil"/>
              <w:left w:val="nil"/>
              <w:bottom w:val="single" w:sz="4" w:space="0" w:color="auto"/>
              <w:right w:val="nil"/>
            </w:tcBorders>
            <w:shd w:val="clear" w:color="auto" w:fill="auto"/>
            <w:noWrap/>
            <w:vAlign w:val="center"/>
            <w:hideMark/>
          </w:tcPr>
          <w:p w14:paraId="15465E4B" w14:textId="6FF1662D" w:rsidR="00D0273B" w:rsidRPr="00433906" w:rsidRDefault="00D0273B" w:rsidP="00D0273B">
            <w:pPr>
              <w:jc w:val="right"/>
              <w:rPr>
                <w:color w:val="auto"/>
                <w:sz w:val="18"/>
                <w:szCs w:val="18"/>
              </w:rPr>
            </w:pPr>
            <w:r w:rsidRPr="00433906">
              <w:rPr>
                <w:sz w:val="18"/>
                <w:szCs w:val="18"/>
              </w:rPr>
              <w:t>29.108,46</w:t>
            </w:r>
          </w:p>
        </w:tc>
      </w:tr>
      <w:tr w:rsidR="00D0273B" w:rsidRPr="00433906" w14:paraId="1FEE4BEB" w14:textId="77777777" w:rsidTr="002E3C11">
        <w:trPr>
          <w:trHeight w:val="283"/>
          <w:jc w:val="center"/>
        </w:trPr>
        <w:tc>
          <w:tcPr>
            <w:tcW w:w="2505" w:type="pct"/>
            <w:tcBorders>
              <w:top w:val="single" w:sz="4" w:space="0" w:color="auto"/>
              <w:left w:val="nil"/>
              <w:bottom w:val="single" w:sz="8" w:space="0" w:color="auto"/>
              <w:right w:val="nil"/>
            </w:tcBorders>
            <w:shd w:val="clear" w:color="auto" w:fill="F2F2F2" w:themeFill="background1" w:themeFillShade="F2"/>
            <w:noWrap/>
            <w:vAlign w:val="center"/>
          </w:tcPr>
          <w:p w14:paraId="49547210" w14:textId="77777777" w:rsidR="00D0273B" w:rsidRPr="00433906" w:rsidRDefault="00D0273B" w:rsidP="00D0273B">
            <w:pPr>
              <w:rPr>
                <w:rFonts w:eastAsia="Times New Roman"/>
                <w:b/>
                <w:bCs/>
                <w:color w:val="auto"/>
                <w:sz w:val="18"/>
                <w:szCs w:val="18"/>
              </w:rPr>
            </w:pPr>
            <w:r w:rsidRPr="00433906">
              <w:rPr>
                <w:rFonts w:eastAsia="Times New Roman"/>
                <w:b/>
                <w:bCs/>
                <w:color w:val="auto"/>
                <w:sz w:val="18"/>
                <w:szCs w:val="18"/>
              </w:rPr>
              <w:t>Transferencias a la cuenta de pérdidas y ganancias</w:t>
            </w:r>
          </w:p>
        </w:tc>
        <w:tc>
          <w:tcPr>
            <w:tcW w:w="464" w:type="pct"/>
            <w:tcBorders>
              <w:top w:val="single" w:sz="4" w:space="0" w:color="auto"/>
              <w:left w:val="nil"/>
              <w:bottom w:val="single" w:sz="8" w:space="0" w:color="auto"/>
              <w:right w:val="nil"/>
            </w:tcBorders>
            <w:shd w:val="clear" w:color="auto" w:fill="F2F2F2" w:themeFill="background1" w:themeFillShade="F2"/>
            <w:noWrap/>
            <w:vAlign w:val="center"/>
          </w:tcPr>
          <w:p w14:paraId="47A89AE4" w14:textId="2BAC2F4E" w:rsidR="00D0273B" w:rsidRPr="00433906" w:rsidRDefault="00D0273B" w:rsidP="00433906">
            <w:pPr>
              <w:jc w:val="center"/>
              <w:rPr>
                <w:rFonts w:eastAsia="Times New Roman"/>
                <w:color w:val="auto"/>
                <w:sz w:val="18"/>
                <w:szCs w:val="18"/>
              </w:rPr>
            </w:pPr>
          </w:p>
        </w:tc>
        <w:tc>
          <w:tcPr>
            <w:tcW w:w="1040" w:type="pct"/>
            <w:tcBorders>
              <w:top w:val="single" w:sz="4" w:space="0" w:color="auto"/>
              <w:left w:val="nil"/>
              <w:bottom w:val="single" w:sz="8" w:space="0" w:color="auto"/>
              <w:right w:val="nil"/>
            </w:tcBorders>
            <w:shd w:val="clear" w:color="auto" w:fill="F2F2F2" w:themeFill="background1" w:themeFillShade="F2"/>
            <w:noWrap/>
            <w:vAlign w:val="center"/>
          </w:tcPr>
          <w:p w14:paraId="2A4AF6D2" w14:textId="6D1CA1C7" w:rsidR="00D0273B" w:rsidRPr="00433906" w:rsidRDefault="00D0273B" w:rsidP="00D0273B">
            <w:pPr>
              <w:jc w:val="right"/>
              <w:rPr>
                <w:b/>
                <w:bCs/>
                <w:sz w:val="18"/>
                <w:szCs w:val="18"/>
              </w:rPr>
            </w:pPr>
            <w:r w:rsidRPr="00433906">
              <w:rPr>
                <w:b/>
                <w:bCs/>
                <w:sz w:val="18"/>
                <w:szCs w:val="18"/>
              </w:rPr>
              <w:t>(54.448,07)</w:t>
            </w:r>
          </w:p>
        </w:tc>
        <w:tc>
          <w:tcPr>
            <w:tcW w:w="991" w:type="pct"/>
            <w:tcBorders>
              <w:top w:val="single" w:sz="4" w:space="0" w:color="auto"/>
              <w:left w:val="nil"/>
              <w:bottom w:val="single" w:sz="8" w:space="0" w:color="auto"/>
              <w:right w:val="nil"/>
            </w:tcBorders>
            <w:shd w:val="clear" w:color="auto" w:fill="F2F2F2" w:themeFill="background1" w:themeFillShade="F2"/>
            <w:noWrap/>
            <w:vAlign w:val="center"/>
          </w:tcPr>
          <w:p w14:paraId="18EB8F89" w14:textId="16EBA874" w:rsidR="00D0273B" w:rsidRPr="00433906" w:rsidRDefault="00D0273B" w:rsidP="00D0273B">
            <w:pPr>
              <w:jc w:val="right"/>
              <w:rPr>
                <w:b/>
                <w:bCs/>
                <w:color w:val="auto"/>
                <w:sz w:val="18"/>
                <w:szCs w:val="18"/>
              </w:rPr>
            </w:pPr>
            <w:r w:rsidRPr="00433906">
              <w:rPr>
                <w:b/>
                <w:bCs/>
                <w:sz w:val="18"/>
                <w:szCs w:val="18"/>
              </w:rPr>
              <w:t>(87.469,34)</w:t>
            </w:r>
          </w:p>
        </w:tc>
      </w:tr>
      <w:tr w:rsidR="00D0273B" w:rsidRPr="00433906" w14:paraId="42D48848" w14:textId="77777777" w:rsidTr="002E3C11">
        <w:trPr>
          <w:trHeight w:val="283"/>
          <w:jc w:val="center"/>
        </w:trPr>
        <w:tc>
          <w:tcPr>
            <w:tcW w:w="2505" w:type="pct"/>
            <w:tcBorders>
              <w:top w:val="single" w:sz="8" w:space="0" w:color="auto"/>
              <w:left w:val="nil"/>
              <w:bottom w:val="single" w:sz="8" w:space="0" w:color="auto"/>
              <w:right w:val="nil"/>
            </w:tcBorders>
            <w:shd w:val="clear" w:color="auto" w:fill="F2F2F2" w:themeFill="background1" w:themeFillShade="F2"/>
            <w:noWrap/>
            <w:vAlign w:val="center"/>
            <w:hideMark/>
          </w:tcPr>
          <w:p w14:paraId="13E34559" w14:textId="77777777" w:rsidR="00D0273B" w:rsidRPr="00433906" w:rsidRDefault="00D0273B" w:rsidP="00D0273B">
            <w:pPr>
              <w:rPr>
                <w:rFonts w:eastAsia="Times New Roman"/>
                <w:b/>
                <w:bCs/>
                <w:color w:val="auto"/>
                <w:sz w:val="18"/>
                <w:szCs w:val="18"/>
              </w:rPr>
            </w:pPr>
            <w:proofErr w:type="gramStart"/>
            <w:r w:rsidRPr="00433906">
              <w:rPr>
                <w:rFonts w:eastAsia="Times New Roman"/>
                <w:b/>
                <w:bCs/>
                <w:color w:val="auto"/>
                <w:sz w:val="18"/>
                <w:szCs w:val="18"/>
              </w:rPr>
              <w:t>TOTAL</w:t>
            </w:r>
            <w:proofErr w:type="gramEnd"/>
            <w:r w:rsidRPr="00433906">
              <w:rPr>
                <w:rFonts w:eastAsia="Times New Roman"/>
                <w:b/>
                <w:bCs/>
                <w:color w:val="auto"/>
                <w:sz w:val="18"/>
                <w:szCs w:val="18"/>
              </w:rPr>
              <w:t xml:space="preserve"> DE INGRESOS Y GASTOS RECONOCIDOS</w:t>
            </w:r>
          </w:p>
        </w:tc>
        <w:tc>
          <w:tcPr>
            <w:tcW w:w="464" w:type="pct"/>
            <w:tcBorders>
              <w:top w:val="single" w:sz="8" w:space="0" w:color="auto"/>
              <w:left w:val="nil"/>
              <w:bottom w:val="single" w:sz="8" w:space="0" w:color="auto"/>
              <w:right w:val="nil"/>
            </w:tcBorders>
            <w:shd w:val="clear" w:color="auto" w:fill="F2F2F2" w:themeFill="background1" w:themeFillShade="F2"/>
            <w:noWrap/>
            <w:vAlign w:val="center"/>
            <w:hideMark/>
          </w:tcPr>
          <w:p w14:paraId="10E82C0B" w14:textId="77777777" w:rsidR="00D0273B" w:rsidRPr="00433906" w:rsidRDefault="00D0273B" w:rsidP="00D0273B">
            <w:pPr>
              <w:rPr>
                <w:rFonts w:eastAsia="Times New Roman"/>
                <w:color w:val="auto"/>
                <w:sz w:val="18"/>
                <w:szCs w:val="18"/>
              </w:rPr>
            </w:pPr>
            <w:r w:rsidRPr="00433906">
              <w:rPr>
                <w:rFonts w:eastAsia="Times New Roman"/>
                <w:color w:val="auto"/>
                <w:sz w:val="18"/>
                <w:szCs w:val="18"/>
              </w:rPr>
              <w:t> </w:t>
            </w:r>
          </w:p>
        </w:tc>
        <w:tc>
          <w:tcPr>
            <w:tcW w:w="1040" w:type="pct"/>
            <w:tcBorders>
              <w:top w:val="single" w:sz="8" w:space="0" w:color="auto"/>
              <w:left w:val="nil"/>
              <w:bottom w:val="single" w:sz="8" w:space="0" w:color="auto"/>
              <w:right w:val="nil"/>
            </w:tcBorders>
            <w:shd w:val="clear" w:color="auto" w:fill="F2F2F2" w:themeFill="background1" w:themeFillShade="F2"/>
            <w:noWrap/>
            <w:vAlign w:val="center"/>
          </w:tcPr>
          <w:p w14:paraId="35EE6B21" w14:textId="7E775181" w:rsidR="00D0273B" w:rsidRPr="00433906" w:rsidRDefault="00D0273B" w:rsidP="00D0273B">
            <w:pPr>
              <w:jc w:val="right"/>
              <w:rPr>
                <w:b/>
                <w:bCs/>
                <w:sz w:val="18"/>
                <w:szCs w:val="18"/>
              </w:rPr>
            </w:pPr>
            <w:r w:rsidRPr="00433906">
              <w:rPr>
                <w:b/>
                <w:bCs/>
                <w:sz w:val="18"/>
                <w:szCs w:val="18"/>
              </w:rPr>
              <w:t>(2.322.336,07)</w:t>
            </w:r>
          </w:p>
        </w:tc>
        <w:tc>
          <w:tcPr>
            <w:tcW w:w="991" w:type="pct"/>
            <w:tcBorders>
              <w:top w:val="single" w:sz="8" w:space="0" w:color="auto"/>
              <w:left w:val="nil"/>
              <w:bottom w:val="single" w:sz="8" w:space="0" w:color="auto"/>
              <w:right w:val="nil"/>
            </w:tcBorders>
            <w:shd w:val="clear" w:color="auto" w:fill="F2F2F2" w:themeFill="background1" w:themeFillShade="F2"/>
            <w:noWrap/>
            <w:vAlign w:val="center"/>
            <w:hideMark/>
          </w:tcPr>
          <w:p w14:paraId="16908F42" w14:textId="3D84307A" w:rsidR="00D0273B" w:rsidRPr="00433906" w:rsidRDefault="00D0273B" w:rsidP="00D0273B">
            <w:pPr>
              <w:jc w:val="right"/>
              <w:rPr>
                <w:b/>
                <w:bCs/>
                <w:color w:val="auto"/>
                <w:sz w:val="18"/>
                <w:szCs w:val="18"/>
              </w:rPr>
            </w:pPr>
            <w:r w:rsidRPr="00433906">
              <w:rPr>
                <w:b/>
                <w:bCs/>
                <w:sz w:val="18"/>
                <w:szCs w:val="18"/>
              </w:rPr>
              <w:t>(2.243.202,34)</w:t>
            </w:r>
          </w:p>
        </w:tc>
      </w:tr>
    </w:tbl>
    <w:p w14:paraId="6E7CF98F" w14:textId="77777777" w:rsidR="006220A2" w:rsidRPr="0083433F" w:rsidRDefault="006220A2" w:rsidP="006220A2">
      <w:pPr>
        <w:widowControl w:val="0"/>
        <w:tabs>
          <w:tab w:val="left" w:pos="284"/>
          <w:tab w:val="left" w:pos="567"/>
          <w:tab w:val="left" w:pos="851"/>
        </w:tabs>
        <w:rPr>
          <w:b/>
          <w:snapToGrid w:val="0"/>
          <w:sz w:val="20"/>
        </w:rPr>
      </w:pPr>
    </w:p>
    <w:p w14:paraId="4B7EE71F"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20"/>
        </w:rPr>
      </w:pPr>
    </w:p>
    <w:p w14:paraId="5E7579FC"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 w:val="20"/>
        </w:rPr>
      </w:pPr>
      <w:r w:rsidRPr="0083433F">
        <w:rPr>
          <w:b/>
          <w:snapToGrid w:val="0"/>
          <w:sz w:val="20"/>
        </w:rPr>
        <w:t xml:space="preserve">B) </w:t>
      </w:r>
      <w:r w:rsidRPr="00A347E9">
        <w:rPr>
          <w:b/>
          <w:snapToGrid w:val="0"/>
          <w:sz w:val="20"/>
        </w:rPr>
        <w:t xml:space="preserve">ESTADO TOTAL DE CAMBIOS EN EL PATRIMONIO NETO </w:t>
      </w:r>
      <w:r w:rsidRPr="00A347E9">
        <w:rPr>
          <w:b/>
          <w:bCs/>
          <w:sz w:val="20"/>
        </w:rPr>
        <w:t>(Expresado en euros)</w:t>
      </w:r>
    </w:p>
    <w:p w14:paraId="5BD59DB3"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0"/>
        </w:rPr>
      </w:pPr>
    </w:p>
    <w:tbl>
      <w:tblPr>
        <w:tblW w:w="9469" w:type="dxa"/>
        <w:tblInd w:w="-284" w:type="dxa"/>
        <w:tblLayout w:type="fixed"/>
        <w:tblCellMar>
          <w:left w:w="70" w:type="dxa"/>
          <w:right w:w="70" w:type="dxa"/>
        </w:tblCellMar>
        <w:tblLook w:val="04A0" w:firstRow="1" w:lastRow="0" w:firstColumn="1" w:lastColumn="0" w:noHBand="0" w:noVBand="1"/>
      </w:tblPr>
      <w:tblGrid>
        <w:gridCol w:w="2404"/>
        <w:gridCol w:w="994"/>
        <w:gridCol w:w="1125"/>
        <w:gridCol w:w="1271"/>
        <w:gridCol w:w="1269"/>
        <w:gridCol w:w="1131"/>
        <w:gridCol w:w="1275"/>
      </w:tblGrid>
      <w:tr w:rsidR="00807D98" w:rsidRPr="00724D7B" w14:paraId="2315E829" w14:textId="77777777" w:rsidTr="0046371B">
        <w:trPr>
          <w:trHeight w:val="278"/>
        </w:trPr>
        <w:tc>
          <w:tcPr>
            <w:tcW w:w="1269" w:type="pct"/>
            <w:tcBorders>
              <w:top w:val="single" w:sz="8" w:space="0" w:color="auto"/>
              <w:left w:val="nil"/>
              <w:bottom w:val="single" w:sz="8" w:space="0" w:color="auto"/>
              <w:right w:val="nil"/>
            </w:tcBorders>
            <w:shd w:val="clear" w:color="000000" w:fill="D9D9D9"/>
            <w:noWrap/>
            <w:vAlign w:val="bottom"/>
            <w:hideMark/>
          </w:tcPr>
          <w:p w14:paraId="2D0FBE1C" w14:textId="50C6E863" w:rsidR="009C441C" w:rsidRPr="00724D7B"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525" w:type="pct"/>
            <w:tcBorders>
              <w:top w:val="single" w:sz="8" w:space="0" w:color="auto"/>
              <w:left w:val="nil"/>
              <w:bottom w:val="single" w:sz="8" w:space="0" w:color="auto"/>
              <w:right w:val="nil"/>
            </w:tcBorders>
            <w:shd w:val="clear" w:color="000000" w:fill="D9D9D9"/>
            <w:vAlign w:val="bottom"/>
            <w:hideMark/>
          </w:tcPr>
          <w:p w14:paraId="4FFD0918" w14:textId="77777777" w:rsidR="009C441C" w:rsidRPr="00724D7B"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Capital</w:t>
            </w:r>
          </w:p>
        </w:tc>
        <w:tc>
          <w:tcPr>
            <w:tcW w:w="594" w:type="pct"/>
            <w:tcBorders>
              <w:top w:val="single" w:sz="8" w:space="0" w:color="auto"/>
              <w:left w:val="nil"/>
              <w:bottom w:val="single" w:sz="8" w:space="0" w:color="auto"/>
              <w:right w:val="nil"/>
            </w:tcBorders>
            <w:shd w:val="clear" w:color="000000" w:fill="D9D9D9"/>
            <w:vAlign w:val="bottom"/>
            <w:hideMark/>
          </w:tcPr>
          <w:p w14:paraId="3952BE27" w14:textId="049373A8" w:rsidR="009C441C" w:rsidRPr="00724D7B"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Reserva</w:t>
            </w:r>
            <w:r w:rsidR="002E3C11" w:rsidRPr="00724D7B">
              <w:rPr>
                <w:rFonts w:eastAsia="Times New Roman"/>
                <w:b/>
                <w:bCs/>
                <w:sz w:val="16"/>
                <w:szCs w:val="16"/>
                <w:bdr w:val="none" w:sz="0" w:space="0" w:color="auto"/>
                <w:lang w:eastAsia="es-ES"/>
              </w:rPr>
              <w:t>s</w:t>
            </w:r>
          </w:p>
        </w:tc>
        <w:tc>
          <w:tcPr>
            <w:tcW w:w="671" w:type="pct"/>
            <w:tcBorders>
              <w:top w:val="single" w:sz="8" w:space="0" w:color="auto"/>
              <w:left w:val="nil"/>
              <w:bottom w:val="single" w:sz="8" w:space="0" w:color="auto"/>
              <w:right w:val="nil"/>
            </w:tcBorders>
            <w:shd w:val="clear" w:color="000000" w:fill="D9D9D9"/>
            <w:vAlign w:val="bottom"/>
            <w:hideMark/>
          </w:tcPr>
          <w:p w14:paraId="3655AF3E" w14:textId="77777777" w:rsidR="009C441C" w:rsidRPr="00724D7B"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Otras aportaciones de socios</w:t>
            </w:r>
          </w:p>
        </w:tc>
        <w:tc>
          <w:tcPr>
            <w:tcW w:w="670" w:type="pct"/>
            <w:tcBorders>
              <w:top w:val="single" w:sz="8" w:space="0" w:color="auto"/>
              <w:left w:val="nil"/>
              <w:bottom w:val="single" w:sz="8" w:space="0" w:color="auto"/>
              <w:right w:val="nil"/>
            </w:tcBorders>
            <w:shd w:val="clear" w:color="000000" w:fill="D9D9D9"/>
            <w:vAlign w:val="bottom"/>
            <w:hideMark/>
          </w:tcPr>
          <w:p w14:paraId="1030A588" w14:textId="77777777" w:rsidR="009C441C" w:rsidRPr="00724D7B"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Resultado del ejercicio</w:t>
            </w:r>
          </w:p>
        </w:tc>
        <w:tc>
          <w:tcPr>
            <w:tcW w:w="597" w:type="pct"/>
            <w:tcBorders>
              <w:top w:val="single" w:sz="8" w:space="0" w:color="auto"/>
              <w:left w:val="nil"/>
              <w:bottom w:val="single" w:sz="8" w:space="0" w:color="auto"/>
              <w:right w:val="nil"/>
            </w:tcBorders>
            <w:shd w:val="clear" w:color="000000" w:fill="D9D9D9"/>
            <w:vAlign w:val="bottom"/>
            <w:hideMark/>
          </w:tcPr>
          <w:p w14:paraId="354B1B3D" w14:textId="6F82B62B" w:rsidR="009C441C" w:rsidRPr="00724D7B"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roofErr w:type="spellStart"/>
            <w:r w:rsidRPr="00724D7B">
              <w:rPr>
                <w:rFonts w:eastAsia="Times New Roman"/>
                <w:b/>
                <w:bCs/>
                <w:sz w:val="16"/>
                <w:szCs w:val="16"/>
                <w:bdr w:val="none" w:sz="0" w:space="0" w:color="auto"/>
                <w:lang w:eastAsia="es-ES"/>
              </w:rPr>
              <w:t>Subv</w:t>
            </w:r>
            <w:proofErr w:type="spellEnd"/>
            <w:r w:rsidRPr="00724D7B">
              <w:rPr>
                <w:rFonts w:eastAsia="Times New Roman"/>
                <w:b/>
                <w:bCs/>
                <w:sz w:val="16"/>
                <w:szCs w:val="16"/>
                <w:bdr w:val="none" w:sz="0" w:space="0" w:color="auto"/>
                <w:lang w:eastAsia="es-ES"/>
              </w:rPr>
              <w:t>, donaciones y legados recibidos</w:t>
            </w:r>
          </w:p>
        </w:tc>
        <w:tc>
          <w:tcPr>
            <w:tcW w:w="673" w:type="pct"/>
            <w:tcBorders>
              <w:top w:val="single" w:sz="8" w:space="0" w:color="auto"/>
              <w:left w:val="nil"/>
              <w:bottom w:val="single" w:sz="8" w:space="0" w:color="auto"/>
              <w:right w:val="nil"/>
            </w:tcBorders>
            <w:shd w:val="clear" w:color="000000" w:fill="D9D9D9"/>
            <w:vAlign w:val="bottom"/>
            <w:hideMark/>
          </w:tcPr>
          <w:p w14:paraId="1D60BBEB" w14:textId="77777777" w:rsidR="009C441C" w:rsidRPr="00724D7B" w:rsidRDefault="009C441C"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Total</w:t>
            </w:r>
          </w:p>
        </w:tc>
      </w:tr>
      <w:tr w:rsidR="0046371B" w:rsidRPr="00724D7B" w14:paraId="21118D78" w14:textId="77777777" w:rsidTr="0046371B">
        <w:trPr>
          <w:trHeight w:val="283"/>
        </w:trPr>
        <w:tc>
          <w:tcPr>
            <w:tcW w:w="1269" w:type="pct"/>
            <w:tcBorders>
              <w:top w:val="nil"/>
              <w:left w:val="nil"/>
              <w:bottom w:val="single" w:sz="8" w:space="0" w:color="auto"/>
              <w:right w:val="nil"/>
            </w:tcBorders>
            <w:shd w:val="clear" w:color="auto" w:fill="F2F2F2" w:themeFill="background1" w:themeFillShade="F2"/>
            <w:noWrap/>
            <w:vAlign w:val="center"/>
            <w:hideMark/>
          </w:tcPr>
          <w:p w14:paraId="1A7832CE" w14:textId="04BF4088"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SALDO, FINAL 31.12.1</w:t>
            </w:r>
            <w:r w:rsidR="00724D7B">
              <w:rPr>
                <w:rFonts w:eastAsia="Times New Roman"/>
                <w:b/>
                <w:bCs/>
                <w:sz w:val="16"/>
                <w:szCs w:val="16"/>
                <w:bdr w:val="none" w:sz="0" w:space="0" w:color="auto"/>
                <w:lang w:eastAsia="es-ES"/>
              </w:rPr>
              <w:t>9</w:t>
            </w:r>
          </w:p>
        </w:tc>
        <w:tc>
          <w:tcPr>
            <w:tcW w:w="525" w:type="pct"/>
            <w:tcBorders>
              <w:top w:val="nil"/>
              <w:left w:val="nil"/>
              <w:bottom w:val="single" w:sz="8" w:space="0" w:color="auto"/>
              <w:right w:val="nil"/>
            </w:tcBorders>
            <w:shd w:val="clear" w:color="auto" w:fill="F2F2F2" w:themeFill="background1" w:themeFillShade="F2"/>
            <w:noWrap/>
            <w:vAlign w:val="center"/>
            <w:hideMark/>
          </w:tcPr>
          <w:p w14:paraId="1041CE5F" w14:textId="63AA6890"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600.000,00</w:t>
            </w:r>
          </w:p>
        </w:tc>
        <w:tc>
          <w:tcPr>
            <w:tcW w:w="594" w:type="pct"/>
            <w:tcBorders>
              <w:top w:val="nil"/>
              <w:left w:val="nil"/>
              <w:bottom w:val="single" w:sz="8" w:space="0" w:color="auto"/>
              <w:right w:val="nil"/>
            </w:tcBorders>
            <w:shd w:val="clear" w:color="auto" w:fill="F2F2F2" w:themeFill="background1" w:themeFillShade="F2"/>
            <w:noWrap/>
            <w:vAlign w:val="center"/>
            <w:hideMark/>
          </w:tcPr>
          <w:p w14:paraId="4796DB91" w14:textId="3C36F3ED"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(727.870,96)</w:t>
            </w:r>
          </w:p>
        </w:tc>
        <w:tc>
          <w:tcPr>
            <w:tcW w:w="671" w:type="pct"/>
            <w:tcBorders>
              <w:top w:val="nil"/>
              <w:left w:val="nil"/>
              <w:bottom w:val="single" w:sz="8" w:space="0" w:color="auto"/>
              <w:right w:val="nil"/>
            </w:tcBorders>
            <w:shd w:val="clear" w:color="auto" w:fill="F2F2F2" w:themeFill="background1" w:themeFillShade="F2"/>
            <w:noWrap/>
            <w:vAlign w:val="center"/>
            <w:hideMark/>
          </w:tcPr>
          <w:p w14:paraId="01722757" w14:textId="4BEC0196"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2.223.683,00</w:t>
            </w:r>
          </w:p>
        </w:tc>
        <w:tc>
          <w:tcPr>
            <w:tcW w:w="670" w:type="pct"/>
            <w:tcBorders>
              <w:top w:val="nil"/>
              <w:left w:val="nil"/>
              <w:bottom w:val="single" w:sz="8" w:space="0" w:color="auto"/>
              <w:right w:val="nil"/>
            </w:tcBorders>
            <w:shd w:val="clear" w:color="auto" w:fill="F2F2F2" w:themeFill="background1" w:themeFillShade="F2"/>
            <w:noWrap/>
            <w:vAlign w:val="center"/>
            <w:hideMark/>
          </w:tcPr>
          <w:p w14:paraId="135BEA08" w14:textId="504AFAB4"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(2.092.244,61)</w:t>
            </w:r>
          </w:p>
        </w:tc>
        <w:tc>
          <w:tcPr>
            <w:tcW w:w="597" w:type="pct"/>
            <w:tcBorders>
              <w:top w:val="nil"/>
              <w:left w:val="nil"/>
              <w:bottom w:val="single" w:sz="8" w:space="0" w:color="auto"/>
              <w:right w:val="nil"/>
            </w:tcBorders>
            <w:shd w:val="clear" w:color="auto" w:fill="F2F2F2" w:themeFill="background1" w:themeFillShade="F2"/>
            <w:noWrap/>
            <w:vAlign w:val="center"/>
            <w:hideMark/>
          </w:tcPr>
          <w:p w14:paraId="482DFBF0" w14:textId="4B9AADC3"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246.368,52</w:t>
            </w:r>
          </w:p>
        </w:tc>
        <w:tc>
          <w:tcPr>
            <w:tcW w:w="673" w:type="pct"/>
            <w:tcBorders>
              <w:top w:val="nil"/>
              <w:left w:val="nil"/>
              <w:bottom w:val="single" w:sz="8" w:space="0" w:color="auto"/>
              <w:right w:val="nil"/>
            </w:tcBorders>
            <w:shd w:val="clear" w:color="auto" w:fill="F2F2F2" w:themeFill="background1" w:themeFillShade="F2"/>
            <w:noWrap/>
            <w:vAlign w:val="center"/>
            <w:hideMark/>
          </w:tcPr>
          <w:p w14:paraId="27271306" w14:textId="5B17EEEE"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249.935,95</w:t>
            </w:r>
          </w:p>
        </w:tc>
      </w:tr>
      <w:tr w:rsidR="00807D98" w:rsidRPr="00724D7B" w14:paraId="570FED82" w14:textId="77777777" w:rsidTr="0046371B">
        <w:trPr>
          <w:trHeight w:val="283"/>
        </w:trPr>
        <w:tc>
          <w:tcPr>
            <w:tcW w:w="1269" w:type="pct"/>
            <w:tcBorders>
              <w:top w:val="nil"/>
              <w:left w:val="nil"/>
              <w:bottom w:val="nil"/>
              <w:right w:val="nil"/>
            </w:tcBorders>
            <w:shd w:val="clear" w:color="auto" w:fill="auto"/>
            <w:noWrap/>
            <w:vAlign w:val="center"/>
            <w:hideMark/>
          </w:tcPr>
          <w:p w14:paraId="396D0897" w14:textId="77777777" w:rsidR="009C441C" w:rsidRPr="00724D7B"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 xml:space="preserve">Ajustes </w:t>
            </w:r>
            <w:r w:rsidR="009C441C" w:rsidRPr="00724D7B">
              <w:rPr>
                <w:rFonts w:eastAsia="Times New Roman"/>
                <w:sz w:val="16"/>
                <w:szCs w:val="16"/>
                <w:bdr w:val="none" w:sz="0" w:space="0" w:color="auto"/>
                <w:lang w:eastAsia="es-ES"/>
              </w:rPr>
              <w:t>corrección de errores</w:t>
            </w:r>
          </w:p>
        </w:tc>
        <w:tc>
          <w:tcPr>
            <w:tcW w:w="525" w:type="pct"/>
            <w:tcBorders>
              <w:top w:val="nil"/>
              <w:left w:val="nil"/>
              <w:bottom w:val="nil"/>
              <w:right w:val="nil"/>
            </w:tcBorders>
            <w:shd w:val="clear" w:color="auto" w:fill="auto"/>
            <w:noWrap/>
            <w:vAlign w:val="center"/>
            <w:hideMark/>
          </w:tcPr>
          <w:p w14:paraId="26EF5416" w14:textId="77777777" w:rsidR="009C441C" w:rsidRPr="00724D7B"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w:t>
            </w:r>
          </w:p>
        </w:tc>
        <w:tc>
          <w:tcPr>
            <w:tcW w:w="594" w:type="pct"/>
            <w:tcBorders>
              <w:top w:val="nil"/>
              <w:left w:val="nil"/>
              <w:bottom w:val="nil"/>
              <w:right w:val="nil"/>
            </w:tcBorders>
            <w:shd w:val="clear" w:color="auto" w:fill="auto"/>
            <w:noWrap/>
            <w:vAlign w:val="center"/>
            <w:hideMark/>
          </w:tcPr>
          <w:p w14:paraId="4679918E" w14:textId="77777777" w:rsidR="009C441C" w:rsidRPr="00724D7B"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24D7B">
              <w:rPr>
                <w:rFonts w:eastAsia="Times New Roman"/>
                <w:color w:val="auto"/>
                <w:sz w:val="16"/>
                <w:szCs w:val="16"/>
                <w:bdr w:val="none" w:sz="0" w:space="0" w:color="auto"/>
                <w:lang w:eastAsia="es-ES"/>
              </w:rPr>
              <w:t>-</w:t>
            </w:r>
          </w:p>
        </w:tc>
        <w:tc>
          <w:tcPr>
            <w:tcW w:w="671" w:type="pct"/>
            <w:tcBorders>
              <w:top w:val="nil"/>
              <w:left w:val="nil"/>
              <w:bottom w:val="nil"/>
              <w:right w:val="nil"/>
            </w:tcBorders>
            <w:shd w:val="clear" w:color="auto" w:fill="auto"/>
            <w:noWrap/>
            <w:vAlign w:val="center"/>
            <w:hideMark/>
          </w:tcPr>
          <w:p w14:paraId="40D1CBF4" w14:textId="77777777" w:rsidR="009C441C" w:rsidRPr="00724D7B"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24D7B">
              <w:rPr>
                <w:rFonts w:eastAsia="Times New Roman"/>
                <w:color w:val="auto"/>
                <w:sz w:val="16"/>
                <w:szCs w:val="16"/>
                <w:bdr w:val="none" w:sz="0" w:space="0" w:color="auto"/>
                <w:lang w:eastAsia="es-ES"/>
              </w:rPr>
              <w:t>-</w:t>
            </w:r>
          </w:p>
        </w:tc>
        <w:tc>
          <w:tcPr>
            <w:tcW w:w="670" w:type="pct"/>
            <w:tcBorders>
              <w:top w:val="nil"/>
              <w:left w:val="nil"/>
              <w:bottom w:val="nil"/>
              <w:right w:val="nil"/>
            </w:tcBorders>
            <w:shd w:val="clear" w:color="auto" w:fill="auto"/>
            <w:noWrap/>
            <w:vAlign w:val="center"/>
            <w:hideMark/>
          </w:tcPr>
          <w:p w14:paraId="4B8A2189" w14:textId="77777777" w:rsidR="009C441C" w:rsidRPr="00724D7B"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24D7B">
              <w:rPr>
                <w:rFonts w:eastAsia="Times New Roman"/>
                <w:color w:val="auto"/>
                <w:sz w:val="16"/>
                <w:szCs w:val="16"/>
                <w:bdr w:val="none" w:sz="0" w:space="0" w:color="auto"/>
                <w:lang w:eastAsia="es-ES"/>
              </w:rPr>
              <w:t>-</w:t>
            </w:r>
          </w:p>
        </w:tc>
        <w:tc>
          <w:tcPr>
            <w:tcW w:w="597" w:type="pct"/>
            <w:tcBorders>
              <w:top w:val="nil"/>
              <w:left w:val="nil"/>
              <w:bottom w:val="nil"/>
              <w:right w:val="nil"/>
            </w:tcBorders>
            <w:shd w:val="clear" w:color="auto" w:fill="auto"/>
            <w:noWrap/>
            <w:vAlign w:val="center"/>
            <w:hideMark/>
          </w:tcPr>
          <w:p w14:paraId="0D357311" w14:textId="77777777" w:rsidR="009C441C" w:rsidRPr="00724D7B"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24D7B">
              <w:rPr>
                <w:rFonts w:eastAsia="Times New Roman"/>
                <w:color w:val="auto"/>
                <w:sz w:val="16"/>
                <w:szCs w:val="16"/>
                <w:bdr w:val="none" w:sz="0" w:space="0" w:color="auto"/>
                <w:lang w:eastAsia="es-ES"/>
              </w:rPr>
              <w:t>-</w:t>
            </w:r>
          </w:p>
        </w:tc>
        <w:tc>
          <w:tcPr>
            <w:tcW w:w="673" w:type="pct"/>
            <w:tcBorders>
              <w:top w:val="nil"/>
              <w:left w:val="nil"/>
              <w:bottom w:val="nil"/>
              <w:right w:val="nil"/>
            </w:tcBorders>
            <w:shd w:val="clear" w:color="auto" w:fill="auto"/>
            <w:noWrap/>
            <w:vAlign w:val="center"/>
            <w:hideMark/>
          </w:tcPr>
          <w:p w14:paraId="568C1509" w14:textId="77777777" w:rsidR="009C441C" w:rsidRPr="00724D7B"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24D7B">
              <w:rPr>
                <w:rFonts w:eastAsia="Times New Roman"/>
                <w:color w:val="auto"/>
                <w:sz w:val="16"/>
                <w:szCs w:val="16"/>
                <w:bdr w:val="none" w:sz="0" w:space="0" w:color="auto"/>
                <w:lang w:eastAsia="es-ES"/>
              </w:rPr>
              <w:t>-</w:t>
            </w:r>
          </w:p>
        </w:tc>
      </w:tr>
      <w:tr w:rsidR="0046371B" w:rsidRPr="00724D7B" w14:paraId="6EB7177F" w14:textId="77777777" w:rsidTr="0046371B">
        <w:trPr>
          <w:trHeight w:val="283"/>
        </w:trPr>
        <w:tc>
          <w:tcPr>
            <w:tcW w:w="1269" w:type="pct"/>
            <w:tcBorders>
              <w:top w:val="single" w:sz="8" w:space="0" w:color="auto"/>
              <w:left w:val="nil"/>
              <w:bottom w:val="single" w:sz="8" w:space="0" w:color="auto"/>
              <w:right w:val="nil"/>
            </w:tcBorders>
            <w:shd w:val="clear" w:color="auto" w:fill="F2F2F2" w:themeFill="background1" w:themeFillShade="F2"/>
            <w:noWrap/>
            <w:vAlign w:val="center"/>
            <w:hideMark/>
          </w:tcPr>
          <w:p w14:paraId="19177C01" w14:textId="52827071"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SALDO AJUSTADO, 01.01.</w:t>
            </w:r>
            <w:r w:rsidR="00724D7B">
              <w:rPr>
                <w:rFonts w:eastAsia="Times New Roman"/>
                <w:b/>
                <w:bCs/>
                <w:sz w:val="16"/>
                <w:szCs w:val="16"/>
                <w:bdr w:val="none" w:sz="0" w:space="0" w:color="auto"/>
                <w:lang w:eastAsia="es-ES"/>
              </w:rPr>
              <w:t>20</w:t>
            </w:r>
          </w:p>
        </w:tc>
        <w:tc>
          <w:tcPr>
            <w:tcW w:w="525" w:type="pct"/>
            <w:tcBorders>
              <w:top w:val="single" w:sz="8" w:space="0" w:color="auto"/>
              <w:left w:val="nil"/>
              <w:bottom w:val="single" w:sz="8" w:space="0" w:color="auto"/>
              <w:right w:val="nil"/>
            </w:tcBorders>
            <w:shd w:val="clear" w:color="auto" w:fill="F2F2F2" w:themeFill="background1" w:themeFillShade="F2"/>
            <w:noWrap/>
            <w:vAlign w:val="center"/>
            <w:hideMark/>
          </w:tcPr>
          <w:p w14:paraId="34FCFBCB" w14:textId="2ED1AEDA"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600.000,00</w:t>
            </w:r>
          </w:p>
        </w:tc>
        <w:tc>
          <w:tcPr>
            <w:tcW w:w="594" w:type="pct"/>
            <w:tcBorders>
              <w:top w:val="single" w:sz="8" w:space="0" w:color="auto"/>
              <w:left w:val="nil"/>
              <w:bottom w:val="single" w:sz="8" w:space="0" w:color="auto"/>
              <w:right w:val="nil"/>
            </w:tcBorders>
            <w:shd w:val="clear" w:color="auto" w:fill="F2F2F2" w:themeFill="background1" w:themeFillShade="F2"/>
            <w:noWrap/>
            <w:vAlign w:val="center"/>
            <w:hideMark/>
          </w:tcPr>
          <w:p w14:paraId="685474E2" w14:textId="1D64A5D7"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(727.870,96)</w:t>
            </w:r>
          </w:p>
        </w:tc>
        <w:tc>
          <w:tcPr>
            <w:tcW w:w="671" w:type="pct"/>
            <w:tcBorders>
              <w:top w:val="single" w:sz="8" w:space="0" w:color="auto"/>
              <w:left w:val="nil"/>
              <w:bottom w:val="single" w:sz="8" w:space="0" w:color="auto"/>
              <w:right w:val="nil"/>
            </w:tcBorders>
            <w:shd w:val="clear" w:color="auto" w:fill="F2F2F2" w:themeFill="background1" w:themeFillShade="F2"/>
            <w:noWrap/>
            <w:vAlign w:val="center"/>
            <w:hideMark/>
          </w:tcPr>
          <w:p w14:paraId="0B14EFA6" w14:textId="272F1820"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2.223.683,00</w:t>
            </w:r>
          </w:p>
        </w:tc>
        <w:tc>
          <w:tcPr>
            <w:tcW w:w="670" w:type="pct"/>
            <w:tcBorders>
              <w:top w:val="single" w:sz="8" w:space="0" w:color="auto"/>
              <w:left w:val="nil"/>
              <w:bottom w:val="single" w:sz="8" w:space="0" w:color="auto"/>
              <w:right w:val="nil"/>
            </w:tcBorders>
            <w:shd w:val="clear" w:color="auto" w:fill="F2F2F2" w:themeFill="background1" w:themeFillShade="F2"/>
            <w:noWrap/>
            <w:vAlign w:val="center"/>
            <w:hideMark/>
          </w:tcPr>
          <w:p w14:paraId="3D3A7C36" w14:textId="7A6AACF1"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(2.092.244,61)</w:t>
            </w:r>
          </w:p>
        </w:tc>
        <w:tc>
          <w:tcPr>
            <w:tcW w:w="597" w:type="pct"/>
            <w:tcBorders>
              <w:top w:val="single" w:sz="8" w:space="0" w:color="auto"/>
              <w:left w:val="nil"/>
              <w:bottom w:val="single" w:sz="8" w:space="0" w:color="auto"/>
              <w:right w:val="nil"/>
            </w:tcBorders>
            <w:shd w:val="clear" w:color="auto" w:fill="F2F2F2" w:themeFill="background1" w:themeFillShade="F2"/>
            <w:noWrap/>
            <w:vAlign w:val="center"/>
            <w:hideMark/>
          </w:tcPr>
          <w:p w14:paraId="07BBF358" w14:textId="7746274A"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246.368,52</w:t>
            </w:r>
          </w:p>
        </w:tc>
        <w:tc>
          <w:tcPr>
            <w:tcW w:w="673" w:type="pct"/>
            <w:tcBorders>
              <w:top w:val="single" w:sz="8" w:space="0" w:color="auto"/>
              <w:left w:val="nil"/>
              <w:bottom w:val="single" w:sz="8" w:space="0" w:color="auto"/>
              <w:right w:val="nil"/>
            </w:tcBorders>
            <w:shd w:val="clear" w:color="auto" w:fill="F2F2F2" w:themeFill="background1" w:themeFillShade="F2"/>
            <w:noWrap/>
            <w:vAlign w:val="center"/>
            <w:hideMark/>
          </w:tcPr>
          <w:p w14:paraId="507334A2" w14:textId="10EBEE3A"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249.935,95</w:t>
            </w:r>
          </w:p>
        </w:tc>
      </w:tr>
      <w:tr w:rsidR="0046371B" w:rsidRPr="00724D7B" w14:paraId="668EADF9" w14:textId="77777777" w:rsidTr="0046371B">
        <w:trPr>
          <w:trHeight w:val="283"/>
        </w:trPr>
        <w:tc>
          <w:tcPr>
            <w:tcW w:w="1269" w:type="pct"/>
            <w:tcBorders>
              <w:top w:val="nil"/>
              <w:left w:val="nil"/>
              <w:bottom w:val="nil"/>
              <w:right w:val="nil"/>
            </w:tcBorders>
            <w:shd w:val="clear" w:color="auto" w:fill="auto"/>
            <w:noWrap/>
            <w:vAlign w:val="center"/>
            <w:hideMark/>
          </w:tcPr>
          <w:p w14:paraId="010D4B84" w14:textId="77777777"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roofErr w:type="gramStart"/>
            <w:r w:rsidRPr="00724D7B">
              <w:rPr>
                <w:rFonts w:eastAsia="Times New Roman"/>
                <w:sz w:val="16"/>
                <w:szCs w:val="16"/>
                <w:bdr w:val="none" w:sz="0" w:space="0" w:color="auto"/>
                <w:lang w:eastAsia="es-ES"/>
              </w:rPr>
              <w:t>Total</w:t>
            </w:r>
            <w:proofErr w:type="gramEnd"/>
            <w:r w:rsidRPr="00724D7B">
              <w:rPr>
                <w:rFonts w:eastAsia="Times New Roman"/>
                <w:sz w:val="16"/>
                <w:szCs w:val="16"/>
                <w:bdr w:val="none" w:sz="0" w:space="0" w:color="auto"/>
                <w:lang w:eastAsia="es-ES"/>
              </w:rPr>
              <w:t xml:space="preserve"> ingresos y gastos reconocidos</w:t>
            </w:r>
          </w:p>
        </w:tc>
        <w:tc>
          <w:tcPr>
            <w:tcW w:w="525" w:type="pct"/>
            <w:tcBorders>
              <w:top w:val="nil"/>
              <w:left w:val="nil"/>
              <w:bottom w:val="nil"/>
              <w:right w:val="nil"/>
            </w:tcBorders>
            <w:shd w:val="clear" w:color="auto" w:fill="auto"/>
            <w:noWrap/>
            <w:vAlign w:val="center"/>
            <w:hideMark/>
          </w:tcPr>
          <w:p w14:paraId="7616BB7A" w14:textId="298A94D5"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sz w:val="16"/>
                <w:szCs w:val="16"/>
                <w:bdr w:val="none" w:sz="0" w:space="0" w:color="auto"/>
                <w:lang w:eastAsia="es-ES"/>
              </w:rPr>
              <w:t>-</w:t>
            </w:r>
          </w:p>
        </w:tc>
        <w:tc>
          <w:tcPr>
            <w:tcW w:w="594" w:type="pct"/>
            <w:tcBorders>
              <w:top w:val="nil"/>
              <w:left w:val="nil"/>
              <w:bottom w:val="nil"/>
              <w:right w:val="nil"/>
            </w:tcBorders>
            <w:shd w:val="clear" w:color="auto" w:fill="auto"/>
            <w:noWrap/>
            <w:vAlign w:val="center"/>
            <w:hideMark/>
          </w:tcPr>
          <w:p w14:paraId="61231DD2" w14:textId="78445F8A"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596.432,57</w:t>
            </w:r>
          </w:p>
        </w:tc>
        <w:tc>
          <w:tcPr>
            <w:tcW w:w="671" w:type="pct"/>
            <w:tcBorders>
              <w:top w:val="nil"/>
              <w:left w:val="nil"/>
              <w:bottom w:val="nil"/>
              <w:right w:val="nil"/>
            </w:tcBorders>
            <w:shd w:val="clear" w:color="auto" w:fill="auto"/>
            <w:noWrap/>
            <w:vAlign w:val="center"/>
            <w:hideMark/>
          </w:tcPr>
          <w:p w14:paraId="1B3BF940" w14:textId="3D88B2BF"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 xml:space="preserve"> -</w:t>
            </w:r>
          </w:p>
        </w:tc>
        <w:tc>
          <w:tcPr>
            <w:tcW w:w="670" w:type="pct"/>
            <w:tcBorders>
              <w:top w:val="nil"/>
              <w:left w:val="nil"/>
              <w:bottom w:val="nil"/>
              <w:right w:val="nil"/>
            </w:tcBorders>
            <w:shd w:val="clear" w:color="auto" w:fill="auto"/>
            <w:noWrap/>
            <w:vAlign w:val="center"/>
            <w:hideMark/>
          </w:tcPr>
          <w:p w14:paraId="66D5DEAB" w14:textId="2C10ABC7"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(2.223.683,00)</w:t>
            </w:r>
          </w:p>
        </w:tc>
        <w:tc>
          <w:tcPr>
            <w:tcW w:w="597" w:type="pct"/>
            <w:tcBorders>
              <w:top w:val="nil"/>
              <w:left w:val="nil"/>
              <w:bottom w:val="nil"/>
              <w:right w:val="nil"/>
            </w:tcBorders>
            <w:shd w:val="clear" w:color="auto" w:fill="auto"/>
            <w:noWrap/>
            <w:vAlign w:val="center"/>
            <w:hideMark/>
          </w:tcPr>
          <w:p w14:paraId="35CC3ED5" w14:textId="47E911A2"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(17.430,36)</w:t>
            </w:r>
          </w:p>
        </w:tc>
        <w:tc>
          <w:tcPr>
            <w:tcW w:w="673" w:type="pct"/>
            <w:tcBorders>
              <w:top w:val="nil"/>
              <w:left w:val="nil"/>
              <w:bottom w:val="nil"/>
              <w:right w:val="nil"/>
            </w:tcBorders>
            <w:shd w:val="clear" w:color="auto" w:fill="auto"/>
            <w:noWrap/>
            <w:vAlign w:val="center"/>
            <w:hideMark/>
          </w:tcPr>
          <w:p w14:paraId="77933CC1" w14:textId="2F516399"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(1.644.680,79)</w:t>
            </w:r>
          </w:p>
        </w:tc>
      </w:tr>
      <w:tr w:rsidR="0046371B" w:rsidRPr="00724D7B" w14:paraId="68EB2C5B" w14:textId="77777777" w:rsidTr="0046371B">
        <w:trPr>
          <w:trHeight w:val="283"/>
        </w:trPr>
        <w:tc>
          <w:tcPr>
            <w:tcW w:w="1269" w:type="pct"/>
            <w:tcBorders>
              <w:top w:val="nil"/>
              <w:left w:val="nil"/>
              <w:bottom w:val="nil"/>
              <w:right w:val="nil"/>
            </w:tcBorders>
            <w:shd w:val="clear" w:color="auto" w:fill="auto"/>
            <w:noWrap/>
            <w:vAlign w:val="center"/>
            <w:hideMark/>
          </w:tcPr>
          <w:p w14:paraId="0AB51F06" w14:textId="77777777"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Operaciones con socios</w:t>
            </w:r>
          </w:p>
        </w:tc>
        <w:tc>
          <w:tcPr>
            <w:tcW w:w="525" w:type="pct"/>
            <w:tcBorders>
              <w:top w:val="nil"/>
              <w:left w:val="nil"/>
              <w:bottom w:val="nil"/>
              <w:right w:val="nil"/>
            </w:tcBorders>
            <w:shd w:val="clear" w:color="auto" w:fill="auto"/>
            <w:noWrap/>
            <w:vAlign w:val="center"/>
            <w:hideMark/>
          </w:tcPr>
          <w:p w14:paraId="6173DC6E" w14:textId="5D84EADB"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sz w:val="16"/>
                <w:szCs w:val="16"/>
                <w:bdr w:val="none" w:sz="0" w:space="0" w:color="auto"/>
                <w:lang w:eastAsia="es-ES"/>
              </w:rPr>
              <w:t>-</w:t>
            </w:r>
          </w:p>
        </w:tc>
        <w:tc>
          <w:tcPr>
            <w:tcW w:w="594" w:type="pct"/>
            <w:tcBorders>
              <w:top w:val="nil"/>
              <w:left w:val="nil"/>
              <w:bottom w:val="nil"/>
              <w:right w:val="nil"/>
            </w:tcBorders>
            <w:shd w:val="clear" w:color="auto" w:fill="auto"/>
            <w:noWrap/>
            <w:vAlign w:val="center"/>
            <w:hideMark/>
          </w:tcPr>
          <w:p w14:paraId="34DC4B18" w14:textId="6B183B57"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w:t>
            </w:r>
          </w:p>
        </w:tc>
        <w:tc>
          <w:tcPr>
            <w:tcW w:w="671" w:type="pct"/>
            <w:tcBorders>
              <w:top w:val="nil"/>
              <w:left w:val="nil"/>
              <w:bottom w:val="nil"/>
              <w:right w:val="nil"/>
            </w:tcBorders>
            <w:shd w:val="clear" w:color="auto" w:fill="auto"/>
            <w:noWrap/>
            <w:vAlign w:val="center"/>
            <w:hideMark/>
          </w:tcPr>
          <w:p w14:paraId="0239971D" w14:textId="4AACE713"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2.223.683,00</w:t>
            </w:r>
          </w:p>
        </w:tc>
        <w:tc>
          <w:tcPr>
            <w:tcW w:w="670" w:type="pct"/>
            <w:tcBorders>
              <w:top w:val="nil"/>
              <w:left w:val="nil"/>
              <w:bottom w:val="nil"/>
              <w:right w:val="nil"/>
            </w:tcBorders>
            <w:shd w:val="clear" w:color="auto" w:fill="auto"/>
            <w:noWrap/>
            <w:vAlign w:val="center"/>
            <w:hideMark/>
          </w:tcPr>
          <w:p w14:paraId="7666DA45" w14:textId="6461C188"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w:t>
            </w:r>
          </w:p>
        </w:tc>
        <w:tc>
          <w:tcPr>
            <w:tcW w:w="597" w:type="pct"/>
            <w:tcBorders>
              <w:top w:val="nil"/>
              <w:left w:val="nil"/>
              <w:bottom w:val="nil"/>
              <w:right w:val="nil"/>
            </w:tcBorders>
            <w:shd w:val="clear" w:color="auto" w:fill="auto"/>
            <w:noWrap/>
            <w:vAlign w:val="center"/>
            <w:hideMark/>
          </w:tcPr>
          <w:p w14:paraId="62D085BF" w14:textId="62EE3A9D"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w:t>
            </w:r>
          </w:p>
        </w:tc>
        <w:tc>
          <w:tcPr>
            <w:tcW w:w="673" w:type="pct"/>
            <w:tcBorders>
              <w:top w:val="nil"/>
              <w:left w:val="nil"/>
              <w:bottom w:val="nil"/>
              <w:right w:val="nil"/>
            </w:tcBorders>
            <w:shd w:val="clear" w:color="auto" w:fill="auto"/>
            <w:noWrap/>
            <w:vAlign w:val="center"/>
            <w:hideMark/>
          </w:tcPr>
          <w:p w14:paraId="74A7EAE4" w14:textId="34208EEA"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 xml:space="preserve">2.223.683,00   </w:t>
            </w:r>
          </w:p>
        </w:tc>
      </w:tr>
      <w:tr w:rsidR="0046371B" w:rsidRPr="00724D7B" w14:paraId="32941C20" w14:textId="77777777" w:rsidTr="0046371B">
        <w:trPr>
          <w:trHeight w:val="283"/>
        </w:trPr>
        <w:tc>
          <w:tcPr>
            <w:tcW w:w="1269" w:type="pct"/>
            <w:tcBorders>
              <w:top w:val="nil"/>
              <w:left w:val="nil"/>
              <w:bottom w:val="nil"/>
              <w:right w:val="nil"/>
            </w:tcBorders>
            <w:shd w:val="clear" w:color="auto" w:fill="auto"/>
            <w:noWrap/>
            <w:vAlign w:val="center"/>
            <w:hideMark/>
          </w:tcPr>
          <w:p w14:paraId="13D01423" w14:textId="598EA7C4"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 xml:space="preserve">Distribución del </w:t>
            </w:r>
            <w:proofErr w:type="spellStart"/>
            <w:r w:rsidRPr="00724D7B">
              <w:rPr>
                <w:rFonts w:eastAsia="Times New Roman"/>
                <w:sz w:val="16"/>
                <w:szCs w:val="16"/>
                <w:bdr w:val="none" w:sz="0" w:space="0" w:color="auto"/>
                <w:lang w:eastAsia="es-ES"/>
              </w:rPr>
              <w:t>rtdo</w:t>
            </w:r>
            <w:proofErr w:type="spellEnd"/>
            <w:r w:rsidRPr="00724D7B">
              <w:rPr>
                <w:rFonts w:eastAsia="Times New Roman"/>
                <w:sz w:val="16"/>
                <w:szCs w:val="16"/>
                <w:bdr w:val="none" w:sz="0" w:space="0" w:color="auto"/>
                <w:lang w:eastAsia="es-ES"/>
              </w:rPr>
              <w:t xml:space="preserve"> del </w:t>
            </w:r>
          </w:p>
          <w:p w14:paraId="21117EE5" w14:textId="1AE24C47"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ejercicio anterior</w:t>
            </w:r>
          </w:p>
        </w:tc>
        <w:tc>
          <w:tcPr>
            <w:tcW w:w="525" w:type="pct"/>
            <w:tcBorders>
              <w:top w:val="nil"/>
              <w:left w:val="nil"/>
              <w:bottom w:val="nil"/>
              <w:right w:val="nil"/>
            </w:tcBorders>
            <w:shd w:val="clear" w:color="auto" w:fill="auto"/>
            <w:noWrap/>
            <w:vAlign w:val="center"/>
            <w:hideMark/>
          </w:tcPr>
          <w:p w14:paraId="373DD6E2" w14:textId="007A7939"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sz w:val="16"/>
                <w:szCs w:val="16"/>
                <w:bdr w:val="none" w:sz="0" w:space="0" w:color="auto"/>
                <w:lang w:eastAsia="es-ES"/>
              </w:rPr>
              <w:t>-</w:t>
            </w:r>
          </w:p>
        </w:tc>
        <w:tc>
          <w:tcPr>
            <w:tcW w:w="594" w:type="pct"/>
            <w:tcBorders>
              <w:top w:val="nil"/>
              <w:left w:val="nil"/>
              <w:bottom w:val="nil"/>
              <w:right w:val="nil"/>
            </w:tcBorders>
            <w:shd w:val="clear" w:color="auto" w:fill="auto"/>
            <w:noWrap/>
            <w:vAlign w:val="center"/>
            <w:hideMark/>
          </w:tcPr>
          <w:p w14:paraId="5A695EB6" w14:textId="75893C8C"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sz w:val="16"/>
                <w:szCs w:val="16"/>
                <w:bdr w:val="none" w:sz="0" w:space="0" w:color="auto"/>
                <w:lang w:eastAsia="es-ES"/>
              </w:rPr>
              <w:t>131.438,39</w:t>
            </w:r>
          </w:p>
        </w:tc>
        <w:tc>
          <w:tcPr>
            <w:tcW w:w="671" w:type="pct"/>
            <w:tcBorders>
              <w:top w:val="nil"/>
              <w:left w:val="nil"/>
              <w:bottom w:val="nil"/>
              <w:right w:val="nil"/>
            </w:tcBorders>
            <w:shd w:val="clear" w:color="auto" w:fill="auto"/>
            <w:noWrap/>
            <w:vAlign w:val="center"/>
            <w:hideMark/>
          </w:tcPr>
          <w:p w14:paraId="17635851" w14:textId="5CCA2FB9"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(2.223.683,00)</w:t>
            </w:r>
          </w:p>
        </w:tc>
        <w:tc>
          <w:tcPr>
            <w:tcW w:w="670" w:type="pct"/>
            <w:tcBorders>
              <w:top w:val="nil"/>
              <w:left w:val="nil"/>
              <w:bottom w:val="nil"/>
              <w:right w:val="nil"/>
            </w:tcBorders>
            <w:shd w:val="clear" w:color="auto" w:fill="auto"/>
            <w:noWrap/>
            <w:vAlign w:val="center"/>
            <w:hideMark/>
          </w:tcPr>
          <w:p w14:paraId="593FD9FD" w14:textId="2F7A473F"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2.092.244,61</w:t>
            </w:r>
          </w:p>
        </w:tc>
        <w:tc>
          <w:tcPr>
            <w:tcW w:w="597" w:type="pct"/>
            <w:tcBorders>
              <w:top w:val="nil"/>
              <w:left w:val="nil"/>
              <w:bottom w:val="nil"/>
              <w:right w:val="nil"/>
            </w:tcBorders>
            <w:shd w:val="clear" w:color="auto" w:fill="auto"/>
            <w:noWrap/>
            <w:vAlign w:val="center"/>
            <w:hideMark/>
          </w:tcPr>
          <w:p w14:paraId="019AB274" w14:textId="47BE7156"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w:t>
            </w:r>
          </w:p>
        </w:tc>
        <w:tc>
          <w:tcPr>
            <w:tcW w:w="673" w:type="pct"/>
            <w:tcBorders>
              <w:top w:val="nil"/>
              <w:left w:val="nil"/>
              <w:bottom w:val="nil"/>
              <w:right w:val="nil"/>
            </w:tcBorders>
            <w:shd w:val="clear" w:color="auto" w:fill="auto"/>
            <w:noWrap/>
            <w:vAlign w:val="center"/>
            <w:hideMark/>
          </w:tcPr>
          <w:p w14:paraId="26BCC311" w14:textId="03C7351F"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w:t>
            </w:r>
          </w:p>
        </w:tc>
      </w:tr>
      <w:tr w:rsidR="0046371B" w:rsidRPr="00724D7B" w14:paraId="051D6F26" w14:textId="77777777" w:rsidTr="0046371B">
        <w:trPr>
          <w:trHeight w:val="283"/>
        </w:trPr>
        <w:tc>
          <w:tcPr>
            <w:tcW w:w="1269" w:type="pct"/>
            <w:tcBorders>
              <w:top w:val="nil"/>
              <w:left w:val="nil"/>
              <w:bottom w:val="nil"/>
              <w:right w:val="nil"/>
            </w:tcBorders>
            <w:shd w:val="clear" w:color="auto" w:fill="auto"/>
            <w:noWrap/>
            <w:vAlign w:val="center"/>
            <w:hideMark/>
          </w:tcPr>
          <w:p w14:paraId="7707B866" w14:textId="40EA4088"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Otras variaciones</w:t>
            </w:r>
          </w:p>
        </w:tc>
        <w:tc>
          <w:tcPr>
            <w:tcW w:w="525" w:type="pct"/>
            <w:tcBorders>
              <w:top w:val="nil"/>
              <w:left w:val="nil"/>
              <w:bottom w:val="nil"/>
              <w:right w:val="nil"/>
            </w:tcBorders>
            <w:shd w:val="clear" w:color="auto" w:fill="auto"/>
            <w:noWrap/>
            <w:vAlign w:val="center"/>
            <w:hideMark/>
          </w:tcPr>
          <w:p w14:paraId="7E3A0F29" w14:textId="16CDC7D2"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sz w:val="16"/>
                <w:szCs w:val="16"/>
                <w:bdr w:val="none" w:sz="0" w:space="0" w:color="auto"/>
                <w:lang w:eastAsia="es-ES"/>
              </w:rPr>
              <w:t>-</w:t>
            </w:r>
          </w:p>
        </w:tc>
        <w:tc>
          <w:tcPr>
            <w:tcW w:w="594" w:type="pct"/>
            <w:tcBorders>
              <w:top w:val="nil"/>
              <w:left w:val="nil"/>
              <w:bottom w:val="nil"/>
              <w:right w:val="nil"/>
            </w:tcBorders>
            <w:shd w:val="clear" w:color="auto" w:fill="auto"/>
            <w:noWrap/>
            <w:vAlign w:val="center"/>
            <w:hideMark/>
          </w:tcPr>
          <w:p w14:paraId="146481EC" w14:textId="5530CD95"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 xml:space="preserve"> -</w:t>
            </w:r>
          </w:p>
        </w:tc>
        <w:tc>
          <w:tcPr>
            <w:tcW w:w="671" w:type="pct"/>
            <w:tcBorders>
              <w:top w:val="nil"/>
              <w:left w:val="nil"/>
              <w:bottom w:val="nil"/>
              <w:right w:val="nil"/>
            </w:tcBorders>
            <w:shd w:val="clear" w:color="auto" w:fill="auto"/>
            <w:noWrap/>
            <w:vAlign w:val="center"/>
            <w:hideMark/>
          </w:tcPr>
          <w:p w14:paraId="6ED8EF1B" w14:textId="0CD2CF76"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 xml:space="preserve"> -</w:t>
            </w:r>
          </w:p>
        </w:tc>
        <w:tc>
          <w:tcPr>
            <w:tcW w:w="670" w:type="pct"/>
            <w:tcBorders>
              <w:top w:val="nil"/>
              <w:left w:val="nil"/>
              <w:bottom w:val="nil"/>
              <w:right w:val="nil"/>
            </w:tcBorders>
            <w:shd w:val="clear" w:color="auto" w:fill="auto"/>
            <w:noWrap/>
            <w:vAlign w:val="center"/>
            <w:hideMark/>
          </w:tcPr>
          <w:p w14:paraId="1359DDBD" w14:textId="1B637586"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 xml:space="preserve"> -</w:t>
            </w:r>
          </w:p>
        </w:tc>
        <w:tc>
          <w:tcPr>
            <w:tcW w:w="597" w:type="pct"/>
            <w:tcBorders>
              <w:top w:val="nil"/>
              <w:left w:val="nil"/>
              <w:bottom w:val="nil"/>
              <w:right w:val="nil"/>
            </w:tcBorders>
            <w:shd w:val="clear" w:color="auto" w:fill="auto"/>
            <w:noWrap/>
            <w:vAlign w:val="center"/>
            <w:hideMark/>
          </w:tcPr>
          <w:p w14:paraId="799C6A1B" w14:textId="110028B8"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(2.088,98)</w:t>
            </w:r>
          </w:p>
        </w:tc>
        <w:tc>
          <w:tcPr>
            <w:tcW w:w="673" w:type="pct"/>
            <w:tcBorders>
              <w:top w:val="nil"/>
              <w:left w:val="nil"/>
              <w:bottom w:val="nil"/>
              <w:right w:val="nil"/>
            </w:tcBorders>
            <w:shd w:val="clear" w:color="auto" w:fill="auto"/>
            <w:noWrap/>
            <w:vAlign w:val="center"/>
            <w:hideMark/>
          </w:tcPr>
          <w:p w14:paraId="009F94D5" w14:textId="41F9AF22"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(2.088,98)</w:t>
            </w:r>
          </w:p>
        </w:tc>
      </w:tr>
      <w:tr w:rsidR="0046371B" w:rsidRPr="00724D7B" w14:paraId="3B74CF9B" w14:textId="77777777" w:rsidTr="0046371B">
        <w:trPr>
          <w:trHeight w:val="283"/>
        </w:trPr>
        <w:tc>
          <w:tcPr>
            <w:tcW w:w="1269" w:type="pct"/>
            <w:tcBorders>
              <w:top w:val="single" w:sz="8" w:space="0" w:color="auto"/>
              <w:left w:val="nil"/>
              <w:bottom w:val="single" w:sz="8" w:space="0" w:color="auto"/>
              <w:right w:val="nil"/>
            </w:tcBorders>
            <w:shd w:val="clear" w:color="auto" w:fill="F2F2F2" w:themeFill="background1" w:themeFillShade="F2"/>
            <w:noWrap/>
            <w:vAlign w:val="center"/>
            <w:hideMark/>
          </w:tcPr>
          <w:p w14:paraId="553DA805" w14:textId="54EA2BF4"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SALDO, FINAL 31.12.</w:t>
            </w:r>
            <w:r w:rsidR="00724D7B">
              <w:rPr>
                <w:rFonts w:eastAsia="Times New Roman"/>
                <w:b/>
                <w:bCs/>
                <w:sz w:val="16"/>
                <w:szCs w:val="16"/>
                <w:bdr w:val="none" w:sz="0" w:space="0" w:color="auto"/>
                <w:lang w:eastAsia="es-ES"/>
              </w:rPr>
              <w:t>20</w:t>
            </w:r>
          </w:p>
        </w:tc>
        <w:tc>
          <w:tcPr>
            <w:tcW w:w="525" w:type="pct"/>
            <w:tcBorders>
              <w:top w:val="single" w:sz="8" w:space="0" w:color="auto"/>
              <w:left w:val="nil"/>
              <w:bottom w:val="single" w:sz="8" w:space="0" w:color="auto"/>
              <w:right w:val="nil"/>
            </w:tcBorders>
            <w:shd w:val="clear" w:color="auto" w:fill="F2F2F2" w:themeFill="background1" w:themeFillShade="F2"/>
            <w:noWrap/>
            <w:vAlign w:val="center"/>
            <w:hideMark/>
          </w:tcPr>
          <w:p w14:paraId="3963BB64" w14:textId="4F12F6DA"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600.000,00</w:t>
            </w:r>
          </w:p>
        </w:tc>
        <w:tc>
          <w:tcPr>
            <w:tcW w:w="594" w:type="pct"/>
            <w:tcBorders>
              <w:top w:val="single" w:sz="8" w:space="0" w:color="auto"/>
              <w:left w:val="nil"/>
              <w:bottom w:val="single" w:sz="8" w:space="0" w:color="auto"/>
              <w:right w:val="nil"/>
            </w:tcBorders>
            <w:shd w:val="clear" w:color="auto" w:fill="F2F2F2" w:themeFill="background1" w:themeFillShade="F2"/>
            <w:noWrap/>
            <w:vAlign w:val="center"/>
            <w:hideMark/>
          </w:tcPr>
          <w:p w14:paraId="4218B150" w14:textId="5BB9E33C"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w:t>
            </w:r>
          </w:p>
        </w:tc>
        <w:tc>
          <w:tcPr>
            <w:tcW w:w="671" w:type="pct"/>
            <w:tcBorders>
              <w:top w:val="single" w:sz="8" w:space="0" w:color="auto"/>
              <w:left w:val="nil"/>
              <w:bottom w:val="single" w:sz="8" w:space="0" w:color="auto"/>
              <w:right w:val="nil"/>
            </w:tcBorders>
            <w:shd w:val="clear" w:color="auto" w:fill="F2F2F2" w:themeFill="background1" w:themeFillShade="F2"/>
            <w:noWrap/>
            <w:vAlign w:val="center"/>
            <w:hideMark/>
          </w:tcPr>
          <w:p w14:paraId="48571690" w14:textId="4EE490BF"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2.223.683,00</w:t>
            </w:r>
          </w:p>
        </w:tc>
        <w:tc>
          <w:tcPr>
            <w:tcW w:w="670" w:type="pct"/>
            <w:tcBorders>
              <w:top w:val="single" w:sz="8" w:space="0" w:color="auto"/>
              <w:left w:val="nil"/>
              <w:bottom w:val="single" w:sz="8" w:space="0" w:color="auto"/>
              <w:right w:val="nil"/>
            </w:tcBorders>
            <w:shd w:val="clear" w:color="auto" w:fill="F2F2F2" w:themeFill="background1" w:themeFillShade="F2"/>
            <w:noWrap/>
            <w:vAlign w:val="center"/>
            <w:hideMark/>
          </w:tcPr>
          <w:p w14:paraId="50097D9C" w14:textId="440C2346"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(2.223.683,00)</w:t>
            </w:r>
          </w:p>
        </w:tc>
        <w:tc>
          <w:tcPr>
            <w:tcW w:w="597" w:type="pct"/>
            <w:tcBorders>
              <w:top w:val="single" w:sz="8" w:space="0" w:color="auto"/>
              <w:left w:val="nil"/>
              <w:bottom w:val="single" w:sz="8" w:space="0" w:color="auto"/>
              <w:right w:val="nil"/>
            </w:tcBorders>
            <w:shd w:val="clear" w:color="auto" w:fill="F2F2F2" w:themeFill="background1" w:themeFillShade="F2"/>
            <w:noWrap/>
            <w:vAlign w:val="center"/>
            <w:hideMark/>
          </w:tcPr>
          <w:p w14:paraId="1724A7B6" w14:textId="6819D2E9"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226.849,18</w:t>
            </w:r>
          </w:p>
        </w:tc>
        <w:tc>
          <w:tcPr>
            <w:tcW w:w="673" w:type="pct"/>
            <w:tcBorders>
              <w:top w:val="single" w:sz="8" w:space="0" w:color="auto"/>
              <w:left w:val="nil"/>
              <w:bottom w:val="single" w:sz="8" w:space="0" w:color="auto"/>
              <w:right w:val="nil"/>
            </w:tcBorders>
            <w:shd w:val="clear" w:color="auto" w:fill="F2F2F2" w:themeFill="background1" w:themeFillShade="F2"/>
            <w:noWrap/>
            <w:vAlign w:val="center"/>
            <w:hideMark/>
          </w:tcPr>
          <w:p w14:paraId="7442A304" w14:textId="112B8B52"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826.849,18</w:t>
            </w:r>
          </w:p>
        </w:tc>
      </w:tr>
      <w:tr w:rsidR="00F11CDD" w:rsidRPr="00724D7B" w14:paraId="293943BA" w14:textId="77777777" w:rsidTr="0046371B">
        <w:trPr>
          <w:trHeight w:val="283"/>
        </w:trPr>
        <w:tc>
          <w:tcPr>
            <w:tcW w:w="1269" w:type="pct"/>
            <w:tcBorders>
              <w:top w:val="nil"/>
              <w:left w:val="nil"/>
              <w:bottom w:val="nil"/>
              <w:right w:val="nil"/>
            </w:tcBorders>
            <w:shd w:val="clear" w:color="auto" w:fill="auto"/>
            <w:noWrap/>
            <w:vAlign w:val="center"/>
            <w:hideMark/>
          </w:tcPr>
          <w:p w14:paraId="0B4D5098" w14:textId="77777777" w:rsidR="00F11CDD" w:rsidRPr="00724D7B" w:rsidRDefault="00F11CDD" w:rsidP="004B170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Ajustes corrección de errores</w:t>
            </w:r>
          </w:p>
        </w:tc>
        <w:tc>
          <w:tcPr>
            <w:tcW w:w="525" w:type="pct"/>
            <w:tcBorders>
              <w:top w:val="nil"/>
              <w:left w:val="nil"/>
              <w:bottom w:val="nil"/>
              <w:right w:val="nil"/>
            </w:tcBorders>
            <w:shd w:val="clear" w:color="auto" w:fill="auto"/>
            <w:noWrap/>
            <w:vAlign w:val="center"/>
            <w:hideMark/>
          </w:tcPr>
          <w:p w14:paraId="30197E2F" w14:textId="77777777" w:rsidR="00F11CDD" w:rsidRPr="00724D7B"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w:t>
            </w:r>
          </w:p>
        </w:tc>
        <w:tc>
          <w:tcPr>
            <w:tcW w:w="594" w:type="pct"/>
            <w:tcBorders>
              <w:top w:val="nil"/>
              <w:left w:val="nil"/>
              <w:bottom w:val="nil"/>
              <w:right w:val="nil"/>
            </w:tcBorders>
            <w:shd w:val="clear" w:color="auto" w:fill="auto"/>
            <w:noWrap/>
            <w:vAlign w:val="center"/>
            <w:hideMark/>
          </w:tcPr>
          <w:p w14:paraId="5D0A95EF" w14:textId="77777777" w:rsidR="00F11CDD" w:rsidRPr="00724D7B"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24D7B">
              <w:rPr>
                <w:rFonts w:eastAsia="Times New Roman"/>
                <w:color w:val="auto"/>
                <w:sz w:val="16"/>
                <w:szCs w:val="16"/>
                <w:bdr w:val="none" w:sz="0" w:space="0" w:color="auto"/>
                <w:lang w:eastAsia="es-ES"/>
              </w:rPr>
              <w:t>-</w:t>
            </w:r>
          </w:p>
        </w:tc>
        <w:tc>
          <w:tcPr>
            <w:tcW w:w="671" w:type="pct"/>
            <w:tcBorders>
              <w:top w:val="nil"/>
              <w:left w:val="nil"/>
              <w:bottom w:val="nil"/>
              <w:right w:val="nil"/>
            </w:tcBorders>
            <w:shd w:val="clear" w:color="auto" w:fill="auto"/>
            <w:noWrap/>
            <w:vAlign w:val="center"/>
            <w:hideMark/>
          </w:tcPr>
          <w:p w14:paraId="7A26C8E3" w14:textId="77777777" w:rsidR="00F11CDD" w:rsidRPr="00724D7B"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24D7B">
              <w:rPr>
                <w:rFonts w:eastAsia="Times New Roman"/>
                <w:color w:val="auto"/>
                <w:sz w:val="16"/>
                <w:szCs w:val="16"/>
                <w:bdr w:val="none" w:sz="0" w:space="0" w:color="auto"/>
                <w:lang w:eastAsia="es-ES"/>
              </w:rPr>
              <w:t>-</w:t>
            </w:r>
          </w:p>
        </w:tc>
        <w:tc>
          <w:tcPr>
            <w:tcW w:w="670" w:type="pct"/>
            <w:tcBorders>
              <w:top w:val="nil"/>
              <w:left w:val="nil"/>
              <w:bottom w:val="nil"/>
              <w:right w:val="nil"/>
            </w:tcBorders>
            <w:shd w:val="clear" w:color="auto" w:fill="auto"/>
            <w:noWrap/>
            <w:vAlign w:val="center"/>
            <w:hideMark/>
          </w:tcPr>
          <w:p w14:paraId="3CF5AF37" w14:textId="77777777" w:rsidR="00F11CDD" w:rsidRPr="00724D7B"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24D7B">
              <w:rPr>
                <w:rFonts w:eastAsia="Times New Roman"/>
                <w:color w:val="auto"/>
                <w:sz w:val="16"/>
                <w:szCs w:val="16"/>
                <w:bdr w:val="none" w:sz="0" w:space="0" w:color="auto"/>
                <w:lang w:eastAsia="es-ES"/>
              </w:rPr>
              <w:t>-</w:t>
            </w:r>
          </w:p>
        </w:tc>
        <w:tc>
          <w:tcPr>
            <w:tcW w:w="597" w:type="pct"/>
            <w:tcBorders>
              <w:top w:val="nil"/>
              <w:left w:val="nil"/>
              <w:bottom w:val="nil"/>
              <w:right w:val="nil"/>
            </w:tcBorders>
            <w:shd w:val="clear" w:color="auto" w:fill="auto"/>
            <w:noWrap/>
            <w:vAlign w:val="center"/>
            <w:hideMark/>
          </w:tcPr>
          <w:p w14:paraId="384FA979" w14:textId="77777777" w:rsidR="00F11CDD" w:rsidRPr="00724D7B"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24D7B">
              <w:rPr>
                <w:rFonts w:eastAsia="Times New Roman"/>
                <w:color w:val="auto"/>
                <w:sz w:val="16"/>
                <w:szCs w:val="16"/>
                <w:bdr w:val="none" w:sz="0" w:space="0" w:color="auto"/>
                <w:lang w:eastAsia="es-ES"/>
              </w:rPr>
              <w:t>-</w:t>
            </w:r>
          </w:p>
        </w:tc>
        <w:tc>
          <w:tcPr>
            <w:tcW w:w="673" w:type="pct"/>
            <w:tcBorders>
              <w:top w:val="nil"/>
              <w:left w:val="nil"/>
              <w:bottom w:val="nil"/>
              <w:right w:val="nil"/>
            </w:tcBorders>
            <w:shd w:val="clear" w:color="auto" w:fill="auto"/>
            <w:noWrap/>
            <w:vAlign w:val="center"/>
            <w:hideMark/>
          </w:tcPr>
          <w:p w14:paraId="63254E49" w14:textId="77777777" w:rsidR="00F11CDD" w:rsidRPr="00724D7B" w:rsidRDefault="00F11CDD" w:rsidP="00F11CD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24D7B">
              <w:rPr>
                <w:rFonts w:eastAsia="Times New Roman"/>
                <w:color w:val="auto"/>
                <w:sz w:val="16"/>
                <w:szCs w:val="16"/>
                <w:bdr w:val="none" w:sz="0" w:space="0" w:color="auto"/>
                <w:lang w:eastAsia="es-ES"/>
              </w:rPr>
              <w:t>-</w:t>
            </w:r>
          </w:p>
        </w:tc>
      </w:tr>
      <w:tr w:rsidR="0046371B" w:rsidRPr="00724D7B" w14:paraId="5D896EDB" w14:textId="77777777" w:rsidTr="0046371B">
        <w:trPr>
          <w:trHeight w:val="283"/>
        </w:trPr>
        <w:tc>
          <w:tcPr>
            <w:tcW w:w="1269" w:type="pct"/>
            <w:tcBorders>
              <w:top w:val="single" w:sz="8" w:space="0" w:color="auto"/>
              <w:left w:val="nil"/>
              <w:bottom w:val="single" w:sz="8" w:space="0" w:color="auto"/>
              <w:right w:val="nil"/>
            </w:tcBorders>
            <w:shd w:val="clear" w:color="auto" w:fill="F2F2F2" w:themeFill="background1" w:themeFillShade="F2"/>
            <w:noWrap/>
            <w:vAlign w:val="center"/>
            <w:hideMark/>
          </w:tcPr>
          <w:p w14:paraId="14E7FE0E" w14:textId="296B13D4"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SALDO AJUSTADO, 01.01.2</w:t>
            </w:r>
            <w:r w:rsidR="00724D7B">
              <w:rPr>
                <w:rFonts w:eastAsia="Times New Roman"/>
                <w:b/>
                <w:bCs/>
                <w:sz w:val="16"/>
                <w:szCs w:val="16"/>
                <w:bdr w:val="none" w:sz="0" w:space="0" w:color="auto"/>
                <w:lang w:eastAsia="es-ES"/>
              </w:rPr>
              <w:t>1</w:t>
            </w:r>
          </w:p>
        </w:tc>
        <w:tc>
          <w:tcPr>
            <w:tcW w:w="525" w:type="pct"/>
            <w:tcBorders>
              <w:top w:val="single" w:sz="8" w:space="0" w:color="auto"/>
              <w:left w:val="nil"/>
              <w:bottom w:val="single" w:sz="8" w:space="0" w:color="auto"/>
              <w:right w:val="nil"/>
            </w:tcBorders>
            <w:shd w:val="clear" w:color="auto" w:fill="F2F2F2" w:themeFill="background1" w:themeFillShade="F2"/>
            <w:noWrap/>
            <w:vAlign w:val="center"/>
          </w:tcPr>
          <w:p w14:paraId="230A1D81" w14:textId="61CD70CB"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600.000,00</w:t>
            </w:r>
          </w:p>
        </w:tc>
        <w:tc>
          <w:tcPr>
            <w:tcW w:w="594" w:type="pct"/>
            <w:tcBorders>
              <w:top w:val="single" w:sz="8" w:space="0" w:color="auto"/>
              <w:left w:val="nil"/>
              <w:bottom w:val="single" w:sz="8" w:space="0" w:color="auto"/>
              <w:right w:val="nil"/>
            </w:tcBorders>
            <w:shd w:val="clear" w:color="auto" w:fill="F2F2F2" w:themeFill="background1" w:themeFillShade="F2"/>
            <w:noWrap/>
            <w:vAlign w:val="center"/>
          </w:tcPr>
          <w:p w14:paraId="561A9D1A" w14:textId="216CF98F"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 xml:space="preserve"> -</w:t>
            </w:r>
          </w:p>
        </w:tc>
        <w:tc>
          <w:tcPr>
            <w:tcW w:w="671" w:type="pct"/>
            <w:tcBorders>
              <w:top w:val="single" w:sz="8" w:space="0" w:color="auto"/>
              <w:left w:val="nil"/>
              <w:bottom w:val="single" w:sz="8" w:space="0" w:color="auto"/>
              <w:right w:val="nil"/>
            </w:tcBorders>
            <w:shd w:val="clear" w:color="auto" w:fill="F2F2F2" w:themeFill="background1" w:themeFillShade="F2"/>
            <w:noWrap/>
            <w:vAlign w:val="center"/>
          </w:tcPr>
          <w:p w14:paraId="5609D3F9" w14:textId="6CAEB1C5"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2.223.683,00</w:t>
            </w:r>
          </w:p>
        </w:tc>
        <w:tc>
          <w:tcPr>
            <w:tcW w:w="670" w:type="pct"/>
            <w:tcBorders>
              <w:top w:val="single" w:sz="8" w:space="0" w:color="auto"/>
              <w:left w:val="nil"/>
              <w:bottom w:val="single" w:sz="8" w:space="0" w:color="auto"/>
              <w:right w:val="nil"/>
            </w:tcBorders>
            <w:shd w:val="clear" w:color="auto" w:fill="F2F2F2" w:themeFill="background1" w:themeFillShade="F2"/>
            <w:noWrap/>
            <w:vAlign w:val="center"/>
          </w:tcPr>
          <w:p w14:paraId="5215D604" w14:textId="04E6D612"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(2.223.683,00)</w:t>
            </w:r>
          </w:p>
        </w:tc>
        <w:tc>
          <w:tcPr>
            <w:tcW w:w="597" w:type="pct"/>
            <w:tcBorders>
              <w:top w:val="single" w:sz="8" w:space="0" w:color="auto"/>
              <w:left w:val="nil"/>
              <w:bottom w:val="single" w:sz="8" w:space="0" w:color="auto"/>
              <w:right w:val="nil"/>
            </w:tcBorders>
            <w:shd w:val="clear" w:color="auto" w:fill="F2F2F2" w:themeFill="background1" w:themeFillShade="F2"/>
            <w:noWrap/>
            <w:vAlign w:val="center"/>
          </w:tcPr>
          <w:p w14:paraId="2AC03A23" w14:textId="26AF1BA0"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226.849,18</w:t>
            </w:r>
          </w:p>
        </w:tc>
        <w:tc>
          <w:tcPr>
            <w:tcW w:w="673" w:type="pct"/>
            <w:tcBorders>
              <w:top w:val="single" w:sz="8" w:space="0" w:color="auto"/>
              <w:left w:val="nil"/>
              <w:bottom w:val="single" w:sz="8" w:space="0" w:color="auto"/>
              <w:right w:val="nil"/>
            </w:tcBorders>
            <w:shd w:val="clear" w:color="auto" w:fill="F2F2F2" w:themeFill="background1" w:themeFillShade="F2"/>
            <w:noWrap/>
            <w:vAlign w:val="center"/>
          </w:tcPr>
          <w:p w14:paraId="2B830CA9" w14:textId="26C38D9C"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826.849,18</w:t>
            </w:r>
          </w:p>
        </w:tc>
      </w:tr>
      <w:tr w:rsidR="0046371B" w:rsidRPr="00724D7B" w14:paraId="2F120B83" w14:textId="77777777" w:rsidTr="0046371B">
        <w:trPr>
          <w:trHeight w:val="283"/>
        </w:trPr>
        <w:tc>
          <w:tcPr>
            <w:tcW w:w="1269" w:type="pct"/>
            <w:tcBorders>
              <w:top w:val="nil"/>
              <w:left w:val="nil"/>
              <w:bottom w:val="nil"/>
              <w:right w:val="nil"/>
            </w:tcBorders>
            <w:shd w:val="clear" w:color="auto" w:fill="auto"/>
            <w:noWrap/>
            <w:vAlign w:val="center"/>
            <w:hideMark/>
          </w:tcPr>
          <w:p w14:paraId="7C6EC1FD" w14:textId="77777777"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roofErr w:type="gramStart"/>
            <w:r w:rsidRPr="00724D7B">
              <w:rPr>
                <w:rFonts w:eastAsia="Times New Roman"/>
                <w:sz w:val="16"/>
                <w:szCs w:val="16"/>
                <w:bdr w:val="none" w:sz="0" w:space="0" w:color="auto"/>
                <w:lang w:eastAsia="es-ES"/>
              </w:rPr>
              <w:t>Total</w:t>
            </w:r>
            <w:proofErr w:type="gramEnd"/>
            <w:r w:rsidRPr="00724D7B">
              <w:rPr>
                <w:rFonts w:eastAsia="Times New Roman"/>
                <w:sz w:val="16"/>
                <w:szCs w:val="16"/>
                <w:bdr w:val="none" w:sz="0" w:space="0" w:color="auto"/>
                <w:lang w:eastAsia="es-ES"/>
              </w:rPr>
              <w:t xml:space="preserve"> ingresos y gastos reconocidos</w:t>
            </w:r>
          </w:p>
        </w:tc>
        <w:tc>
          <w:tcPr>
            <w:tcW w:w="525" w:type="pct"/>
            <w:tcBorders>
              <w:top w:val="nil"/>
              <w:left w:val="nil"/>
              <w:bottom w:val="nil"/>
              <w:right w:val="nil"/>
            </w:tcBorders>
            <w:shd w:val="clear" w:color="auto" w:fill="auto"/>
            <w:noWrap/>
            <w:vAlign w:val="center"/>
          </w:tcPr>
          <w:p w14:paraId="4014FF78" w14:textId="56CB289C"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b/>
                <w:bCs/>
                <w:sz w:val="16"/>
                <w:szCs w:val="16"/>
              </w:rPr>
              <w:t xml:space="preserve"> -</w:t>
            </w:r>
          </w:p>
        </w:tc>
        <w:tc>
          <w:tcPr>
            <w:tcW w:w="594" w:type="pct"/>
            <w:tcBorders>
              <w:top w:val="nil"/>
              <w:left w:val="nil"/>
              <w:bottom w:val="nil"/>
              <w:right w:val="nil"/>
            </w:tcBorders>
            <w:shd w:val="clear" w:color="auto" w:fill="auto"/>
            <w:noWrap/>
            <w:vAlign w:val="center"/>
          </w:tcPr>
          <w:p w14:paraId="0099827A" w14:textId="41987013"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p>
        </w:tc>
        <w:tc>
          <w:tcPr>
            <w:tcW w:w="671" w:type="pct"/>
            <w:tcBorders>
              <w:top w:val="nil"/>
              <w:left w:val="nil"/>
              <w:bottom w:val="nil"/>
              <w:right w:val="nil"/>
            </w:tcBorders>
            <w:shd w:val="clear" w:color="auto" w:fill="auto"/>
            <w:noWrap/>
            <w:vAlign w:val="center"/>
          </w:tcPr>
          <w:p w14:paraId="1C2F3AAB" w14:textId="4AE1D910"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 xml:space="preserve"> -</w:t>
            </w:r>
          </w:p>
        </w:tc>
        <w:tc>
          <w:tcPr>
            <w:tcW w:w="670" w:type="pct"/>
            <w:tcBorders>
              <w:top w:val="nil"/>
              <w:left w:val="nil"/>
              <w:bottom w:val="nil"/>
              <w:right w:val="nil"/>
            </w:tcBorders>
            <w:shd w:val="clear" w:color="auto" w:fill="auto"/>
            <w:noWrap/>
            <w:vAlign w:val="center"/>
          </w:tcPr>
          <w:p w14:paraId="5AEA7C60" w14:textId="55512655"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(2.267.888,00)</w:t>
            </w:r>
          </w:p>
        </w:tc>
        <w:tc>
          <w:tcPr>
            <w:tcW w:w="597" w:type="pct"/>
            <w:tcBorders>
              <w:top w:val="nil"/>
              <w:left w:val="nil"/>
              <w:bottom w:val="nil"/>
              <w:right w:val="nil"/>
            </w:tcBorders>
            <w:shd w:val="clear" w:color="auto" w:fill="auto"/>
            <w:noWrap/>
            <w:vAlign w:val="center"/>
          </w:tcPr>
          <w:p w14:paraId="70B25470" w14:textId="25387DD2"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(54.448,07)</w:t>
            </w:r>
          </w:p>
        </w:tc>
        <w:tc>
          <w:tcPr>
            <w:tcW w:w="673" w:type="pct"/>
            <w:tcBorders>
              <w:top w:val="nil"/>
              <w:left w:val="nil"/>
              <w:bottom w:val="nil"/>
              <w:right w:val="nil"/>
            </w:tcBorders>
            <w:shd w:val="clear" w:color="auto" w:fill="auto"/>
            <w:noWrap/>
            <w:vAlign w:val="center"/>
          </w:tcPr>
          <w:p w14:paraId="045E41E1" w14:textId="033FAD32"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(2.322.336,07)</w:t>
            </w:r>
          </w:p>
        </w:tc>
      </w:tr>
      <w:tr w:rsidR="0046371B" w:rsidRPr="00724D7B" w14:paraId="7366D61E" w14:textId="77777777" w:rsidTr="0046371B">
        <w:trPr>
          <w:trHeight w:val="283"/>
        </w:trPr>
        <w:tc>
          <w:tcPr>
            <w:tcW w:w="1269" w:type="pct"/>
            <w:tcBorders>
              <w:top w:val="nil"/>
              <w:left w:val="nil"/>
              <w:bottom w:val="nil"/>
              <w:right w:val="nil"/>
            </w:tcBorders>
            <w:shd w:val="clear" w:color="auto" w:fill="auto"/>
            <w:noWrap/>
            <w:vAlign w:val="center"/>
            <w:hideMark/>
          </w:tcPr>
          <w:p w14:paraId="625071F6" w14:textId="77777777"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Operaciones con socios</w:t>
            </w:r>
          </w:p>
        </w:tc>
        <w:tc>
          <w:tcPr>
            <w:tcW w:w="525" w:type="pct"/>
            <w:tcBorders>
              <w:top w:val="nil"/>
              <w:left w:val="nil"/>
              <w:bottom w:val="nil"/>
              <w:right w:val="nil"/>
            </w:tcBorders>
            <w:shd w:val="clear" w:color="auto" w:fill="auto"/>
            <w:noWrap/>
            <w:vAlign w:val="center"/>
          </w:tcPr>
          <w:p w14:paraId="4330CE3F" w14:textId="20CB58EB"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b/>
                <w:bCs/>
                <w:sz w:val="16"/>
                <w:szCs w:val="16"/>
              </w:rPr>
              <w:t xml:space="preserve"> -</w:t>
            </w:r>
          </w:p>
        </w:tc>
        <w:tc>
          <w:tcPr>
            <w:tcW w:w="594" w:type="pct"/>
            <w:tcBorders>
              <w:top w:val="nil"/>
              <w:left w:val="nil"/>
              <w:bottom w:val="nil"/>
              <w:right w:val="nil"/>
            </w:tcBorders>
            <w:shd w:val="clear" w:color="auto" w:fill="auto"/>
            <w:noWrap/>
            <w:vAlign w:val="center"/>
          </w:tcPr>
          <w:p w14:paraId="42652599" w14:textId="341EF3B5"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 xml:space="preserve"> -</w:t>
            </w:r>
          </w:p>
        </w:tc>
        <w:tc>
          <w:tcPr>
            <w:tcW w:w="671" w:type="pct"/>
            <w:tcBorders>
              <w:top w:val="nil"/>
              <w:left w:val="nil"/>
              <w:bottom w:val="nil"/>
              <w:right w:val="nil"/>
            </w:tcBorders>
            <w:shd w:val="clear" w:color="auto" w:fill="auto"/>
            <w:noWrap/>
            <w:vAlign w:val="center"/>
          </w:tcPr>
          <w:p w14:paraId="3D6028D6" w14:textId="22783368"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2.267.888,00</w:t>
            </w:r>
          </w:p>
        </w:tc>
        <w:tc>
          <w:tcPr>
            <w:tcW w:w="670" w:type="pct"/>
            <w:tcBorders>
              <w:top w:val="nil"/>
              <w:left w:val="nil"/>
              <w:bottom w:val="nil"/>
              <w:right w:val="nil"/>
            </w:tcBorders>
            <w:shd w:val="clear" w:color="auto" w:fill="auto"/>
            <w:noWrap/>
            <w:vAlign w:val="center"/>
          </w:tcPr>
          <w:p w14:paraId="2D0B73CF" w14:textId="7858EFA6"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 xml:space="preserve"> -</w:t>
            </w:r>
          </w:p>
        </w:tc>
        <w:tc>
          <w:tcPr>
            <w:tcW w:w="597" w:type="pct"/>
            <w:tcBorders>
              <w:top w:val="nil"/>
              <w:left w:val="nil"/>
              <w:bottom w:val="nil"/>
              <w:right w:val="nil"/>
            </w:tcBorders>
            <w:shd w:val="clear" w:color="auto" w:fill="auto"/>
            <w:noWrap/>
            <w:vAlign w:val="center"/>
          </w:tcPr>
          <w:p w14:paraId="2B668C6A" w14:textId="06EEAF77"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 xml:space="preserve"> -</w:t>
            </w:r>
          </w:p>
        </w:tc>
        <w:tc>
          <w:tcPr>
            <w:tcW w:w="673" w:type="pct"/>
            <w:tcBorders>
              <w:top w:val="nil"/>
              <w:left w:val="nil"/>
              <w:bottom w:val="nil"/>
              <w:right w:val="nil"/>
            </w:tcBorders>
            <w:shd w:val="clear" w:color="auto" w:fill="auto"/>
            <w:noWrap/>
            <w:vAlign w:val="center"/>
          </w:tcPr>
          <w:p w14:paraId="18258B89" w14:textId="0DCE1AF6"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2.267.888,00</w:t>
            </w:r>
          </w:p>
        </w:tc>
      </w:tr>
      <w:tr w:rsidR="0046371B" w:rsidRPr="00724D7B" w14:paraId="6CDC5B04" w14:textId="77777777" w:rsidTr="0046371B">
        <w:trPr>
          <w:trHeight w:val="283"/>
        </w:trPr>
        <w:tc>
          <w:tcPr>
            <w:tcW w:w="1269" w:type="pct"/>
            <w:tcBorders>
              <w:top w:val="nil"/>
              <w:left w:val="nil"/>
              <w:bottom w:val="nil"/>
              <w:right w:val="nil"/>
            </w:tcBorders>
            <w:shd w:val="clear" w:color="auto" w:fill="auto"/>
            <w:noWrap/>
            <w:vAlign w:val="center"/>
          </w:tcPr>
          <w:p w14:paraId="4B312473" w14:textId="001BBF95"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 xml:space="preserve">Distribución del </w:t>
            </w:r>
            <w:proofErr w:type="spellStart"/>
            <w:r w:rsidRPr="00724D7B">
              <w:rPr>
                <w:rFonts w:eastAsia="Times New Roman"/>
                <w:sz w:val="16"/>
                <w:szCs w:val="16"/>
                <w:bdr w:val="none" w:sz="0" w:space="0" w:color="auto"/>
                <w:lang w:eastAsia="es-ES"/>
              </w:rPr>
              <w:t>rtdo</w:t>
            </w:r>
            <w:proofErr w:type="spellEnd"/>
            <w:r w:rsidRPr="00724D7B">
              <w:rPr>
                <w:rFonts w:eastAsia="Times New Roman"/>
                <w:sz w:val="16"/>
                <w:szCs w:val="16"/>
                <w:bdr w:val="none" w:sz="0" w:space="0" w:color="auto"/>
                <w:lang w:eastAsia="es-ES"/>
              </w:rPr>
              <w:t xml:space="preserve"> del ejercicio anterior</w:t>
            </w:r>
          </w:p>
        </w:tc>
        <w:tc>
          <w:tcPr>
            <w:tcW w:w="525" w:type="pct"/>
            <w:tcBorders>
              <w:top w:val="nil"/>
              <w:left w:val="nil"/>
              <w:bottom w:val="nil"/>
              <w:right w:val="nil"/>
            </w:tcBorders>
            <w:shd w:val="clear" w:color="auto" w:fill="auto"/>
            <w:noWrap/>
            <w:vAlign w:val="center"/>
          </w:tcPr>
          <w:p w14:paraId="37502AD1" w14:textId="72DAC7CA"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b/>
                <w:bCs/>
                <w:sz w:val="16"/>
                <w:szCs w:val="16"/>
              </w:rPr>
              <w:t xml:space="preserve"> -</w:t>
            </w:r>
          </w:p>
        </w:tc>
        <w:tc>
          <w:tcPr>
            <w:tcW w:w="594" w:type="pct"/>
            <w:tcBorders>
              <w:top w:val="nil"/>
              <w:left w:val="nil"/>
              <w:bottom w:val="nil"/>
              <w:right w:val="nil"/>
            </w:tcBorders>
            <w:shd w:val="clear" w:color="auto" w:fill="auto"/>
            <w:noWrap/>
            <w:vAlign w:val="center"/>
          </w:tcPr>
          <w:p w14:paraId="19876201" w14:textId="4E2F77B5"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 xml:space="preserve"> -</w:t>
            </w:r>
          </w:p>
        </w:tc>
        <w:tc>
          <w:tcPr>
            <w:tcW w:w="671" w:type="pct"/>
            <w:tcBorders>
              <w:top w:val="nil"/>
              <w:left w:val="nil"/>
              <w:bottom w:val="nil"/>
              <w:right w:val="nil"/>
            </w:tcBorders>
            <w:shd w:val="clear" w:color="auto" w:fill="auto"/>
            <w:noWrap/>
            <w:vAlign w:val="center"/>
          </w:tcPr>
          <w:p w14:paraId="79C77E2D" w14:textId="0E10472E"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(2.223.683,00)</w:t>
            </w:r>
          </w:p>
        </w:tc>
        <w:tc>
          <w:tcPr>
            <w:tcW w:w="670" w:type="pct"/>
            <w:tcBorders>
              <w:top w:val="nil"/>
              <w:left w:val="nil"/>
              <w:bottom w:val="nil"/>
              <w:right w:val="nil"/>
            </w:tcBorders>
            <w:shd w:val="clear" w:color="auto" w:fill="auto"/>
            <w:noWrap/>
            <w:vAlign w:val="center"/>
          </w:tcPr>
          <w:p w14:paraId="75407EED" w14:textId="21875CD2"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2.223.683,00</w:t>
            </w:r>
          </w:p>
        </w:tc>
        <w:tc>
          <w:tcPr>
            <w:tcW w:w="597" w:type="pct"/>
            <w:tcBorders>
              <w:top w:val="nil"/>
              <w:left w:val="nil"/>
              <w:bottom w:val="nil"/>
              <w:right w:val="nil"/>
            </w:tcBorders>
            <w:shd w:val="clear" w:color="auto" w:fill="auto"/>
            <w:noWrap/>
            <w:vAlign w:val="center"/>
          </w:tcPr>
          <w:p w14:paraId="46525098" w14:textId="6100A51A"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 xml:space="preserve"> -</w:t>
            </w:r>
          </w:p>
        </w:tc>
        <w:tc>
          <w:tcPr>
            <w:tcW w:w="673" w:type="pct"/>
            <w:tcBorders>
              <w:top w:val="nil"/>
              <w:left w:val="nil"/>
              <w:bottom w:val="nil"/>
              <w:right w:val="nil"/>
            </w:tcBorders>
            <w:shd w:val="clear" w:color="auto" w:fill="auto"/>
            <w:noWrap/>
            <w:vAlign w:val="center"/>
          </w:tcPr>
          <w:p w14:paraId="5EEAB2DB" w14:textId="70CAB4DA"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 xml:space="preserve"> -</w:t>
            </w:r>
          </w:p>
        </w:tc>
      </w:tr>
      <w:tr w:rsidR="0046371B" w:rsidRPr="00724D7B" w14:paraId="51F97058" w14:textId="77777777" w:rsidTr="0046371B">
        <w:trPr>
          <w:trHeight w:val="283"/>
        </w:trPr>
        <w:tc>
          <w:tcPr>
            <w:tcW w:w="1269" w:type="pct"/>
            <w:tcBorders>
              <w:top w:val="nil"/>
              <w:left w:val="nil"/>
              <w:bottom w:val="nil"/>
              <w:right w:val="nil"/>
            </w:tcBorders>
            <w:shd w:val="clear" w:color="auto" w:fill="auto"/>
            <w:noWrap/>
            <w:vAlign w:val="center"/>
            <w:hideMark/>
          </w:tcPr>
          <w:p w14:paraId="5C9C9207" w14:textId="77777777"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Otras variaciones</w:t>
            </w:r>
          </w:p>
        </w:tc>
        <w:tc>
          <w:tcPr>
            <w:tcW w:w="525" w:type="pct"/>
            <w:tcBorders>
              <w:top w:val="nil"/>
              <w:left w:val="nil"/>
              <w:bottom w:val="nil"/>
              <w:right w:val="nil"/>
            </w:tcBorders>
            <w:shd w:val="clear" w:color="auto" w:fill="auto"/>
            <w:noWrap/>
            <w:vAlign w:val="center"/>
          </w:tcPr>
          <w:p w14:paraId="7D9AEDD5" w14:textId="2B890A4E"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b/>
                <w:bCs/>
                <w:sz w:val="16"/>
                <w:szCs w:val="16"/>
              </w:rPr>
              <w:t xml:space="preserve"> -</w:t>
            </w:r>
          </w:p>
        </w:tc>
        <w:tc>
          <w:tcPr>
            <w:tcW w:w="594" w:type="pct"/>
            <w:tcBorders>
              <w:top w:val="nil"/>
              <w:left w:val="nil"/>
              <w:bottom w:val="nil"/>
              <w:right w:val="nil"/>
            </w:tcBorders>
            <w:shd w:val="clear" w:color="auto" w:fill="auto"/>
            <w:noWrap/>
            <w:vAlign w:val="center"/>
          </w:tcPr>
          <w:p w14:paraId="3BA2F5AC" w14:textId="435D1699"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 xml:space="preserve"> -</w:t>
            </w:r>
          </w:p>
        </w:tc>
        <w:tc>
          <w:tcPr>
            <w:tcW w:w="671" w:type="pct"/>
            <w:tcBorders>
              <w:top w:val="nil"/>
              <w:left w:val="nil"/>
              <w:bottom w:val="nil"/>
              <w:right w:val="nil"/>
            </w:tcBorders>
            <w:shd w:val="clear" w:color="auto" w:fill="auto"/>
            <w:noWrap/>
            <w:vAlign w:val="center"/>
          </w:tcPr>
          <w:p w14:paraId="75B79389" w14:textId="6538B143"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 xml:space="preserve"> -</w:t>
            </w:r>
          </w:p>
        </w:tc>
        <w:tc>
          <w:tcPr>
            <w:tcW w:w="670" w:type="pct"/>
            <w:tcBorders>
              <w:top w:val="nil"/>
              <w:left w:val="nil"/>
              <w:bottom w:val="nil"/>
              <w:right w:val="nil"/>
            </w:tcBorders>
            <w:shd w:val="clear" w:color="auto" w:fill="auto"/>
            <w:noWrap/>
            <w:vAlign w:val="center"/>
          </w:tcPr>
          <w:p w14:paraId="1EA3D69F" w14:textId="4AF554B2"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 xml:space="preserve"> -</w:t>
            </w:r>
          </w:p>
        </w:tc>
        <w:tc>
          <w:tcPr>
            <w:tcW w:w="597" w:type="pct"/>
            <w:tcBorders>
              <w:top w:val="nil"/>
              <w:left w:val="nil"/>
              <w:bottom w:val="nil"/>
              <w:right w:val="nil"/>
            </w:tcBorders>
            <w:shd w:val="clear" w:color="auto" w:fill="auto"/>
            <w:noWrap/>
            <w:vAlign w:val="center"/>
          </w:tcPr>
          <w:p w14:paraId="0E6D6250" w14:textId="40BF0615"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 xml:space="preserve"> -</w:t>
            </w:r>
          </w:p>
        </w:tc>
        <w:tc>
          <w:tcPr>
            <w:tcW w:w="673" w:type="pct"/>
            <w:tcBorders>
              <w:top w:val="nil"/>
              <w:left w:val="nil"/>
              <w:bottom w:val="nil"/>
              <w:right w:val="nil"/>
            </w:tcBorders>
            <w:shd w:val="clear" w:color="auto" w:fill="auto"/>
            <w:noWrap/>
            <w:vAlign w:val="center"/>
          </w:tcPr>
          <w:p w14:paraId="156154A8" w14:textId="7B593029"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sz w:val="16"/>
                <w:szCs w:val="16"/>
              </w:rPr>
              <w:t xml:space="preserve"> -</w:t>
            </w:r>
          </w:p>
        </w:tc>
      </w:tr>
      <w:tr w:rsidR="0046371B" w:rsidRPr="00724D7B" w14:paraId="21387E3E" w14:textId="77777777" w:rsidTr="0046371B">
        <w:trPr>
          <w:trHeight w:val="283"/>
        </w:trPr>
        <w:tc>
          <w:tcPr>
            <w:tcW w:w="1269" w:type="pct"/>
            <w:tcBorders>
              <w:top w:val="single" w:sz="8" w:space="0" w:color="auto"/>
              <w:left w:val="nil"/>
              <w:bottom w:val="single" w:sz="8" w:space="0" w:color="auto"/>
              <w:right w:val="nil"/>
            </w:tcBorders>
            <w:shd w:val="clear" w:color="auto" w:fill="F2F2F2" w:themeFill="background1" w:themeFillShade="F2"/>
            <w:noWrap/>
            <w:vAlign w:val="center"/>
            <w:hideMark/>
          </w:tcPr>
          <w:p w14:paraId="6957CC76" w14:textId="6AF4356F"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SALDO, FINAL 31.12.2</w:t>
            </w:r>
            <w:r w:rsidR="00724D7B">
              <w:rPr>
                <w:rFonts w:eastAsia="Times New Roman"/>
                <w:b/>
                <w:bCs/>
                <w:sz w:val="16"/>
                <w:szCs w:val="16"/>
                <w:bdr w:val="none" w:sz="0" w:space="0" w:color="auto"/>
                <w:lang w:eastAsia="es-ES"/>
              </w:rPr>
              <w:t>1</w:t>
            </w:r>
          </w:p>
        </w:tc>
        <w:tc>
          <w:tcPr>
            <w:tcW w:w="525" w:type="pct"/>
            <w:tcBorders>
              <w:top w:val="single" w:sz="8" w:space="0" w:color="auto"/>
              <w:left w:val="nil"/>
              <w:bottom w:val="single" w:sz="8" w:space="0" w:color="auto"/>
              <w:right w:val="nil"/>
            </w:tcBorders>
            <w:shd w:val="clear" w:color="auto" w:fill="F2F2F2" w:themeFill="background1" w:themeFillShade="F2"/>
            <w:noWrap/>
            <w:vAlign w:val="center"/>
          </w:tcPr>
          <w:p w14:paraId="684BCBAB" w14:textId="2799A19D"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600.000,00</w:t>
            </w:r>
          </w:p>
        </w:tc>
        <w:tc>
          <w:tcPr>
            <w:tcW w:w="594" w:type="pct"/>
            <w:tcBorders>
              <w:top w:val="single" w:sz="8" w:space="0" w:color="auto"/>
              <w:left w:val="nil"/>
              <w:bottom w:val="single" w:sz="8" w:space="0" w:color="auto"/>
              <w:right w:val="nil"/>
            </w:tcBorders>
            <w:shd w:val="clear" w:color="auto" w:fill="F2F2F2" w:themeFill="background1" w:themeFillShade="F2"/>
            <w:noWrap/>
            <w:vAlign w:val="center"/>
          </w:tcPr>
          <w:p w14:paraId="3ED1422D" w14:textId="4BD9BC4E"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 xml:space="preserve"> -</w:t>
            </w:r>
          </w:p>
        </w:tc>
        <w:tc>
          <w:tcPr>
            <w:tcW w:w="671" w:type="pct"/>
            <w:tcBorders>
              <w:top w:val="single" w:sz="8" w:space="0" w:color="auto"/>
              <w:left w:val="nil"/>
              <w:bottom w:val="single" w:sz="8" w:space="0" w:color="auto"/>
              <w:right w:val="nil"/>
            </w:tcBorders>
            <w:shd w:val="clear" w:color="auto" w:fill="F2F2F2" w:themeFill="background1" w:themeFillShade="F2"/>
            <w:noWrap/>
            <w:vAlign w:val="center"/>
          </w:tcPr>
          <w:p w14:paraId="7CE49721" w14:textId="7B19E5FB"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2.267.888,00</w:t>
            </w:r>
          </w:p>
        </w:tc>
        <w:tc>
          <w:tcPr>
            <w:tcW w:w="670" w:type="pct"/>
            <w:tcBorders>
              <w:top w:val="single" w:sz="8" w:space="0" w:color="auto"/>
              <w:left w:val="nil"/>
              <w:bottom w:val="single" w:sz="8" w:space="0" w:color="auto"/>
              <w:right w:val="nil"/>
            </w:tcBorders>
            <w:shd w:val="clear" w:color="auto" w:fill="F2F2F2" w:themeFill="background1" w:themeFillShade="F2"/>
            <w:noWrap/>
            <w:vAlign w:val="center"/>
          </w:tcPr>
          <w:p w14:paraId="6886C492" w14:textId="2B98D2BC"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(2.267.888,00)</w:t>
            </w:r>
          </w:p>
        </w:tc>
        <w:tc>
          <w:tcPr>
            <w:tcW w:w="597" w:type="pct"/>
            <w:tcBorders>
              <w:top w:val="single" w:sz="8" w:space="0" w:color="auto"/>
              <w:left w:val="nil"/>
              <w:bottom w:val="single" w:sz="8" w:space="0" w:color="auto"/>
              <w:right w:val="nil"/>
            </w:tcBorders>
            <w:shd w:val="clear" w:color="auto" w:fill="F2F2F2" w:themeFill="background1" w:themeFillShade="F2"/>
            <w:noWrap/>
            <w:vAlign w:val="center"/>
          </w:tcPr>
          <w:p w14:paraId="15301159" w14:textId="20D93637"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172.401,11</w:t>
            </w:r>
          </w:p>
        </w:tc>
        <w:tc>
          <w:tcPr>
            <w:tcW w:w="673" w:type="pct"/>
            <w:tcBorders>
              <w:top w:val="single" w:sz="8" w:space="0" w:color="auto"/>
              <w:left w:val="nil"/>
              <w:bottom w:val="single" w:sz="8" w:space="0" w:color="auto"/>
              <w:right w:val="nil"/>
            </w:tcBorders>
            <w:shd w:val="clear" w:color="auto" w:fill="F2F2F2" w:themeFill="background1" w:themeFillShade="F2"/>
            <w:noWrap/>
            <w:vAlign w:val="center"/>
          </w:tcPr>
          <w:p w14:paraId="701643EB" w14:textId="48018D22" w:rsidR="0046371B" w:rsidRPr="00724D7B" w:rsidRDefault="0046371B" w:rsidP="004637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772.401,11</w:t>
            </w:r>
          </w:p>
        </w:tc>
      </w:tr>
    </w:tbl>
    <w:p w14:paraId="321DFA29" w14:textId="7B68286F" w:rsidR="003A4111" w:rsidRPr="0083433F" w:rsidRDefault="006220A2"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center"/>
        <w:outlineLvl w:val="0"/>
        <w:rPr>
          <w:sz w:val="20"/>
        </w:rPr>
      </w:pPr>
      <w:r w:rsidRPr="0083433F">
        <w:rPr>
          <w:i/>
          <w:iCs/>
          <w:sz w:val="16"/>
          <w:szCs w:val="18"/>
        </w:rPr>
        <w:t xml:space="preserve">Las Cuentas Anuales de la Sociedad, que forman una sola unidad, comprenden este Estado de Cambios en el Patrimonio Neto, el Balance, la Cuenta de Pérdidas y Ganancias, el Estado de Flujos de Efectivo adjuntos y la Memoria Anual adjunta </w:t>
      </w:r>
      <w:r w:rsidRPr="00BB2CD8">
        <w:rPr>
          <w:i/>
          <w:iCs/>
          <w:sz w:val="16"/>
          <w:szCs w:val="18"/>
        </w:rPr>
        <w:t>q</w:t>
      </w:r>
      <w:r w:rsidR="00A721D1" w:rsidRPr="00BB2CD8">
        <w:rPr>
          <w:i/>
          <w:iCs/>
          <w:sz w:val="16"/>
          <w:szCs w:val="18"/>
        </w:rPr>
        <w:t>ue consta de 20</w:t>
      </w:r>
      <w:r w:rsidRPr="00BB2CD8">
        <w:rPr>
          <w:i/>
          <w:iCs/>
          <w:sz w:val="16"/>
          <w:szCs w:val="18"/>
        </w:rPr>
        <w:t xml:space="preserve"> Notas</w:t>
      </w:r>
      <w:r w:rsidRPr="0083433F">
        <w:rPr>
          <w:sz w:val="20"/>
        </w:rPr>
        <w:br w:type="page"/>
      </w:r>
    </w:p>
    <w:p w14:paraId="41E1DBDD" w14:textId="77777777" w:rsidR="006220A2" w:rsidRPr="0083433F" w:rsidRDefault="006220A2" w:rsidP="006220A2">
      <w:pPr>
        <w:widowControl w:val="0"/>
        <w:tabs>
          <w:tab w:val="left" w:pos="284"/>
          <w:tab w:val="left" w:pos="567"/>
          <w:tab w:val="left" w:pos="851"/>
        </w:tabs>
        <w:rPr>
          <w:b/>
          <w:snapToGrid w:val="0"/>
          <w:sz w:val="20"/>
        </w:rPr>
      </w:pPr>
      <w:r w:rsidRPr="0083433F">
        <w:rPr>
          <w:b/>
          <w:snapToGrid w:val="0"/>
          <w:sz w:val="20"/>
        </w:rPr>
        <w:lastRenderedPageBreak/>
        <w:t>PROMOTUR TURISMO CANARIAS, S.A.</w:t>
      </w:r>
    </w:p>
    <w:p w14:paraId="2A3FB7D1" w14:textId="554EE045" w:rsidR="006220A2" w:rsidRPr="0083433F" w:rsidRDefault="006220A2" w:rsidP="002E3C11">
      <w:pPr>
        <w:widowControl w:val="0"/>
        <w:tabs>
          <w:tab w:val="left" w:pos="284"/>
          <w:tab w:val="left" w:pos="567"/>
          <w:tab w:val="left" w:pos="851"/>
        </w:tabs>
        <w:spacing w:after="120"/>
        <w:jc w:val="both"/>
        <w:rPr>
          <w:szCs w:val="18"/>
        </w:rPr>
      </w:pPr>
      <w:r w:rsidRPr="006579C4">
        <w:rPr>
          <w:b/>
          <w:sz w:val="20"/>
        </w:rPr>
        <w:t>ESTADO DE FLUJOS DE EFECTIVO CORRESPONDIENTE AL EJERCICIO ANUAL TERM</w:t>
      </w:r>
      <w:r w:rsidR="00026BFA" w:rsidRPr="006579C4">
        <w:rPr>
          <w:b/>
          <w:sz w:val="20"/>
        </w:rPr>
        <w:t>INADO EL 31 DE DICIEMBRE DE 20</w:t>
      </w:r>
      <w:r w:rsidR="00135E45" w:rsidRPr="006579C4">
        <w:rPr>
          <w:b/>
          <w:sz w:val="20"/>
        </w:rPr>
        <w:t>2</w:t>
      </w:r>
      <w:r w:rsidR="00222A9D">
        <w:rPr>
          <w:b/>
          <w:sz w:val="20"/>
        </w:rPr>
        <w:t>1</w:t>
      </w:r>
      <w:r w:rsidRPr="006579C4">
        <w:rPr>
          <w:b/>
          <w:sz w:val="20"/>
        </w:rPr>
        <w:t xml:space="preserve"> Y 20</w:t>
      </w:r>
      <w:r w:rsidR="00222A9D">
        <w:rPr>
          <w:b/>
          <w:sz w:val="20"/>
        </w:rPr>
        <w:t>20</w:t>
      </w:r>
      <w:r w:rsidRPr="006579C4">
        <w:rPr>
          <w:b/>
          <w:sz w:val="20"/>
        </w:rPr>
        <w:t xml:space="preserve"> </w:t>
      </w:r>
      <w:r w:rsidRPr="006579C4">
        <w:rPr>
          <w:b/>
          <w:bCs/>
          <w:sz w:val="20"/>
        </w:rPr>
        <w:t>(Expresado en euros)</w:t>
      </w:r>
    </w:p>
    <w:tbl>
      <w:tblPr>
        <w:tblW w:w="9294" w:type="dxa"/>
        <w:tblCellMar>
          <w:left w:w="70" w:type="dxa"/>
          <w:right w:w="70" w:type="dxa"/>
        </w:tblCellMar>
        <w:tblLook w:val="04A0" w:firstRow="1" w:lastRow="0" w:firstColumn="1" w:lastColumn="0" w:noHBand="0" w:noVBand="1"/>
      </w:tblPr>
      <w:tblGrid>
        <w:gridCol w:w="5199"/>
        <w:gridCol w:w="824"/>
        <w:gridCol w:w="644"/>
        <w:gridCol w:w="1270"/>
        <w:gridCol w:w="1357"/>
      </w:tblGrid>
      <w:tr w:rsidR="00543507" w:rsidRPr="00484275" w14:paraId="25025DE5" w14:textId="77777777" w:rsidTr="000D720C">
        <w:trPr>
          <w:trHeight w:val="283"/>
        </w:trPr>
        <w:tc>
          <w:tcPr>
            <w:tcW w:w="5199" w:type="dxa"/>
            <w:tcBorders>
              <w:top w:val="single" w:sz="4" w:space="0" w:color="auto"/>
              <w:left w:val="nil"/>
              <w:bottom w:val="single" w:sz="4" w:space="0" w:color="auto"/>
              <w:right w:val="nil"/>
            </w:tcBorders>
            <w:shd w:val="clear" w:color="auto" w:fill="D9D9D9" w:themeFill="background1" w:themeFillShade="D9"/>
            <w:vAlign w:val="bottom"/>
            <w:hideMark/>
          </w:tcPr>
          <w:p w14:paraId="67C6D3FF" w14:textId="1D9A7E77" w:rsidR="00543507" w:rsidRPr="00484275" w:rsidRDefault="00543507"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824" w:type="dxa"/>
            <w:tcBorders>
              <w:top w:val="single" w:sz="4" w:space="0" w:color="auto"/>
              <w:left w:val="nil"/>
              <w:bottom w:val="single" w:sz="4" w:space="0" w:color="auto"/>
              <w:right w:val="nil"/>
            </w:tcBorders>
            <w:shd w:val="clear" w:color="auto" w:fill="D9D9D9" w:themeFill="background1" w:themeFillShade="D9"/>
            <w:vAlign w:val="bottom"/>
            <w:hideMark/>
          </w:tcPr>
          <w:p w14:paraId="51BFDBBE" w14:textId="77777777" w:rsidR="00543507" w:rsidRPr="00484275" w:rsidRDefault="00543507"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Notas</w:t>
            </w:r>
          </w:p>
        </w:tc>
        <w:tc>
          <w:tcPr>
            <w:tcW w:w="644" w:type="dxa"/>
            <w:tcBorders>
              <w:top w:val="single" w:sz="4" w:space="0" w:color="auto"/>
              <w:left w:val="nil"/>
              <w:bottom w:val="single" w:sz="4" w:space="0" w:color="auto"/>
              <w:right w:val="nil"/>
            </w:tcBorders>
            <w:shd w:val="clear" w:color="auto" w:fill="D9D9D9" w:themeFill="background1" w:themeFillShade="D9"/>
            <w:vAlign w:val="bottom"/>
            <w:hideMark/>
          </w:tcPr>
          <w:p w14:paraId="485DD666" w14:textId="4AF26170" w:rsidR="00543507" w:rsidRPr="00484275" w:rsidRDefault="00543507"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1270" w:type="dxa"/>
            <w:tcBorders>
              <w:top w:val="single" w:sz="4" w:space="0" w:color="auto"/>
              <w:left w:val="nil"/>
              <w:bottom w:val="single" w:sz="4" w:space="0" w:color="auto"/>
              <w:right w:val="nil"/>
            </w:tcBorders>
            <w:shd w:val="clear" w:color="auto" w:fill="D9D9D9" w:themeFill="background1" w:themeFillShade="D9"/>
            <w:vAlign w:val="bottom"/>
            <w:hideMark/>
          </w:tcPr>
          <w:p w14:paraId="52F6E0BE" w14:textId="234408F8" w:rsidR="00543507" w:rsidRPr="00484275" w:rsidRDefault="00543507"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0D720C">
              <w:rPr>
                <w:rFonts w:eastAsia="Times New Roman"/>
                <w:b/>
                <w:bCs/>
                <w:color w:val="auto"/>
                <w:sz w:val="16"/>
                <w:szCs w:val="16"/>
                <w:bdr w:val="none" w:sz="0" w:space="0" w:color="auto"/>
                <w:lang w:eastAsia="es-ES"/>
              </w:rPr>
              <w:t>202</w:t>
            </w:r>
            <w:r w:rsidR="00222A9D" w:rsidRPr="000D720C">
              <w:rPr>
                <w:rFonts w:eastAsia="Times New Roman"/>
                <w:b/>
                <w:bCs/>
                <w:color w:val="auto"/>
                <w:sz w:val="16"/>
                <w:szCs w:val="16"/>
                <w:bdr w:val="none" w:sz="0" w:space="0" w:color="auto"/>
                <w:lang w:eastAsia="es-ES"/>
              </w:rPr>
              <w:t>1</w:t>
            </w:r>
          </w:p>
        </w:tc>
        <w:tc>
          <w:tcPr>
            <w:tcW w:w="1357" w:type="dxa"/>
            <w:tcBorders>
              <w:top w:val="single" w:sz="4" w:space="0" w:color="auto"/>
              <w:left w:val="nil"/>
              <w:bottom w:val="single" w:sz="4" w:space="0" w:color="auto"/>
              <w:right w:val="nil"/>
            </w:tcBorders>
            <w:shd w:val="clear" w:color="auto" w:fill="D9D9D9" w:themeFill="background1" w:themeFillShade="D9"/>
            <w:vAlign w:val="bottom"/>
            <w:hideMark/>
          </w:tcPr>
          <w:p w14:paraId="6418C31F" w14:textId="5E4120C1" w:rsidR="00543507" w:rsidRPr="00484275" w:rsidRDefault="00543507"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20</w:t>
            </w:r>
            <w:r w:rsidR="00222A9D">
              <w:rPr>
                <w:rFonts w:eastAsia="Times New Roman"/>
                <w:b/>
                <w:bCs/>
                <w:color w:val="auto"/>
                <w:sz w:val="16"/>
                <w:szCs w:val="16"/>
                <w:bdr w:val="none" w:sz="0" w:space="0" w:color="auto"/>
                <w:lang w:eastAsia="es-ES"/>
              </w:rPr>
              <w:t>20</w:t>
            </w:r>
          </w:p>
        </w:tc>
      </w:tr>
      <w:tr w:rsidR="000D720C" w:rsidRPr="00484275" w14:paraId="22F2A0DA" w14:textId="77777777" w:rsidTr="000D720C">
        <w:trPr>
          <w:trHeight w:val="326"/>
        </w:trPr>
        <w:tc>
          <w:tcPr>
            <w:tcW w:w="5199" w:type="dxa"/>
            <w:tcBorders>
              <w:top w:val="nil"/>
              <w:left w:val="nil"/>
              <w:bottom w:val="single" w:sz="4" w:space="0" w:color="auto"/>
              <w:right w:val="nil"/>
            </w:tcBorders>
            <w:shd w:val="clear" w:color="000000" w:fill="F2F2F2"/>
            <w:vAlign w:val="center"/>
            <w:hideMark/>
          </w:tcPr>
          <w:p w14:paraId="6056E9FB" w14:textId="77777777" w:rsidR="000D720C"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xml:space="preserve">A) FLUJOS DE EFECTIVO DE LAS ACTIVIDADES </w:t>
            </w:r>
          </w:p>
          <w:p w14:paraId="66D8E7AA" w14:textId="157C65B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DE EXPLOTACIÓN</w:t>
            </w:r>
          </w:p>
        </w:tc>
        <w:tc>
          <w:tcPr>
            <w:tcW w:w="824" w:type="dxa"/>
            <w:tcBorders>
              <w:top w:val="nil"/>
              <w:left w:val="nil"/>
              <w:bottom w:val="single" w:sz="4" w:space="0" w:color="auto"/>
              <w:right w:val="nil"/>
            </w:tcBorders>
            <w:shd w:val="clear" w:color="000000" w:fill="F2F2F2"/>
            <w:vAlign w:val="center"/>
            <w:hideMark/>
          </w:tcPr>
          <w:p w14:paraId="2A3C5DEB"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644" w:type="dxa"/>
            <w:tcBorders>
              <w:top w:val="nil"/>
              <w:left w:val="nil"/>
              <w:bottom w:val="single" w:sz="4" w:space="0" w:color="auto"/>
              <w:right w:val="nil"/>
            </w:tcBorders>
            <w:shd w:val="clear" w:color="000000" w:fill="F2F2F2"/>
            <w:vAlign w:val="center"/>
            <w:hideMark/>
          </w:tcPr>
          <w:p w14:paraId="68EBCF32" w14:textId="77777777" w:rsidR="000D720C" w:rsidRPr="006579C4"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6579C4">
              <w:rPr>
                <w:rFonts w:eastAsia="Times New Roman"/>
                <w:b/>
                <w:bCs/>
                <w:color w:val="auto"/>
                <w:sz w:val="16"/>
                <w:szCs w:val="16"/>
                <w:bdr w:val="none" w:sz="0" w:space="0" w:color="auto"/>
                <w:lang w:eastAsia="es-ES"/>
              </w:rPr>
              <w:t> </w:t>
            </w:r>
          </w:p>
        </w:tc>
        <w:tc>
          <w:tcPr>
            <w:tcW w:w="1270" w:type="dxa"/>
            <w:tcBorders>
              <w:top w:val="nil"/>
              <w:left w:val="nil"/>
              <w:bottom w:val="single" w:sz="4" w:space="0" w:color="auto"/>
              <w:right w:val="nil"/>
            </w:tcBorders>
            <w:shd w:val="clear" w:color="000000" w:fill="F2F2F2"/>
            <w:vAlign w:val="center"/>
          </w:tcPr>
          <w:p w14:paraId="39788E4D" w14:textId="6A5174D7" w:rsidR="000D720C" w:rsidRPr="006579C4"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(1.008.284,10)</w:t>
            </w:r>
          </w:p>
        </w:tc>
        <w:tc>
          <w:tcPr>
            <w:tcW w:w="1357" w:type="dxa"/>
            <w:tcBorders>
              <w:top w:val="nil"/>
              <w:left w:val="nil"/>
              <w:bottom w:val="single" w:sz="4" w:space="0" w:color="auto"/>
              <w:right w:val="nil"/>
            </w:tcBorders>
            <w:shd w:val="clear" w:color="000000" w:fill="F2F2F2"/>
            <w:vAlign w:val="center"/>
            <w:hideMark/>
          </w:tcPr>
          <w:p w14:paraId="60F7F158" w14:textId="11F8F84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6579C4">
              <w:rPr>
                <w:b/>
                <w:bCs/>
                <w:sz w:val="16"/>
                <w:szCs w:val="16"/>
              </w:rPr>
              <w:t>9.038.465,43</w:t>
            </w:r>
          </w:p>
        </w:tc>
      </w:tr>
      <w:tr w:rsidR="000D720C" w:rsidRPr="00484275" w14:paraId="6A738728" w14:textId="77777777" w:rsidTr="000D720C">
        <w:trPr>
          <w:trHeight w:val="76"/>
        </w:trPr>
        <w:tc>
          <w:tcPr>
            <w:tcW w:w="5199" w:type="dxa"/>
            <w:tcBorders>
              <w:top w:val="nil"/>
              <w:left w:val="nil"/>
              <w:bottom w:val="nil"/>
              <w:right w:val="nil"/>
            </w:tcBorders>
            <w:shd w:val="clear" w:color="auto" w:fill="auto"/>
            <w:vAlign w:val="center"/>
            <w:hideMark/>
          </w:tcPr>
          <w:p w14:paraId="5111838A"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p>
        </w:tc>
        <w:tc>
          <w:tcPr>
            <w:tcW w:w="824" w:type="dxa"/>
            <w:tcBorders>
              <w:top w:val="nil"/>
              <w:left w:val="nil"/>
              <w:bottom w:val="nil"/>
              <w:right w:val="nil"/>
            </w:tcBorders>
            <w:shd w:val="clear" w:color="auto" w:fill="auto"/>
            <w:vAlign w:val="center"/>
            <w:hideMark/>
          </w:tcPr>
          <w:p w14:paraId="27F035C0"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vAlign w:val="center"/>
            <w:hideMark/>
          </w:tcPr>
          <w:p w14:paraId="454AE0D0"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649F7223"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357" w:type="dxa"/>
            <w:tcBorders>
              <w:top w:val="nil"/>
              <w:left w:val="nil"/>
              <w:bottom w:val="nil"/>
              <w:right w:val="nil"/>
            </w:tcBorders>
            <w:shd w:val="clear" w:color="auto" w:fill="auto"/>
            <w:vAlign w:val="center"/>
            <w:hideMark/>
          </w:tcPr>
          <w:p w14:paraId="53EA9C1B"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0D720C" w:rsidRPr="00484275" w14:paraId="1EA45C0A" w14:textId="77777777" w:rsidTr="000D720C">
        <w:trPr>
          <w:trHeight w:val="227"/>
        </w:trPr>
        <w:tc>
          <w:tcPr>
            <w:tcW w:w="5199" w:type="dxa"/>
            <w:tcBorders>
              <w:top w:val="nil"/>
              <w:left w:val="nil"/>
              <w:bottom w:val="nil"/>
              <w:right w:val="nil"/>
            </w:tcBorders>
            <w:shd w:val="clear" w:color="auto" w:fill="auto"/>
            <w:vAlign w:val="center"/>
            <w:hideMark/>
          </w:tcPr>
          <w:p w14:paraId="6D14F114"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Resultado del ejercicio antes de impuestos</w:t>
            </w:r>
          </w:p>
        </w:tc>
        <w:tc>
          <w:tcPr>
            <w:tcW w:w="824" w:type="dxa"/>
            <w:tcBorders>
              <w:top w:val="nil"/>
              <w:left w:val="nil"/>
              <w:bottom w:val="nil"/>
              <w:right w:val="nil"/>
            </w:tcBorders>
            <w:shd w:val="clear" w:color="auto" w:fill="auto"/>
            <w:noWrap/>
            <w:vAlign w:val="center"/>
            <w:hideMark/>
          </w:tcPr>
          <w:p w14:paraId="57718D84"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3A4EE788"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single" w:sz="4" w:space="0" w:color="auto"/>
              <w:left w:val="nil"/>
              <w:bottom w:val="single" w:sz="4" w:space="0" w:color="auto"/>
              <w:right w:val="nil"/>
            </w:tcBorders>
            <w:shd w:val="clear" w:color="auto" w:fill="auto"/>
            <w:vAlign w:val="center"/>
          </w:tcPr>
          <w:p w14:paraId="00151970" w14:textId="51FC44DB"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(2.267.888,00)</w:t>
            </w:r>
          </w:p>
        </w:tc>
        <w:tc>
          <w:tcPr>
            <w:tcW w:w="1357" w:type="dxa"/>
            <w:tcBorders>
              <w:top w:val="single" w:sz="4" w:space="0" w:color="auto"/>
              <w:left w:val="nil"/>
              <w:bottom w:val="single" w:sz="4" w:space="0" w:color="auto"/>
              <w:right w:val="nil"/>
            </w:tcBorders>
            <w:shd w:val="clear" w:color="auto" w:fill="auto"/>
            <w:vAlign w:val="center"/>
            <w:hideMark/>
          </w:tcPr>
          <w:p w14:paraId="447D86AC" w14:textId="5F5EA118"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(2.223.683,00)</w:t>
            </w:r>
          </w:p>
        </w:tc>
      </w:tr>
      <w:tr w:rsidR="000D720C" w:rsidRPr="00484275" w14:paraId="732A1716" w14:textId="77777777" w:rsidTr="000D720C">
        <w:trPr>
          <w:trHeight w:val="227"/>
        </w:trPr>
        <w:tc>
          <w:tcPr>
            <w:tcW w:w="5199" w:type="dxa"/>
            <w:tcBorders>
              <w:top w:val="nil"/>
              <w:left w:val="nil"/>
              <w:bottom w:val="nil"/>
              <w:right w:val="nil"/>
            </w:tcBorders>
            <w:shd w:val="clear" w:color="auto" w:fill="auto"/>
            <w:vAlign w:val="center"/>
            <w:hideMark/>
          </w:tcPr>
          <w:p w14:paraId="226BADCC"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Ajustes al resultado</w:t>
            </w:r>
          </w:p>
        </w:tc>
        <w:tc>
          <w:tcPr>
            <w:tcW w:w="824" w:type="dxa"/>
            <w:tcBorders>
              <w:top w:val="nil"/>
              <w:left w:val="nil"/>
              <w:bottom w:val="nil"/>
              <w:right w:val="nil"/>
            </w:tcBorders>
            <w:shd w:val="clear" w:color="auto" w:fill="auto"/>
            <w:noWrap/>
            <w:vAlign w:val="center"/>
            <w:hideMark/>
          </w:tcPr>
          <w:p w14:paraId="17F72D80"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0099386F"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single" w:sz="4" w:space="0" w:color="auto"/>
              <w:right w:val="nil"/>
            </w:tcBorders>
            <w:shd w:val="clear" w:color="auto" w:fill="auto"/>
            <w:vAlign w:val="center"/>
          </w:tcPr>
          <w:p w14:paraId="11169EE4" w14:textId="55EA5CD9"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47.679,32</w:t>
            </w:r>
          </w:p>
        </w:tc>
        <w:tc>
          <w:tcPr>
            <w:tcW w:w="1357" w:type="dxa"/>
            <w:tcBorders>
              <w:top w:val="nil"/>
              <w:left w:val="nil"/>
              <w:bottom w:val="single" w:sz="4" w:space="0" w:color="auto"/>
              <w:right w:val="nil"/>
            </w:tcBorders>
            <w:shd w:val="clear" w:color="auto" w:fill="auto"/>
            <w:vAlign w:val="center"/>
            <w:hideMark/>
          </w:tcPr>
          <w:p w14:paraId="2BDA5CE2" w14:textId="4321D9B8" w:rsidR="000D720C" w:rsidRPr="009F6B6F"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67.669,62</w:t>
            </w:r>
          </w:p>
        </w:tc>
      </w:tr>
      <w:tr w:rsidR="000D720C" w:rsidRPr="00484275" w14:paraId="75E6C336" w14:textId="77777777" w:rsidTr="000D720C">
        <w:trPr>
          <w:trHeight w:val="227"/>
        </w:trPr>
        <w:tc>
          <w:tcPr>
            <w:tcW w:w="5199" w:type="dxa"/>
            <w:tcBorders>
              <w:top w:val="nil"/>
              <w:left w:val="nil"/>
              <w:bottom w:val="nil"/>
              <w:right w:val="nil"/>
            </w:tcBorders>
            <w:shd w:val="clear" w:color="auto" w:fill="auto"/>
            <w:vAlign w:val="center"/>
            <w:hideMark/>
          </w:tcPr>
          <w:p w14:paraId="30C4AC67"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Amortización del inmovilizado</w:t>
            </w:r>
          </w:p>
        </w:tc>
        <w:tc>
          <w:tcPr>
            <w:tcW w:w="824" w:type="dxa"/>
            <w:tcBorders>
              <w:top w:val="nil"/>
              <w:left w:val="nil"/>
              <w:bottom w:val="nil"/>
              <w:right w:val="nil"/>
            </w:tcBorders>
            <w:shd w:val="clear" w:color="auto" w:fill="auto"/>
            <w:noWrap/>
            <w:vAlign w:val="center"/>
            <w:hideMark/>
          </w:tcPr>
          <w:p w14:paraId="0416C1F7"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5 y 6</w:t>
            </w:r>
          </w:p>
        </w:tc>
        <w:tc>
          <w:tcPr>
            <w:tcW w:w="644" w:type="dxa"/>
            <w:tcBorders>
              <w:top w:val="nil"/>
              <w:left w:val="nil"/>
              <w:bottom w:val="nil"/>
              <w:right w:val="nil"/>
            </w:tcBorders>
            <w:shd w:val="clear" w:color="auto" w:fill="auto"/>
            <w:noWrap/>
            <w:vAlign w:val="center"/>
            <w:hideMark/>
          </w:tcPr>
          <w:p w14:paraId="781BCC56"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5D7AF481" w14:textId="1AF8E220"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124.945,12</w:t>
            </w:r>
          </w:p>
        </w:tc>
        <w:tc>
          <w:tcPr>
            <w:tcW w:w="1357" w:type="dxa"/>
            <w:tcBorders>
              <w:top w:val="nil"/>
              <w:left w:val="nil"/>
              <w:bottom w:val="nil"/>
              <w:right w:val="nil"/>
            </w:tcBorders>
            <w:shd w:val="clear" w:color="auto" w:fill="auto"/>
            <w:vAlign w:val="center"/>
            <w:hideMark/>
          </w:tcPr>
          <w:p w14:paraId="5102DD0B" w14:textId="110E7A9D" w:rsidR="000D720C" w:rsidRPr="009F6B6F"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115.876,42</w:t>
            </w:r>
          </w:p>
        </w:tc>
      </w:tr>
      <w:tr w:rsidR="000D720C" w:rsidRPr="00484275" w14:paraId="0AFE4D0B" w14:textId="77777777" w:rsidTr="000D720C">
        <w:trPr>
          <w:trHeight w:val="227"/>
        </w:trPr>
        <w:tc>
          <w:tcPr>
            <w:tcW w:w="5199" w:type="dxa"/>
            <w:tcBorders>
              <w:top w:val="nil"/>
              <w:left w:val="nil"/>
              <w:bottom w:val="nil"/>
              <w:right w:val="nil"/>
            </w:tcBorders>
            <w:shd w:val="clear" w:color="auto" w:fill="auto"/>
            <w:vAlign w:val="center"/>
            <w:hideMark/>
          </w:tcPr>
          <w:p w14:paraId="30DBF51D"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Correcciones valorativos por deterioro</w:t>
            </w:r>
          </w:p>
        </w:tc>
        <w:tc>
          <w:tcPr>
            <w:tcW w:w="824" w:type="dxa"/>
            <w:tcBorders>
              <w:top w:val="nil"/>
              <w:left w:val="nil"/>
              <w:bottom w:val="nil"/>
              <w:right w:val="nil"/>
            </w:tcBorders>
            <w:shd w:val="clear" w:color="auto" w:fill="auto"/>
            <w:noWrap/>
            <w:vAlign w:val="center"/>
            <w:hideMark/>
          </w:tcPr>
          <w:p w14:paraId="0157352D"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099FB872"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4F73B0A0" w14:textId="5907B1AD"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1357" w:type="dxa"/>
            <w:tcBorders>
              <w:top w:val="nil"/>
              <w:left w:val="nil"/>
              <w:bottom w:val="nil"/>
              <w:right w:val="nil"/>
            </w:tcBorders>
            <w:shd w:val="clear" w:color="auto" w:fill="auto"/>
            <w:vAlign w:val="center"/>
            <w:hideMark/>
          </w:tcPr>
          <w:p w14:paraId="244BCCD8" w14:textId="73B9BF39" w:rsidR="000D720C" w:rsidRPr="009F6B6F"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r>
      <w:tr w:rsidR="000D720C" w:rsidRPr="00484275" w14:paraId="0157A4FB" w14:textId="77777777" w:rsidTr="000D720C">
        <w:trPr>
          <w:trHeight w:val="227"/>
        </w:trPr>
        <w:tc>
          <w:tcPr>
            <w:tcW w:w="5199" w:type="dxa"/>
            <w:tcBorders>
              <w:top w:val="nil"/>
              <w:left w:val="nil"/>
              <w:bottom w:val="nil"/>
              <w:right w:val="nil"/>
            </w:tcBorders>
            <w:shd w:val="clear" w:color="auto" w:fill="auto"/>
            <w:vAlign w:val="center"/>
            <w:hideMark/>
          </w:tcPr>
          <w:p w14:paraId="58DE58EA"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Imputación de subvenciones</w:t>
            </w:r>
          </w:p>
        </w:tc>
        <w:tc>
          <w:tcPr>
            <w:tcW w:w="824" w:type="dxa"/>
            <w:tcBorders>
              <w:top w:val="nil"/>
              <w:left w:val="nil"/>
              <w:bottom w:val="nil"/>
              <w:right w:val="nil"/>
            </w:tcBorders>
            <w:shd w:val="clear" w:color="auto" w:fill="auto"/>
            <w:noWrap/>
            <w:vAlign w:val="center"/>
            <w:hideMark/>
          </w:tcPr>
          <w:p w14:paraId="6505F281"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15.1</w:t>
            </w:r>
          </w:p>
        </w:tc>
        <w:tc>
          <w:tcPr>
            <w:tcW w:w="644" w:type="dxa"/>
            <w:tcBorders>
              <w:top w:val="nil"/>
              <w:left w:val="nil"/>
              <w:bottom w:val="nil"/>
              <w:right w:val="nil"/>
            </w:tcBorders>
            <w:shd w:val="clear" w:color="auto" w:fill="auto"/>
            <w:noWrap/>
            <w:vAlign w:val="center"/>
            <w:hideMark/>
          </w:tcPr>
          <w:p w14:paraId="3035357A"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04515168" w14:textId="173821B3"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(72.549,44)</w:t>
            </w:r>
          </w:p>
        </w:tc>
        <w:tc>
          <w:tcPr>
            <w:tcW w:w="1357" w:type="dxa"/>
            <w:tcBorders>
              <w:top w:val="nil"/>
              <w:left w:val="nil"/>
              <w:bottom w:val="nil"/>
              <w:right w:val="nil"/>
            </w:tcBorders>
            <w:shd w:val="clear" w:color="auto" w:fill="auto"/>
            <w:vAlign w:val="center"/>
            <w:hideMark/>
          </w:tcPr>
          <w:p w14:paraId="3EACAC38" w14:textId="2275EB1F" w:rsidR="000D720C" w:rsidRPr="009F6B6F"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(116.577,80)</w:t>
            </w:r>
          </w:p>
        </w:tc>
      </w:tr>
      <w:tr w:rsidR="000D720C" w:rsidRPr="00484275" w14:paraId="6D65A250" w14:textId="77777777" w:rsidTr="000D720C">
        <w:trPr>
          <w:trHeight w:val="227"/>
        </w:trPr>
        <w:tc>
          <w:tcPr>
            <w:tcW w:w="5199" w:type="dxa"/>
            <w:tcBorders>
              <w:top w:val="nil"/>
              <w:left w:val="nil"/>
              <w:bottom w:val="nil"/>
              <w:right w:val="nil"/>
            </w:tcBorders>
            <w:shd w:val="clear" w:color="auto" w:fill="auto"/>
            <w:vAlign w:val="center"/>
            <w:hideMark/>
          </w:tcPr>
          <w:p w14:paraId="1A60F359"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Ingresos financieros</w:t>
            </w:r>
          </w:p>
        </w:tc>
        <w:tc>
          <w:tcPr>
            <w:tcW w:w="824" w:type="dxa"/>
            <w:tcBorders>
              <w:top w:val="nil"/>
              <w:left w:val="nil"/>
              <w:bottom w:val="nil"/>
              <w:right w:val="nil"/>
            </w:tcBorders>
            <w:shd w:val="clear" w:color="auto" w:fill="auto"/>
            <w:noWrap/>
            <w:vAlign w:val="center"/>
            <w:hideMark/>
          </w:tcPr>
          <w:p w14:paraId="14645FB9"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12.e</w:t>
            </w:r>
          </w:p>
        </w:tc>
        <w:tc>
          <w:tcPr>
            <w:tcW w:w="644" w:type="dxa"/>
            <w:tcBorders>
              <w:top w:val="nil"/>
              <w:left w:val="nil"/>
              <w:bottom w:val="nil"/>
              <w:right w:val="nil"/>
            </w:tcBorders>
            <w:shd w:val="clear" w:color="auto" w:fill="auto"/>
            <w:noWrap/>
            <w:vAlign w:val="center"/>
            <w:hideMark/>
          </w:tcPr>
          <w:p w14:paraId="69B8F8A2"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78275ECA" w14:textId="5F71A06C"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(77,98)</w:t>
            </w:r>
          </w:p>
        </w:tc>
        <w:tc>
          <w:tcPr>
            <w:tcW w:w="1357" w:type="dxa"/>
            <w:tcBorders>
              <w:top w:val="nil"/>
              <w:left w:val="nil"/>
              <w:bottom w:val="nil"/>
              <w:right w:val="nil"/>
            </w:tcBorders>
            <w:shd w:val="clear" w:color="auto" w:fill="auto"/>
            <w:vAlign w:val="center"/>
            <w:hideMark/>
          </w:tcPr>
          <w:p w14:paraId="196C5E2D" w14:textId="76D9B0F9" w:rsidR="000D720C" w:rsidRPr="009F6B6F"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(84,00)</w:t>
            </w:r>
          </w:p>
        </w:tc>
      </w:tr>
      <w:tr w:rsidR="000D720C" w:rsidRPr="00484275" w14:paraId="38E6CA75" w14:textId="77777777" w:rsidTr="000D720C">
        <w:trPr>
          <w:trHeight w:val="227"/>
        </w:trPr>
        <w:tc>
          <w:tcPr>
            <w:tcW w:w="5199" w:type="dxa"/>
            <w:tcBorders>
              <w:top w:val="nil"/>
              <w:left w:val="nil"/>
              <w:bottom w:val="nil"/>
              <w:right w:val="nil"/>
            </w:tcBorders>
            <w:shd w:val="clear" w:color="auto" w:fill="auto"/>
            <w:vAlign w:val="center"/>
            <w:hideMark/>
          </w:tcPr>
          <w:p w14:paraId="6F10B937"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Diferencias de cambio</w:t>
            </w:r>
          </w:p>
        </w:tc>
        <w:tc>
          <w:tcPr>
            <w:tcW w:w="824" w:type="dxa"/>
            <w:tcBorders>
              <w:top w:val="nil"/>
              <w:left w:val="nil"/>
              <w:bottom w:val="nil"/>
              <w:right w:val="nil"/>
            </w:tcBorders>
            <w:shd w:val="clear" w:color="auto" w:fill="auto"/>
            <w:noWrap/>
            <w:vAlign w:val="center"/>
            <w:hideMark/>
          </w:tcPr>
          <w:p w14:paraId="6F9E7162"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2C70A6ED"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78C0A258" w14:textId="25244B9E"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(7.900,85)</w:t>
            </w:r>
          </w:p>
        </w:tc>
        <w:tc>
          <w:tcPr>
            <w:tcW w:w="1357" w:type="dxa"/>
            <w:tcBorders>
              <w:top w:val="nil"/>
              <w:left w:val="nil"/>
              <w:bottom w:val="nil"/>
              <w:right w:val="nil"/>
            </w:tcBorders>
            <w:shd w:val="clear" w:color="auto" w:fill="auto"/>
            <w:vAlign w:val="center"/>
            <w:hideMark/>
          </w:tcPr>
          <w:p w14:paraId="1120F86B" w14:textId="4C8740CC" w:rsidR="000D720C" w:rsidRPr="009F6B6F"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r>
      <w:tr w:rsidR="000D720C" w:rsidRPr="00484275" w14:paraId="0E70008D" w14:textId="77777777" w:rsidTr="000D720C">
        <w:trPr>
          <w:trHeight w:val="227"/>
        </w:trPr>
        <w:tc>
          <w:tcPr>
            <w:tcW w:w="5199" w:type="dxa"/>
            <w:tcBorders>
              <w:top w:val="nil"/>
              <w:left w:val="nil"/>
              <w:bottom w:val="nil"/>
              <w:right w:val="nil"/>
            </w:tcBorders>
            <w:shd w:val="clear" w:color="auto" w:fill="auto"/>
            <w:vAlign w:val="center"/>
            <w:hideMark/>
          </w:tcPr>
          <w:p w14:paraId="08F1BD14"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Gastos financieros</w:t>
            </w:r>
          </w:p>
        </w:tc>
        <w:tc>
          <w:tcPr>
            <w:tcW w:w="824" w:type="dxa"/>
            <w:tcBorders>
              <w:top w:val="nil"/>
              <w:left w:val="nil"/>
              <w:bottom w:val="nil"/>
              <w:right w:val="nil"/>
            </w:tcBorders>
            <w:shd w:val="clear" w:color="auto" w:fill="auto"/>
            <w:noWrap/>
            <w:vAlign w:val="center"/>
            <w:hideMark/>
          </w:tcPr>
          <w:p w14:paraId="3CEF6230"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46968E93"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18E86DA7" w14:textId="7C75B3F4"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3.262,47</w:t>
            </w:r>
          </w:p>
        </w:tc>
        <w:tc>
          <w:tcPr>
            <w:tcW w:w="1357" w:type="dxa"/>
            <w:tcBorders>
              <w:top w:val="nil"/>
              <w:left w:val="nil"/>
              <w:bottom w:val="nil"/>
              <w:right w:val="nil"/>
            </w:tcBorders>
            <w:shd w:val="clear" w:color="auto" w:fill="auto"/>
            <w:vAlign w:val="center"/>
            <w:hideMark/>
          </w:tcPr>
          <w:p w14:paraId="27C367C0" w14:textId="1ED6DD98" w:rsidR="000D720C" w:rsidRPr="009F6B6F"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68.455,00</w:t>
            </w:r>
          </w:p>
        </w:tc>
      </w:tr>
      <w:tr w:rsidR="00222A9D" w:rsidRPr="00484275" w14:paraId="08417C80" w14:textId="77777777" w:rsidTr="000D720C">
        <w:trPr>
          <w:trHeight w:val="170"/>
        </w:trPr>
        <w:tc>
          <w:tcPr>
            <w:tcW w:w="5199" w:type="dxa"/>
            <w:tcBorders>
              <w:top w:val="nil"/>
              <w:left w:val="nil"/>
              <w:bottom w:val="nil"/>
              <w:right w:val="nil"/>
            </w:tcBorders>
            <w:shd w:val="clear" w:color="auto" w:fill="auto"/>
            <w:vAlign w:val="center"/>
            <w:hideMark/>
          </w:tcPr>
          <w:p w14:paraId="79D1E5DB"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824" w:type="dxa"/>
            <w:tcBorders>
              <w:top w:val="nil"/>
              <w:left w:val="nil"/>
              <w:bottom w:val="nil"/>
              <w:right w:val="nil"/>
            </w:tcBorders>
            <w:shd w:val="clear" w:color="auto" w:fill="auto"/>
            <w:noWrap/>
            <w:vAlign w:val="center"/>
            <w:hideMark/>
          </w:tcPr>
          <w:p w14:paraId="046BEB16"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3B266D74"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4C41D966"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357" w:type="dxa"/>
            <w:tcBorders>
              <w:top w:val="nil"/>
              <w:left w:val="nil"/>
              <w:bottom w:val="nil"/>
              <w:right w:val="nil"/>
            </w:tcBorders>
            <w:shd w:val="clear" w:color="auto" w:fill="auto"/>
            <w:vAlign w:val="center"/>
            <w:hideMark/>
          </w:tcPr>
          <w:p w14:paraId="153E0B3A" w14:textId="77777777" w:rsidR="00222A9D" w:rsidRPr="009F6B6F"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222A9D" w:rsidRPr="002E3C11" w14:paraId="7CD17459" w14:textId="77777777" w:rsidTr="000D720C">
        <w:trPr>
          <w:trHeight w:val="113"/>
        </w:trPr>
        <w:tc>
          <w:tcPr>
            <w:tcW w:w="5199" w:type="dxa"/>
            <w:tcBorders>
              <w:top w:val="nil"/>
              <w:left w:val="nil"/>
              <w:bottom w:val="nil"/>
              <w:right w:val="nil"/>
            </w:tcBorders>
            <w:shd w:val="clear" w:color="auto" w:fill="auto"/>
            <w:vAlign w:val="center"/>
            <w:hideMark/>
          </w:tcPr>
          <w:p w14:paraId="5351F877"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824" w:type="dxa"/>
            <w:tcBorders>
              <w:top w:val="nil"/>
              <w:left w:val="nil"/>
              <w:bottom w:val="nil"/>
              <w:right w:val="nil"/>
            </w:tcBorders>
            <w:shd w:val="clear" w:color="auto" w:fill="auto"/>
            <w:noWrap/>
            <w:vAlign w:val="center"/>
            <w:hideMark/>
          </w:tcPr>
          <w:p w14:paraId="0AB5CF64"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644" w:type="dxa"/>
            <w:tcBorders>
              <w:top w:val="nil"/>
              <w:left w:val="nil"/>
              <w:bottom w:val="nil"/>
              <w:right w:val="nil"/>
            </w:tcBorders>
            <w:shd w:val="clear" w:color="auto" w:fill="auto"/>
            <w:noWrap/>
            <w:vAlign w:val="center"/>
            <w:hideMark/>
          </w:tcPr>
          <w:p w14:paraId="7BE1E0DA"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0"/>
                <w:szCs w:val="10"/>
                <w:bdr w:val="none" w:sz="0" w:space="0" w:color="auto"/>
                <w:lang w:eastAsia="es-ES"/>
              </w:rPr>
            </w:pPr>
          </w:p>
        </w:tc>
        <w:tc>
          <w:tcPr>
            <w:tcW w:w="1270" w:type="dxa"/>
            <w:tcBorders>
              <w:top w:val="nil"/>
              <w:left w:val="nil"/>
              <w:bottom w:val="nil"/>
              <w:right w:val="nil"/>
            </w:tcBorders>
            <w:shd w:val="clear" w:color="auto" w:fill="auto"/>
            <w:noWrap/>
            <w:vAlign w:val="center"/>
          </w:tcPr>
          <w:p w14:paraId="237C0DDF"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1357" w:type="dxa"/>
            <w:tcBorders>
              <w:top w:val="nil"/>
              <w:left w:val="nil"/>
              <w:bottom w:val="nil"/>
              <w:right w:val="nil"/>
            </w:tcBorders>
            <w:shd w:val="clear" w:color="auto" w:fill="auto"/>
            <w:noWrap/>
            <w:vAlign w:val="center"/>
            <w:hideMark/>
          </w:tcPr>
          <w:p w14:paraId="692CF575"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r>
      <w:tr w:rsidR="000D720C" w:rsidRPr="00484275" w14:paraId="63BC766B" w14:textId="77777777" w:rsidTr="000D720C">
        <w:trPr>
          <w:trHeight w:val="227"/>
        </w:trPr>
        <w:tc>
          <w:tcPr>
            <w:tcW w:w="5199" w:type="dxa"/>
            <w:tcBorders>
              <w:top w:val="nil"/>
              <w:left w:val="nil"/>
              <w:bottom w:val="nil"/>
              <w:right w:val="nil"/>
            </w:tcBorders>
            <w:shd w:val="clear" w:color="auto" w:fill="auto"/>
            <w:vAlign w:val="center"/>
            <w:hideMark/>
          </w:tcPr>
          <w:p w14:paraId="0A697B4A"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Cambios en el capital corriente</w:t>
            </w:r>
          </w:p>
        </w:tc>
        <w:tc>
          <w:tcPr>
            <w:tcW w:w="824" w:type="dxa"/>
            <w:tcBorders>
              <w:top w:val="nil"/>
              <w:left w:val="nil"/>
              <w:bottom w:val="nil"/>
              <w:right w:val="nil"/>
            </w:tcBorders>
            <w:shd w:val="clear" w:color="auto" w:fill="auto"/>
            <w:noWrap/>
            <w:vAlign w:val="center"/>
            <w:hideMark/>
          </w:tcPr>
          <w:p w14:paraId="0BAB6A3A"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4A16EA38"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single" w:sz="4" w:space="0" w:color="auto"/>
              <w:left w:val="nil"/>
              <w:bottom w:val="single" w:sz="4" w:space="0" w:color="auto"/>
              <w:right w:val="nil"/>
            </w:tcBorders>
            <w:shd w:val="clear" w:color="auto" w:fill="auto"/>
            <w:vAlign w:val="center"/>
          </w:tcPr>
          <w:p w14:paraId="6C243431" w14:textId="57B7D0CA"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1.215.109,07</w:t>
            </w:r>
          </w:p>
        </w:tc>
        <w:tc>
          <w:tcPr>
            <w:tcW w:w="1357" w:type="dxa"/>
            <w:tcBorders>
              <w:top w:val="single" w:sz="4" w:space="0" w:color="auto"/>
              <w:left w:val="nil"/>
              <w:bottom w:val="single" w:sz="4" w:space="0" w:color="auto"/>
              <w:right w:val="nil"/>
            </w:tcBorders>
            <w:shd w:val="clear" w:color="auto" w:fill="auto"/>
            <w:vAlign w:val="center"/>
            <w:hideMark/>
          </w:tcPr>
          <w:p w14:paraId="43F33170" w14:textId="797E6D3E" w:rsidR="000D720C" w:rsidRPr="009F6B6F"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11.262.849,81</w:t>
            </w:r>
          </w:p>
        </w:tc>
      </w:tr>
      <w:tr w:rsidR="000D720C" w:rsidRPr="00484275" w14:paraId="44728A83" w14:textId="77777777" w:rsidTr="000D720C">
        <w:trPr>
          <w:trHeight w:val="227"/>
        </w:trPr>
        <w:tc>
          <w:tcPr>
            <w:tcW w:w="5199" w:type="dxa"/>
            <w:tcBorders>
              <w:top w:val="nil"/>
              <w:left w:val="nil"/>
              <w:bottom w:val="nil"/>
              <w:right w:val="nil"/>
            </w:tcBorders>
            <w:shd w:val="clear" w:color="auto" w:fill="auto"/>
            <w:vAlign w:val="center"/>
            <w:hideMark/>
          </w:tcPr>
          <w:p w14:paraId="5017D3D1"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Deudores y otras cuentas a cobrar</w:t>
            </w:r>
          </w:p>
        </w:tc>
        <w:tc>
          <w:tcPr>
            <w:tcW w:w="824" w:type="dxa"/>
            <w:tcBorders>
              <w:top w:val="nil"/>
              <w:left w:val="nil"/>
              <w:bottom w:val="nil"/>
              <w:right w:val="nil"/>
            </w:tcBorders>
            <w:shd w:val="clear" w:color="auto" w:fill="auto"/>
            <w:noWrap/>
            <w:vAlign w:val="center"/>
            <w:hideMark/>
          </w:tcPr>
          <w:p w14:paraId="3D25D6D0"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6FAEB3E4"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1C3812DD" w14:textId="41D1BB5C"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(563.498,05)</w:t>
            </w:r>
          </w:p>
        </w:tc>
        <w:tc>
          <w:tcPr>
            <w:tcW w:w="1357" w:type="dxa"/>
            <w:tcBorders>
              <w:top w:val="nil"/>
              <w:left w:val="nil"/>
              <w:bottom w:val="nil"/>
              <w:right w:val="nil"/>
            </w:tcBorders>
            <w:shd w:val="clear" w:color="auto" w:fill="auto"/>
            <w:vAlign w:val="center"/>
            <w:hideMark/>
          </w:tcPr>
          <w:p w14:paraId="2E386474" w14:textId="4D2E3D02" w:rsidR="000D720C" w:rsidRPr="009F6B6F"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1.063.879,72</w:t>
            </w:r>
          </w:p>
        </w:tc>
      </w:tr>
      <w:tr w:rsidR="000D720C" w:rsidRPr="00484275" w14:paraId="287B3C7C" w14:textId="77777777" w:rsidTr="000D720C">
        <w:trPr>
          <w:trHeight w:val="227"/>
        </w:trPr>
        <w:tc>
          <w:tcPr>
            <w:tcW w:w="5199" w:type="dxa"/>
            <w:tcBorders>
              <w:top w:val="nil"/>
              <w:left w:val="nil"/>
              <w:bottom w:val="nil"/>
              <w:right w:val="nil"/>
            </w:tcBorders>
            <w:shd w:val="clear" w:color="auto" w:fill="auto"/>
            <w:vAlign w:val="center"/>
            <w:hideMark/>
          </w:tcPr>
          <w:p w14:paraId="79388B4B"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Otros activos corrientes</w:t>
            </w:r>
          </w:p>
        </w:tc>
        <w:tc>
          <w:tcPr>
            <w:tcW w:w="824" w:type="dxa"/>
            <w:tcBorders>
              <w:top w:val="nil"/>
              <w:left w:val="nil"/>
              <w:bottom w:val="nil"/>
              <w:right w:val="nil"/>
            </w:tcBorders>
            <w:shd w:val="clear" w:color="auto" w:fill="auto"/>
            <w:noWrap/>
            <w:vAlign w:val="center"/>
            <w:hideMark/>
          </w:tcPr>
          <w:p w14:paraId="0944B5EF"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2C0444B4"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3ACC6DAE" w14:textId="260D9A6E"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(40.132.407,79)</w:t>
            </w:r>
          </w:p>
        </w:tc>
        <w:tc>
          <w:tcPr>
            <w:tcW w:w="1357" w:type="dxa"/>
            <w:tcBorders>
              <w:top w:val="nil"/>
              <w:left w:val="nil"/>
              <w:bottom w:val="nil"/>
              <w:right w:val="nil"/>
            </w:tcBorders>
            <w:shd w:val="clear" w:color="auto" w:fill="auto"/>
            <w:vAlign w:val="center"/>
            <w:hideMark/>
          </w:tcPr>
          <w:p w14:paraId="4F988034" w14:textId="23F25EB0" w:rsidR="000D720C" w:rsidRPr="009F6B6F"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794.210,99</w:t>
            </w:r>
          </w:p>
        </w:tc>
      </w:tr>
      <w:tr w:rsidR="000D720C" w:rsidRPr="00484275" w14:paraId="2F8A7F79" w14:textId="77777777" w:rsidTr="000D720C">
        <w:trPr>
          <w:trHeight w:val="227"/>
        </w:trPr>
        <w:tc>
          <w:tcPr>
            <w:tcW w:w="5199" w:type="dxa"/>
            <w:tcBorders>
              <w:top w:val="nil"/>
              <w:left w:val="nil"/>
              <w:bottom w:val="nil"/>
              <w:right w:val="nil"/>
            </w:tcBorders>
            <w:shd w:val="clear" w:color="auto" w:fill="auto"/>
            <w:vAlign w:val="center"/>
            <w:hideMark/>
          </w:tcPr>
          <w:p w14:paraId="1ACC229D"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Acreedores y otras cuentas a pagar</w:t>
            </w:r>
          </w:p>
        </w:tc>
        <w:tc>
          <w:tcPr>
            <w:tcW w:w="824" w:type="dxa"/>
            <w:tcBorders>
              <w:top w:val="nil"/>
              <w:left w:val="nil"/>
              <w:bottom w:val="nil"/>
              <w:right w:val="nil"/>
            </w:tcBorders>
            <w:shd w:val="clear" w:color="auto" w:fill="auto"/>
            <w:noWrap/>
            <w:vAlign w:val="center"/>
            <w:hideMark/>
          </w:tcPr>
          <w:p w14:paraId="2458920A"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74E75B87"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6AAF3856" w14:textId="72EA37EA"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7.535.795,39</w:t>
            </w:r>
          </w:p>
        </w:tc>
        <w:tc>
          <w:tcPr>
            <w:tcW w:w="1357" w:type="dxa"/>
            <w:tcBorders>
              <w:top w:val="nil"/>
              <w:left w:val="nil"/>
              <w:bottom w:val="nil"/>
              <w:right w:val="nil"/>
            </w:tcBorders>
            <w:shd w:val="clear" w:color="auto" w:fill="auto"/>
            <w:vAlign w:val="center"/>
            <w:hideMark/>
          </w:tcPr>
          <w:p w14:paraId="5F112377" w14:textId="105C79FA" w:rsidR="000D720C" w:rsidRPr="009F6B6F"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152.931,93</w:t>
            </w:r>
          </w:p>
        </w:tc>
      </w:tr>
      <w:tr w:rsidR="000D720C" w:rsidRPr="00484275" w14:paraId="1F1A145E" w14:textId="77777777" w:rsidTr="000D720C">
        <w:trPr>
          <w:trHeight w:val="227"/>
        </w:trPr>
        <w:tc>
          <w:tcPr>
            <w:tcW w:w="5199" w:type="dxa"/>
            <w:tcBorders>
              <w:top w:val="nil"/>
              <w:left w:val="nil"/>
              <w:bottom w:val="nil"/>
              <w:right w:val="nil"/>
            </w:tcBorders>
            <w:shd w:val="clear" w:color="auto" w:fill="auto"/>
            <w:vAlign w:val="center"/>
            <w:hideMark/>
          </w:tcPr>
          <w:p w14:paraId="6F49065E"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Otros pasivos corrientes</w:t>
            </w:r>
          </w:p>
        </w:tc>
        <w:tc>
          <w:tcPr>
            <w:tcW w:w="824" w:type="dxa"/>
            <w:tcBorders>
              <w:top w:val="nil"/>
              <w:left w:val="nil"/>
              <w:bottom w:val="nil"/>
              <w:right w:val="nil"/>
            </w:tcBorders>
            <w:shd w:val="clear" w:color="auto" w:fill="auto"/>
            <w:noWrap/>
            <w:vAlign w:val="center"/>
            <w:hideMark/>
          </w:tcPr>
          <w:p w14:paraId="5F8633F1"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3A837EB1"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61A0137B" w14:textId="1E6FF090"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2.407.989,76</w:t>
            </w:r>
          </w:p>
        </w:tc>
        <w:tc>
          <w:tcPr>
            <w:tcW w:w="1357" w:type="dxa"/>
            <w:tcBorders>
              <w:top w:val="nil"/>
              <w:left w:val="nil"/>
              <w:bottom w:val="nil"/>
              <w:right w:val="nil"/>
            </w:tcBorders>
            <w:shd w:val="clear" w:color="auto" w:fill="auto"/>
            <w:vAlign w:val="center"/>
            <w:hideMark/>
          </w:tcPr>
          <w:p w14:paraId="551844F3" w14:textId="56EA30D6" w:rsidR="000D720C" w:rsidRPr="009F6B6F"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9.251.827,17</w:t>
            </w:r>
          </w:p>
        </w:tc>
      </w:tr>
      <w:tr w:rsidR="000D720C" w:rsidRPr="002E3C11" w14:paraId="60199D67" w14:textId="77777777" w:rsidTr="000D720C">
        <w:trPr>
          <w:trHeight w:val="227"/>
        </w:trPr>
        <w:tc>
          <w:tcPr>
            <w:tcW w:w="5199" w:type="dxa"/>
            <w:tcBorders>
              <w:top w:val="nil"/>
              <w:left w:val="nil"/>
              <w:bottom w:val="nil"/>
              <w:right w:val="nil"/>
            </w:tcBorders>
            <w:shd w:val="clear" w:color="auto" w:fill="auto"/>
            <w:vAlign w:val="center"/>
            <w:hideMark/>
          </w:tcPr>
          <w:p w14:paraId="468C17D0" w14:textId="77777777" w:rsidR="000D720C" w:rsidRPr="002E3C11"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 Otros activos y pasivos no corrientes</w:t>
            </w:r>
          </w:p>
        </w:tc>
        <w:tc>
          <w:tcPr>
            <w:tcW w:w="824" w:type="dxa"/>
            <w:tcBorders>
              <w:top w:val="nil"/>
              <w:left w:val="nil"/>
              <w:bottom w:val="nil"/>
              <w:right w:val="nil"/>
            </w:tcBorders>
            <w:shd w:val="clear" w:color="auto" w:fill="auto"/>
            <w:noWrap/>
            <w:vAlign w:val="center"/>
            <w:hideMark/>
          </w:tcPr>
          <w:p w14:paraId="077A7336" w14:textId="77777777" w:rsidR="000D720C" w:rsidRPr="002E3C11"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7FA2A0A0" w14:textId="77777777" w:rsidR="000D720C" w:rsidRPr="002E3C11"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1CF91B4E" w14:textId="476C9529" w:rsidR="000D720C" w:rsidRPr="002E3C11"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31.967.229,76</w:t>
            </w:r>
          </w:p>
        </w:tc>
        <w:tc>
          <w:tcPr>
            <w:tcW w:w="1357" w:type="dxa"/>
            <w:tcBorders>
              <w:top w:val="nil"/>
              <w:left w:val="nil"/>
              <w:bottom w:val="nil"/>
              <w:right w:val="nil"/>
            </w:tcBorders>
            <w:shd w:val="clear" w:color="auto" w:fill="auto"/>
            <w:vAlign w:val="center"/>
            <w:hideMark/>
          </w:tcPr>
          <w:p w14:paraId="1B993882" w14:textId="19F0C5EE" w:rsidR="000D720C" w:rsidRPr="002E3C11"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2E3C11">
              <w:rPr>
                <w:rFonts w:eastAsia="Times New Roman"/>
                <w:color w:val="auto"/>
                <w:sz w:val="16"/>
                <w:szCs w:val="16"/>
                <w:bdr w:val="none" w:sz="0" w:space="0" w:color="auto"/>
                <w:lang w:eastAsia="es-ES"/>
              </w:rPr>
              <w:t>-</w:t>
            </w:r>
          </w:p>
        </w:tc>
      </w:tr>
      <w:tr w:rsidR="00222A9D" w:rsidRPr="002E3C11" w14:paraId="64D6DE9F" w14:textId="77777777" w:rsidTr="000D720C">
        <w:trPr>
          <w:trHeight w:val="170"/>
        </w:trPr>
        <w:tc>
          <w:tcPr>
            <w:tcW w:w="5199" w:type="dxa"/>
            <w:tcBorders>
              <w:top w:val="nil"/>
              <w:left w:val="nil"/>
              <w:bottom w:val="nil"/>
              <w:right w:val="nil"/>
            </w:tcBorders>
            <w:shd w:val="clear" w:color="auto" w:fill="auto"/>
            <w:noWrap/>
            <w:vAlign w:val="bottom"/>
            <w:hideMark/>
          </w:tcPr>
          <w:p w14:paraId="51B871E0"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0"/>
                <w:szCs w:val="10"/>
                <w:bdr w:val="none" w:sz="0" w:space="0" w:color="auto"/>
                <w:lang w:eastAsia="es-ES"/>
              </w:rPr>
            </w:pPr>
          </w:p>
        </w:tc>
        <w:tc>
          <w:tcPr>
            <w:tcW w:w="824" w:type="dxa"/>
            <w:tcBorders>
              <w:top w:val="nil"/>
              <w:left w:val="nil"/>
              <w:bottom w:val="nil"/>
              <w:right w:val="nil"/>
            </w:tcBorders>
            <w:shd w:val="clear" w:color="auto" w:fill="auto"/>
            <w:noWrap/>
            <w:vAlign w:val="bottom"/>
            <w:hideMark/>
          </w:tcPr>
          <w:p w14:paraId="2BF58913"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644" w:type="dxa"/>
            <w:tcBorders>
              <w:top w:val="nil"/>
              <w:left w:val="nil"/>
              <w:bottom w:val="nil"/>
              <w:right w:val="nil"/>
            </w:tcBorders>
            <w:shd w:val="clear" w:color="auto" w:fill="auto"/>
            <w:noWrap/>
            <w:vAlign w:val="bottom"/>
            <w:hideMark/>
          </w:tcPr>
          <w:p w14:paraId="05986A8F"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1270" w:type="dxa"/>
            <w:tcBorders>
              <w:top w:val="nil"/>
              <w:left w:val="nil"/>
              <w:bottom w:val="nil"/>
              <w:right w:val="nil"/>
            </w:tcBorders>
            <w:shd w:val="clear" w:color="auto" w:fill="auto"/>
            <w:noWrap/>
            <w:vAlign w:val="center"/>
          </w:tcPr>
          <w:p w14:paraId="433C9C75"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1357" w:type="dxa"/>
            <w:tcBorders>
              <w:top w:val="nil"/>
              <w:left w:val="nil"/>
              <w:bottom w:val="nil"/>
              <w:right w:val="nil"/>
            </w:tcBorders>
            <w:shd w:val="clear" w:color="auto" w:fill="auto"/>
            <w:noWrap/>
            <w:vAlign w:val="center"/>
            <w:hideMark/>
          </w:tcPr>
          <w:p w14:paraId="074B0A4D"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r>
      <w:tr w:rsidR="000D720C" w:rsidRPr="00484275" w14:paraId="0B3708C8" w14:textId="77777777" w:rsidTr="000D720C">
        <w:trPr>
          <w:trHeight w:val="227"/>
        </w:trPr>
        <w:tc>
          <w:tcPr>
            <w:tcW w:w="5199" w:type="dxa"/>
            <w:tcBorders>
              <w:top w:val="nil"/>
              <w:left w:val="nil"/>
              <w:bottom w:val="nil"/>
              <w:right w:val="nil"/>
            </w:tcBorders>
            <w:shd w:val="clear" w:color="auto" w:fill="auto"/>
            <w:vAlign w:val="center"/>
            <w:hideMark/>
          </w:tcPr>
          <w:p w14:paraId="222771E0"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Otros flujos de efectivo de las actividades de explotación</w:t>
            </w:r>
          </w:p>
        </w:tc>
        <w:tc>
          <w:tcPr>
            <w:tcW w:w="824" w:type="dxa"/>
            <w:tcBorders>
              <w:top w:val="nil"/>
              <w:left w:val="nil"/>
              <w:bottom w:val="nil"/>
              <w:right w:val="nil"/>
            </w:tcBorders>
            <w:shd w:val="clear" w:color="auto" w:fill="auto"/>
            <w:noWrap/>
            <w:vAlign w:val="center"/>
            <w:hideMark/>
          </w:tcPr>
          <w:p w14:paraId="5E48585E"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1872FE9E"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single" w:sz="4" w:space="0" w:color="auto"/>
              <w:left w:val="nil"/>
              <w:bottom w:val="single" w:sz="4" w:space="0" w:color="auto"/>
              <w:right w:val="nil"/>
            </w:tcBorders>
            <w:shd w:val="clear" w:color="auto" w:fill="auto"/>
            <w:vAlign w:val="center"/>
          </w:tcPr>
          <w:p w14:paraId="0E9EBF87" w14:textId="1BADA72B"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(3.184,49)</w:t>
            </w:r>
          </w:p>
        </w:tc>
        <w:tc>
          <w:tcPr>
            <w:tcW w:w="1357" w:type="dxa"/>
            <w:tcBorders>
              <w:top w:val="single" w:sz="4" w:space="0" w:color="auto"/>
              <w:left w:val="nil"/>
              <w:bottom w:val="single" w:sz="4" w:space="0" w:color="auto"/>
              <w:right w:val="nil"/>
            </w:tcBorders>
            <w:shd w:val="clear" w:color="auto" w:fill="auto"/>
            <w:vAlign w:val="center"/>
            <w:hideMark/>
          </w:tcPr>
          <w:p w14:paraId="7B26667F" w14:textId="47B554B3"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(68.371,00)</w:t>
            </w:r>
          </w:p>
        </w:tc>
      </w:tr>
      <w:tr w:rsidR="000D720C" w:rsidRPr="00484275" w14:paraId="00AE909A" w14:textId="77777777" w:rsidTr="000D720C">
        <w:trPr>
          <w:trHeight w:val="227"/>
        </w:trPr>
        <w:tc>
          <w:tcPr>
            <w:tcW w:w="5199" w:type="dxa"/>
            <w:tcBorders>
              <w:top w:val="nil"/>
              <w:left w:val="nil"/>
              <w:bottom w:val="nil"/>
              <w:right w:val="nil"/>
            </w:tcBorders>
            <w:shd w:val="clear" w:color="auto" w:fill="auto"/>
            <w:vAlign w:val="center"/>
            <w:hideMark/>
          </w:tcPr>
          <w:p w14:paraId="595890D5"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Cobros de intereses</w:t>
            </w:r>
          </w:p>
        </w:tc>
        <w:tc>
          <w:tcPr>
            <w:tcW w:w="824" w:type="dxa"/>
            <w:tcBorders>
              <w:top w:val="nil"/>
              <w:left w:val="nil"/>
              <w:bottom w:val="nil"/>
              <w:right w:val="nil"/>
            </w:tcBorders>
            <w:shd w:val="clear" w:color="auto" w:fill="auto"/>
            <w:noWrap/>
            <w:vAlign w:val="center"/>
            <w:hideMark/>
          </w:tcPr>
          <w:p w14:paraId="35B933B7"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1D01C262"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678AE757" w14:textId="6FF2EFB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77,98</w:t>
            </w:r>
          </w:p>
        </w:tc>
        <w:tc>
          <w:tcPr>
            <w:tcW w:w="1357" w:type="dxa"/>
            <w:tcBorders>
              <w:top w:val="nil"/>
              <w:left w:val="nil"/>
              <w:bottom w:val="nil"/>
              <w:right w:val="nil"/>
            </w:tcBorders>
            <w:shd w:val="clear" w:color="auto" w:fill="auto"/>
            <w:vAlign w:val="center"/>
            <w:hideMark/>
          </w:tcPr>
          <w:p w14:paraId="56D9E838" w14:textId="34548864"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84,00</w:t>
            </w:r>
          </w:p>
        </w:tc>
      </w:tr>
      <w:tr w:rsidR="000D720C" w:rsidRPr="00484275" w14:paraId="012F9755" w14:textId="77777777" w:rsidTr="000D720C">
        <w:trPr>
          <w:trHeight w:val="227"/>
        </w:trPr>
        <w:tc>
          <w:tcPr>
            <w:tcW w:w="5199" w:type="dxa"/>
            <w:tcBorders>
              <w:top w:val="nil"/>
              <w:left w:val="nil"/>
              <w:bottom w:val="nil"/>
              <w:right w:val="nil"/>
            </w:tcBorders>
            <w:shd w:val="clear" w:color="auto" w:fill="auto"/>
            <w:vAlign w:val="center"/>
            <w:hideMark/>
          </w:tcPr>
          <w:p w14:paraId="43EE18C5"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Pagos de intereses</w:t>
            </w:r>
          </w:p>
        </w:tc>
        <w:tc>
          <w:tcPr>
            <w:tcW w:w="824" w:type="dxa"/>
            <w:tcBorders>
              <w:top w:val="nil"/>
              <w:left w:val="nil"/>
              <w:bottom w:val="nil"/>
              <w:right w:val="nil"/>
            </w:tcBorders>
            <w:shd w:val="clear" w:color="auto" w:fill="auto"/>
            <w:noWrap/>
            <w:vAlign w:val="bottom"/>
            <w:hideMark/>
          </w:tcPr>
          <w:p w14:paraId="20391995"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bottom"/>
            <w:hideMark/>
          </w:tcPr>
          <w:p w14:paraId="49972A2B"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47398093" w14:textId="55E32A2D"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(3.262,47)</w:t>
            </w:r>
          </w:p>
        </w:tc>
        <w:tc>
          <w:tcPr>
            <w:tcW w:w="1357" w:type="dxa"/>
            <w:tcBorders>
              <w:top w:val="nil"/>
              <w:left w:val="nil"/>
              <w:bottom w:val="nil"/>
              <w:right w:val="nil"/>
            </w:tcBorders>
            <w:shd w:val="clear" w:color="auto" w:fill="auto"/>
            <w:vAlign w:val="center"/>
            <w:hideMark/>
          </w:tcPr>
          <w:p w14:paraId="04064FC9" w14:textId="0B0B9CB2"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(68.455,00)</w:t>
            </w:r>
          </w:p>
        </w:tc>
      </w:tr>
      <w:tr w:rsidR="00222A9D" w:rsidRPr="002E3C11" w14:paraId="5399327A" w14:textId="77777777" w:rsidTr="000D720C">
        <w:trPr>
          <w:trHeight w:val="113"/>
        </w:trPr>
        <w:tc>
          <w:tcPr>
            <w:tcW w:w="5199" w:type="dxa"/>
            <w:tcBorders>
              <w:top w:val="nil"/>
              <w:left w:val="nil"/>
              <w:bottom w:val="nil"/>
              <w:right w:val="nil"/>
            </w:tcBorders>
            <w:shd w:val="clear" w:color="auto" w:fill="auto"/>
            <w:vAlign w:val="center"/>
            <w:hideMark/>
          </w:tcPr>
          <w:p w14:paraId="19CD4C08"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824" w:type="dxa"/>
            <w:tcBorders>
              <w:top w:val="nil"/>
              <w:left w:val="nil"/>
              <w:bottom w:val="nil"/>
              <w:right w:val="nil"/>
            </w:tcBorders>
            <w:shd w:val="clear" w:color="auto" w:fill="auto"/>
            <w:vAlign w:val="center"/>
            <w:hideMark/>
          </w:tcPr>
          <w:p w14:paraId="73EA9291"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644" w:type="dxa"/>
            <w:tcBorders>
              <w:top w:val="nil"/>
              <w:left w:val="nil"/>
              <w:bottom w:val="nil"/>
              <w:right w:val="nil"/>
            </w:tcBorders>
            <w:shd w:val="clear" w:color="auto" w:fill="auto"/>
            <w:vAlign w:val="center"/>
            <w:hideMark/>
          </w:tcPr>
          <w:p w14:paraId="0905AAD8"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0"/>
                <w:szCs w:val="10"/>
                <w:bdr w:val="none" w:sz="0" w:space="0" w:color="auto"/>
                <w:lang w:eastAsia="es-ES"/>
              </w:rPr>
            </w:pPr>
          </w:p>
        </w:tc>
        <w:tc>
          <w:tcPr>
            <w:tcW w:w="1270" w:type="dxa"/>
            <w:tcBorders>
              <w:top w:val="nil"/>
              <w:left w:val="nil"/>
              <w:bottom w:val="nil"/>
              <w:right w:val="nil"/>
            </w:tcBorders>
            <w:shd w:val="clear" w:color="auto" w:fill="auto"/>
            <w:noWrap/>
            <w:vAlign w:val="center"/>
          </w:tcPr>
          <w:p w14:paraId="3977DA64"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1357" w:type="dxa"/>
            <w:tcBorders>
              <w:top w:val="nil"/>
              <w:left w:val="nil"/>
              <w:bottom w:val="nil"/>
              <w:right w:val="nil"/>
            </w:tcBorders>
            <w:shd w:val="clear" w:color="auto" w:fill="auto"/>
            <w:noWrap/>
            <w:vAlign w:val="center"/>
            <w:hideMark/>
          </w:tcPr>
          <w:p w14:paraId="4601F177"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r>
      <w:tr w:rsidR="000D720C" w:rsidRPr="00484275" w14:paraId="59927262" w14:textId="77777777" w:rsidTr="000D720C">
        <w:trPr>
          <w:trHeight w:val="283"/>
        </w:trPr>
        <w:tc>
          <w:tcPr>
            <w:tcW w:w="5199" w:type="dxa"/>
            <w:tcBorders>
              <w:top w:val="single" w:sz="4" w:space="0" w:color="auto"/>
              <w:left w:val="nil"/>
              <w:bottom w:val="single" w:sz="4" w:space="0" w:color="auto"/>
              <w:right w:val="nil"/>
            </w:tcBorders>
            <w:shd w:val="clear" w:color="000000" w:fill="F2F2F2"/>
            <w:vAlign w:val="center"/>
            <w:hideMark/>
          </w:tcPr>
          <w:p w14:paraId="373260C4"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B) FLUJOS DE EFECTIVO DE LAS ACTIVIDADES DE INVERSIÓN</w:t>
            </w:r>
          </w:p>
        </w:tc>
        <w:tc>
          <w:tcPr>
            <w:tcW w:w="824" w:type="dxa"/>
            <w:tcBorders>
              <w:top w:val="single" w:sz="4" w:space="0" w:color="auto"/>
              <w:left w:val="nil"/>
              <w:bottom w:val="single" w:sz="4" w:space="0" w:color="auto"/>
              <w:right w:val="nil"/>
            </w:tcBorders>
            <w:shd w:val="clear" w:color="000000" w:fill="F2F2F2"/>
            <w:vAlign w:val="center"/>
            <w:hideMark/>
          </w:tcPr>
          <w:p w14:paraId="22B70F01"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644" w:type="dxa"/>
            <w:tcBorders>
              <w:top w:val="single" w:sz="4" w:space="0" w:color="auto"/>
              <w:left w:val="nil"/>
              <w:bottom w:val="single" w:sz="4" w:space="0" w:color="auto"/>
              <w:right w:val="nil"/>
            </w:tcBorders>
            <w:shd w:val="clear" w:color="000000" w:fill="F2F2F2"/>
            <w:vAlign w:val="center"/>
            <w:hideMark/>
          </w:tcPr>
          <w:p w14:paraId="63C75DFF"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1270" w:type="dxa"/>
            <w:tcBorders>
              <w:top w:val="single" w:sz="4" w:space="0" w:color="auto"/>
              <w:left w:val="nil"/>
              <w:bottom w:val="single" w:sz="4" w:space="0" w:color="auto"/>
              <w:right w:val="nil"/>
            </w:tcBorders>
            <w:shd w:val="clear" w:color="000000" w:fill="F2F2F2"/>
            <w:vAlign w:val="center"/>
          </w:tcPr>
          <w:p w14:paraId="726DE829" w14:textId="5D017322"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(114.225,57)</w:t>
            </w:r>
          </w:p>
        </w:tc>
        <w:tc>
          <w:tcPr>
            <w:tcW w:w="1357" w:type="dxa"/>
            <w:tcBorders>
              <w:top w:val="single" w:sz="4" w:space="0" w:color="auto"/>
              <w:left w:val="nil"/>
              <w:bottom w:val="single" w:sz="4" w:space="0" w:color="auto"/>
              <w:right w:val="nil"/>
            </w:tcBorders>
            <w:shd w:val="clear" w:color="000000" w:fill="F2F2F2"/>
            <w:vAlign w:val="center"/>
            <w:hideMark/>
          </w:tcPr>
          <w:p w14:paraId="7D7055A4" w14:textId="737F0C06"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(53.973,59)</w:t>
            </w:r>
          </w:p>
        </w:tc>
      </w:tr>
      <w:tr w:rsidR="000D720C" w:rsidRPr="00484275" w14:paraId="5BB92DBD" w14:textId="77777777" w:rsidTr="000D720C">
        <w:trPr>
          <w:trHeight w:val="170"/>
        </w:trPr>
        <w:tc>
          <w:tcPr>
            <w:tcW w:w="5199" w:type="dxa"/>
            <w:tcBorders>
              <w:top w:val="nil"/>
              <w:left w:val="nil"/>
              <w:bottom w:val="nil"/>
              <w:right w:val="nil"/>
            </w:tcBorders>
            <w:shd w:val="clear" w:color="auto" w:fill="auto"/>
            <w:noWrap/>
            <w:vAlign w:val="center"/>
            <w:hideMark/>
          </w:tcPr>
          <w:p w14:paraId="623AF28A"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p>
        </w:tc>
        <w:tc>
          <w:tcPr>
            <w:tcW w:w="824" w:type="dxa"/>
            <w:tcBorders>
              <w:top w:val="nil"/>
              <w:left w:val="nil"/>
              <w:bottom w:val="nil"/>
              <w:right w:val="nil"/>
            </w:tcBorders>
            <w:shd w:val="clear" w:color="auto" w:fill="auto"/>
            <w:noWrap/>
            <w:vAlign w:val="center"/>
            <w:hideMark/>
          </w:tcPr>
          <w:p w14:paraId="0A778947"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26DA26E9"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noWrap/>
            <w:vAlign w:val="center"/>
          </w:tcPr>
          <w:p w14:paraId="1A138260"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357" w:type="dxa"/>
            <w:tcBorders>
              <w:top w:val="nil"/>
              <w:left w:val="nil"/>
              <w:bottom w:val="nil"/>
              <w:right w:val="nil"/>
            </w:tcBorders>
            <w:shd w:val="clear" w:color="auto" w:fill="auto"/>
            <w:noWrap/>
            <w:vAlign w:val="center"/>
            <w:hideMark/>
          </w:tcPr>
          <w:p w14:paraId="797D6C85"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0D720C" w:rsidRPr="00484275" w14:paraId="63D60BB0" w14:textId="77777777" w:rsidTr="000D720C">
        <w:trPr>
          <w:trHeight w:val="227"/>
        </w:trPr>
        <w:tc>
          <w:tcPr>
            <w:tcW w:w="5199" w:type="dxa"/>
            <w:tcBorders>
              <w:top w:val="nil"/>
              <w:left w:val="nil"/>
              <w:bottom w:val="nil"/>
              <w:right w:val="nil"/>
            </w:tcBorders>
            <w:shd w:val="clear" w:color="auto" w:fill="auto"/>
            <w:vAlign w:val="center"/>
            <w:hideMark/>
          </w:tcPr>
          <w:p w14:paraId="6A1C9C93"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Pagos por inversiones:</w:t>
            </w:r>
          </w:p>
        </w:tc>
        <w:tc>
          <w:tcPr>
            <w:tcW w:w="824" w:type="dxa"/>
            <w:tcBorders>
              <w:top w:val="nil"/>
              <w:left w:val="nil"/>
              <w:bottom w:val="nil"/>
              <w:right w:val="nil"/>
            </w:tcBorders>
            <w:shd w:val="clear" w:color="auto" w:fill="auto"/>
            <w:noWrap/>
            <w:vAlign w:val="center"/>
            <w:hideMark/>
          </w:tcPr>
          <w:p w14:paraId="66AFA956"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7C0044B2"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single" w:sz="4" w:space="0" w:color="auto"/>
              <w:left w:val="nil"/>
              <w:bottom w:val="single" w:sz="4" w:space="0" w:color="auto"/>
              <w:right w:val="nil"/>
            </w:tcBorders>
            <w:shd w:val="clear" w:color="auto" w:fill="auto"/>
            <w:vAlign w:val="center"/>
          </w:tcPr>
          <w:p w14:paraId="3158558E" w14:textId="1BAACC60"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(115.117,36)</w:t>
            </w:r>
          </w:p>
        </w:tc>
        <w:tc>
          <w:tcPr>
            <w:tcW w:w="1357" w:type="dxa"/>
            <w:tcBorders>
              <w:top w:val="single" w:sz="4" w:space="0" w:color="auto"/>
              <w:left w:val="nil"/>
              <w:bottom w:val="single" w:sz="4" w:space="0" w:color="auto"/>
              <w:right w:val="nil"/>
            </w:tcBorders>
            <w:shd w:val="clear" w:color="auto" w:fill="auto"/>
            <w:vAlign w:val="center"/>
            <w:hideMark/>
          </w:tcPr>
          <w:p w14:paraId="24D6E9DA" w14:textId="6A78E2EB"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(53.973,59)</w:t>
            </w:r>
          </w:p>
        </w:tc>
      </w:tr>
      <w:tr w:rsidR="000D720C" w:rsidRPr="00484275" w14:paraId="38C33463" w14:textId="77777777" w:rsidTr="000D720C">
        <w:trPr>
          <w:trHeight w:val="227"/>
        </w:trPr>
        <w:tc>
          <w:tcPr>
            <w:tcW w:w="5199" w:type="dxa"/>
            <w:tcBorders>
              <w:top w:val="nil"/>
              <w:left w:val="nil"/>
              <w:bottom w:val="nil"/>
              <w:right w:val="nil"/>
            </w:tcBorders>
            <w:shd w:val="clear" w:color="auto" w:fill="auto"/>
            <w:vAlign w:val="center"/>
            <w:hideMark/>
          </w:tcPr>
          <w:p w14:paraId="258B4152"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Inmovilizado intangible</w:t>
            </w:r>
          </w:p>
        </w:tc>
        <w:tc>
          <w:tcPr>
            <w:tcW w:w="824" w:type="dxa"/>
            <w:tcBorders>
              <w:top w:val="nil"/>
              <w:left w:val="nil"/>
              <w:bottom w:val="nil"/>
              <w:right w:val="nil"/>
            </w:tcBorders>
            <w:shd w:val="clear" w:color="auto" w:fill="auto"/>
            <w:noWrap/>
            <w:vAlign w:val="center"/>
            <w:hideMark/>
          </w:tcPr>
          <w:p w14:paraId="6A55AD38"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5</w:t>
            </w:r>
          </w:p>
        </w:tc>
        <w:tc>
          <w:tcPr>
            <w:tcW w:w="644" w:type="dxa"/>
            <w:tcBorders>
              <w:top w:val="nil"/>
              <w:left w:val="nil"/>
              <w:bottom w:val="nil"/>
              <w:right w:val="nil"/>
            </w:tcBorders>
            <w:shd w:val="clear" w:color="auto" w:fill="auto"/>
            <w:noWrap/>
            <w:vAlign w:val="center"/>
            <w:hideMark/>
          </w:tcPr>
          <w:p w14:paraId="73E333A7"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6E41869A" w14:textId="026F3D5F"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1357" w:type="dxa"/>
            <w:tcBorders>
              <w:top w:val="nil"/>
              <w:left w:val="nil"/>
              <w:bottom w:val="nil"/>
              <w:right w:val="nil"/>
            </w:tcBorders>
            <w:shd w:val="clear" w:color="auto" w:fill="auto"/>
            <w:vAlign w:val="center"/>
            <w:hideMark/>
          </w:tcPr>
          <w:p w14:paraId="62D5A260" w14:textId="19D3833B"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r>
      <w:tr w:rsidR="000D720C" w:rsidRPr="00484275" w14:paraId="3E812D48" w14:textId="77777777" w:rsidTr="000D720C">
        <w:trPr>
          <w:trHeight w:val="227"/>
        </w:trPr>
        <w:tc>
          <w:tcPr>
            <w:tcW w:w="5199" w:type="dxa"/>
            <w:tcBorders>
              <w:top w:val="nil"/>
              <w:left w:val="nil"/>
              <w:bottom w:val="nil"/>
              <w:right w:val="nil"/>
            </w:tcBorders>
            <w:shd w:val="clear" w:color="auto" w:fill="auto"/>
            <w:vAlign w:val="center"/>
            <w:hideMark/>
          </w:tcPr>
          <w:p w14:paraId="33BD88F1"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Inmovilizado material</w:t>
            </w:r>
          </w:p>
        </w:tc>
        <w:tc>
          <w:tcPr>
            <w:tcW w:w="824" w:type="dxa"/>
            <w:tcBorders>
              <w:top w:val="nil"/>
              <w:left w:val="nil"/>
              <w:bottom w:val="nil"/>
              <w:right w:val="nil"/>
            </w:tcBorders>
            <w:shd w:val="clear" w:color="auto" w:fill="auto"/>
            <w:noWrap/>
            <w:vAlign w:val="center"/>
            <w:hideMark/>
          </w:tcPr>
          <w:p w14:paraId="093B4A44"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6</w:t>
            </w:r>
          </w:p>
        </w:tc>
        <w:tc>
          <w:tcPr>
            <w:tcW w:w="644" w:type="dxa"/>
            <w:tcBorders>
              <w:top w:val="nil"/>
              <w:left w:val="nil"/>
              <w:bottom w:val="nil"/>
              <w:right w:val="nil"/>
            </w:tcBorders>
            <w:shd w:val="clear" w:color="auto" w:fill="auto"/>
            <w:noWrap/>
            <w:vAlign w:val="center"/>
            <w:hideMark/>
          </w:tcPr>
          <w:p w14:paraId="429CB578"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10EAA13A" w14:textId="0092055C"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(115.117,36)</w:t>
            </w:r>
          </w:p>
        </w:tc>
        <w:tc>
          <w:tcPr>
            <w:tcW w:w="1357" w:type="dxa"/>
            <w:tcBorders>
              <w:top w:val="nil"/>
              <w:left w:val="nil"/>
              <w:bottom w:val="nil"/>
              <w:right w:val="nil"/>
            </w:tcBorders>
            <w:shd w:val="clear" w:color="auto" w:fill="auto"/>
            <w:vAlign w:val="center"/>
            <w:hideMark/>
          </w:tcPr>
          <w:p w14:paraId="1437DF60" w14:textId="53DF8FEE"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(53.973,59)</w:t>
            </w:r>
          </w:p>
        </w:tc>
      </w:tr>
      <w:tr w:rsidR="00222A9D" w:rsidRPr="00484275" w14:paraId="63EEE515" w14:textId="77777777" w:rsidTr="000D720C">
        <w:trPr>
          <w:trHeight w:val="227"/>
        </w:trPr>
        <w:tc>
          <w:tcPr>
            <w:tcW w:w="5199" w:type="dxa"/>
            <w:tcBorders>
              <w:top w:val="nil"/>
              <w:left w:val="nil"/>
              <w:bottom w:val="nil"/>
              <w:right w:val="nil"/>
            </w:tcBorders>
            <w:shd w:val="clear" w:color="auto" w:fill="auto"/>
            <w:vAlign w:val="center"/>
            <w:hideMark/>
          </w:tcPr>
          <w:p w14:paraId="7CB300F7"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Otros activos</w:t>
            </w:r>
          </w:p>
        </w:tc>
        <w:tc>
          <w:tcPr>
            <w:tcW w:w="824" w:type="dxa"/>
            <w:tcBorders>
              <w:top w:val="nil"/>
              <w:left w:val="nil"/>
              <w:bottom w:val="nil"/>
              <w:right w:val="nil"/>
            </w:tcBorders>
            <w:shd w:val="clear" w:color="auto" w:fill="auto"/>
            <w:noWrap/>
            <w:vAlign w:val="center"/>
            <w:hideMark/>
          </w:tcPr>
          <w:p w14:paraId="7A38ED73"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74FA605E"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444FDF46" w14:textId="7CE45577" w:rsidR="00222A9D" w:rsidRPr="00484275" w:rsidRDefault="000D720C"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rFonts w:eastAsia="Times New Roman"/>
                <w:color w:val="auto"/>
                <w:sz w:val="16"/>
                <w:szCs w:val="16"/>
                <w:bdr w:val="none" w:sz="0" w:space="0" w:color="auto"/>
                <w:lang w:eastAsia="es-ES"/>
              </w:rPr>
              <w:t>-</w:t>
            </w:r>
          </w:p>
        </w:tc>
        <w:tc>
          <w:tcPr>
            <w:tcW w:w="1357" w:type="dxa"/>
            <w:tcBorders>
              <w:top w:val="nil"/>
              <w:left w:val="nil"/>
              <w:bottom w:val="nil"/>
              <w:right w:val="nil"/>
            </w:tcBorders>
            <w:shd w:val="clear" w:color="auto" w:fill="auto"/>
            <w:vAlign w:val="center"/>
            <w:hideMark/>
          </w:tcPr>
          <w:p w14:paraId="47355446" w14:textId="4AF12E09"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r>
      <w:tr w:rsidR="00222A9D" w:rsidRPr="00484275" w14:paraId="62C5D637" w14:textId="77777777" w:rsidTr="000D720C">
        <w:trPr>
          <w:trHeight w:val="113"/>
        </w:trPr>
        <w:tc>
          <w:tcPr>
            <w:tcW w:w="5199" w:type="dxa"/>
            <w:tcBorders>
              <w:top w:val="nil"/>
              <w:left w:val="nil"/>
              <w:bottom w:val="nil"/>
              <w:right w:val="nil"/>
            </w:tcBorders>
            <w:shd w:val="clear" w:color="auto" w:fill="auto"/>
            <w:vAlign w:val="center"/>
            <w:hideMark/>
          </w:tcPr>
          <w:p w14:paraId="5ED746CC"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824" w:type="dxa"/>
            <w:tcBorders>
              <w:top w:val="nil"/>
              <w:left w:val="nil"/>
              <w:bottom w:val="nil"/>
              <w:right w:val="nil"/>
            </w:tcBorders>
            <w:shd w:val="clear" w:color="auto" w:fill="auto"/>
            <w:noWrap/>
            <w:vAlign w:val="center"/>
            <w:hideMark/>
          </w:tcPr>
          <w:p w14:paraId="03C3D6BB"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0B117684"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37FC4A5E" w14:textId="5EAFAC29" w:rsidR="00222A9D" w:rsidRPr="00484275" w:rsidRDefault="000D720C"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rFonts w:eastAsia="Times New Roman"/>
                <w:color w:val="auto"/>
                <w:sz w:val="16"/>
                <w:szCs w:val="16"/>
                <w:bdr w:val="none" w:sz="0" w:space="0" w:color="auto"/>
                <w:lang w:eastAsia="es-ES"/>
              </w:rPr>
              <w:t>-</w:t>
            </w:r>
          </w:p>
        </w:tc>
        <w:tc>
          <w:tcPr>
            <w:tcW w:w="1357" w:type="dxa"/>
            <w:tcBorders>
              <w:top w:val="nil"/>
              <w:left w:val="nil"/>
              <w:bottom w:val="nil"/>
              <w:right w:val="nil"/>
            </w:tcBorders>
            <w:shd w:val="clear" w:color="auto" w:fill="auto"/>
            <w:vAlign w:val="center"/>
            <w:hideMark/>
          </w:tcPr>
          <w:p w14:paraId="64BDDCA0" w14:textId="2FBC6E89"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0D720C" w:rsidRPr="002E3C11" w14:paraId="5781653D" w14:textId="77777777" w:rsidTr="000D720C">
        <w:trPr>
          <w:trHeight w:val="227"/>
        </w:trPr>
        <w:tc>
          <w:tcPr>
            <w:tcW w:w="5199" w:type="dxa"/>
            <w:tcBorders>
              <w:top w:val="nil"/>
              <w:left w:val="nil"/>
              <w:bottom w:val="nil"/>
              <w:right w:val="nil"/>
            </w:tcBorders>
            <w:shd w:val="clear" w:color="auto" w:fill="auto"/>
            <w:vAlign w:val="center"/>
            <w:hideMark/>
          </w:tcPr>
          <w:p w14:paraId="5AB7F1FE" w14:textId="77777777" w:rsidR="000D720C" w:rsidRPr="002E3C11"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2E3C11">
              <w:rPr>
                <w:rFonts w:eastAsia="Times New Roman"/>
                <w:b/>
                <w:bCs/>
                <w:color w:val="auto"/>
                <w:sz w:val="16"/>
                <w:szCs w:val="16"/>
                <w:bdr w:val="none" w:sz="0" w:space="0" w:color="auto"/>
                <w:lang w:eastAsia="es-ES"/>
              </w:rPr>
              <w:t>Cobros por desinversiones:</w:t>
            </w:r>
          </w:p>
        </w:tc>
        <w:tc>
          <w:tcPr>
            <w:tcW w:w="824" w:type="dxa"/>
            <w:tcBorders>
              <w:top w:val="nil"/>
              <w:left w:val="nil"/>
              <w:bottom w:val="nil"/>
              <w:right w:val="nil"/>
            </w:tcBorders>
            <w:shd w:val="clear" w:color="auto" w:fill="auto"/>
            <w:noWrap/>
            <w:vAlign w:val="center"/>
            <w:hideMark/>
          </w:tcPr>
          <w:p w14:paraId="5DCB7A55" w14:textId="77777777" w:rsidR="000D720C" w:rsidRPr="002E3C11"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6220FFA5" w14:textId="77777777" w:rsidR="000D720C" w:rsidRPr="002E3C11"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1270" w:type="dxa"/>
            <w:tcBorders>
              <w:top w:val="single" w:sz="4" w:space="0" w:color="auto"/>
              <w:left w:val="nil"/>
              <w:bottom w:val="single" w:sz="4" w:space="0" w:color="auto"/>
              <w:right w:val="nil"/>
            </w:tcBorders>
            <w:shd w:val="clear" w:color="auto" w:fill="auto"/>
            <w:vAlign w:val="center"/>
          </w:tcPr>
          <w:p w14:paraId="26FC44F2" w14:textId="5F31791D" w:rsidR="000D720C" w:rsidRPr="002E3C11"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891,79</w:t>
            </w:r>
          </w:p>
        </w:tc>
        <w:tc>
          <w:tcPr>
            <w:tcW w:w="1357" w:type="dxa"/>
            <w:tcBorders>
              <w:top w:val="single" w:sz="4" w:space="0" w:color="auto"/>
              <w:left w:val="nil"/>
              <w:bottom w:val="single" w:sz="4" w:space="0" w:color="auto"/>
              <w:right w:val="nil"/>
            </w:tcBorders>
            <w:shd w:val="clear" w:color="auto" w:fill="auto"/>
            <w:vAlign w:val="center"/>
            <w:hideMark/>
          </w:tcPr>
          <w:p w14:paraId="36EDAFE3" w14:textId="449A17C6" w:rsidR="000D720C" w:rsidRPr="002E3C11"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2E3C11">
              <w:rPr>
                <w:rFonts w:eastAsia="Times New Roman"/>
                <w:b/>
                <w:bCs/>
                <w:color w:val="auto"/>
                <w:sz w:val="16"/>
                <w:szCs w:val="16"/>
                <w:bdr w:val="none" w:sz="0" w:space="0" w:color="auto"/>
                <w:lang w:eastAsia="es-ES"/>
              </w:rPr>
              <w:t> -</w:t>
            </w:r>
          </w:p>
        </w:tc>
      </w:tr>
      <w:tr w:rsidR="000D720C" w:rsidRPr="00484275" w14:paraId="00FFA000" w14:textId="77777777" w:rsidTr="000D720C">
        <w:trPr>
          <w:trHeight w:val="227"/>
        </w:trPr>
        <w:tc>
          <w:tcPr>
            <w:tcW w:w="5199" w:type="dxa"/>
            <w:tcBorders>
              <w:top w:val="nil"/>
              <w:left w:val="nil"/>
              <w:bottom w:val="nil"/>
              <w:right w:val="nil"/>
            </w:tcBorders>
            <w:shd w:val="clear" w:color="auto" w:fill="auto"/>
            <w:vAlign w:val="center"/>
            <w:hideMark/>
          </w:tcPr>
          <w:p w14:paraId="1A15C3D5"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Otros activos financieros</w:t>
            </w:r>
          </w:p>
        </w:tc>
        <w:tc>
          <w:tcPr>
            <w:tcW w:w="824" w:type="dxa"/>
            <w:tcBorders>
              <w:top w:val="nil"/>
              <w:left w:val="nil"/>
              <w:bottom w:val="nil"/>
              <w:right w:val="nil"/>
            </w:tcBorders>
            <w:shd w:val="clear" w:color="auto" w:fill="auto"/>
            <w:noWrap/>
            <w:vAlign w:val="center"/>
            <w:hideMark/>
          </w:tcPr>
          <w:p w14:paraId="500680B8"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2484F17B"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1B30BEF9" w14:textId="0800371D"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891,79</w:t>
            </w:r>
          </w:p>
        </w:tc>
        <w:tc>
          <w:tcPr>
            <w:tcW w:w="1357" w:type="dxa"/>
            <w:tcBorders>
              <w:top w:val="nil"/>
              <w:left w:val="nil"/>
              <w:bottom w:val="nil"/>
              <w:right w:val="nil"/>
            </w:tcBorders>
            <w:shd w:val="clear" w:color="auto" w:fill="auto"/>
            <w:vAlign w:val="center"/>
            <w:hideMark/>
          </w:tcPr>
          <w:p w14:paraId="381B0E48" w14:textId="113803EA"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rFonts w:eastAsia="Times New Roman"/>
                <w:color w:val="auto"/>
                <w:sz w:val="16"/>
                <w:szCs w:val="16"/>
                <w:bdr w:val="none" w:sz="0" w:space="0" w:color="auto"/>
                <w:lang w:eastAsia="es-ES"/>
              </w:rPr>
              <w:t>-</w:t>
            </w:r>
          </w:p>
        </w:tc>
      </w:tr>
      <w:tr w:rsidR="00222A9D" w:rsidRPr="00484275" w14:paraId="04E4BB74" w14:textId="77777777" w:rsidTr="000D720C">
        <w:trPr>
          <w:trHeight w:val="113"/>
        </w:trPr>
        <w:tc>
          <w:tcPr>
            <w:tcW w:w="5199" w:type="dxa"/>
            <w:tcBorders>
              <w:top w:val="nil"/>
              <w:left w:val="nil"/>
              <w:bottom w:val="nil"/>
              <w:right w:val="nil"/>
            </w:tcBorders>
            <w:shd w:val="clear" w:color="auto" w:fill="auto"/>
            <w:noWrap/>
            <w:vAlign w:val="center"/>
            <w:hideMark/>
          </w:tcPr>
          <w:p w14:paraId="69A9CA2F"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824" w:type="dxa"/>
            <w:tcBorders>
              <w:top w:val="nil"/>
              <w:left w:val="nil"/>
              <w:bottom w:val="nil"/>
              <w:right w:val="nil"/>
            </w:tcBorders>
            <w:shd w:val="clear" w:color="auto" w:fill="auto"/>
            <w:noWrap/>
            <w:vAlign w:val="center"/>
            <w:hideMark/>
          </w:tcPr>
          <w:p w14:paraId="31BE5108"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6D376AAF"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noWrap/>
            <w:vAlign w:val="center"/>
          </w:tcPr>
          <w:p w14:paraId="0204A00F"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357" w:type="dxa"/>
            <w:tcBorders>
              <w:top w:val="nil"/>
              <w:left w:val="nil"/>
              <w:bottom w:val="nil"/>
              <w:right w:val="nil"/>
            </w:tcBorders>
            <w:shd w:val="clear" w:color="auto" w:fill="auto"/>
            <w:noWrap/>
            <w:vAlign w:val="center"/>
            <w:hideMark/>
          </w:tcPr>
          <w:p w14:paraId="067D02E5"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0D720C" w:rsidRPr="00484275" w14:paraId="21740DFC" w14:textId="77777777" w:rsidTr="000D720C">
        <w:trPr>
          <w:trHeight w:val="170"/>
        </w:trPr>
        <w:tc>
          <w:tcPr>
            <w:tcW w:w="5199" w:type="dxa"/>
            <w:tcBorders>
              <w:top w:val="single" w:sz="4" w:space="0" w:color="auto"/>
              <w:left w:val="nil"/>
              <w:bottom w:val="single" w:sz="4" w:space="0" w:color="auto"/>
              <w:right w:val="nil"/>
            </w:tcBorders>
            <w:shd w:val="clear" w:color="auto" w:fill="F2F2F2" w:themeFill="background1" w:themeFillShade="F2"/>
            <w:vAlign w:val="center"/>
            <w:hideMark/>
          </w:tcPr>
          <w:p w14:paraId="55F7F459"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C) FLUJOS DE EFECTIVO DE LAS ACTIVIDADES DE FINANCIACIÓN</w:t>
            </w:r>
          </w:p>
        </w:tc>
        <w:tc>
          <w:tcPr>
            <w:tcW w:w="824" w:type="dxa"/>
            <w:tcBorders>
              <w:top w:val="single" w:sz="4" w:space="0" w:color="auto"/>
              <w:left w:val="nil"/>
              <w:bottom w:val="single" w:sz="4" w:space="0" w:color="auto"/>
              <w:right w:val="nil"/>
            </w:tcBorders>
            <w:shd w:val="clear" w:color="auto" w:fill="F2F2F2" w:themeFill="background1" w:themeFillShade="F2"/>
            <w:vAlign w:val="center"/>
            <w:hideMark/>
          </w:tcPr>
          <w:p w14:paraId="2465D327"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644" w:type="dxa"/>
            <w:tcBorders>
              <w:top w:val="single" w:sz="4" w:space="0" w:color="auto"/>
              <w:left w:val="nil"/>
              <w:bottom w:val="single" w:sz="4" w:space="0" w:color="auto"/>
              <w:right w:val="nil"/>
            </w:tcBorders>
            <w:shd w:val="clear" w:color="auto" w:fill="F2F2F2" w:themeFill="background1" w:themeFillShade="F2"/>
            <w:vAlign w:val="center"/>
            <w:hideMark/>
          </w:tcPr>
          <w:p w14:paraId="7162436D"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1270" w:type="dxa"/>
            <w:tcBorders>
              <w:top w:val="single" w:sz="4" w:space="0" w:color="auto"/>
              <w:left w:val="nil"/>
              <w:bottom w:val="single" w:sz="4" w:space="0" w:color="auto"/>
              <w:right w:val="nil"/>
            </w:tcBorders>
            <w:shd w:val="clear" w:color="auto" w:fill="F2F2F2" w:themeFill="background1" w:themeFillShade="F2"/>
            <w:vAlign w:val="center"/>
          </w:tcPr>
          <w:p w14:paraId="61C198A4" w14:textId="19C05EE6"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2.268.311,50</w:t>
            </w:r>
          </w:p>
        </w:tc>
        <w:tc>
          <w:tcPr>
            <w:tcW w:w="1357" w:type="dxa"/>
            <w:tcBorders>
              <w:top w:val="single" w:sz="4" w:space="0" w:color="auto"/>
              <w:left w:val="nil"/>
              <w:bottom w:val="single" w:sz="4" w:space="0" w:color="auto"/>
              <w:right w:val="nil"/>
            </w:tcBorders>
            <w:shd w:val="clear" w:color="auto" w:fill="F2F2F2" w:themeFill="background1" w:themeFillShade="F2"/>
            <w:vAlign w:val="center"/>
            <w:hideMark/>
          </w:tcPr>
          <w:p w14:paraId="5B09C915" w14:textId="31B9D394"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2.241.828,26</w:t>
            </w:r>
          </w:p>
        </w:tc>
      </w:tr>
      <w:tr w:rsidR="000D720C" w:rsidRPr="00484275" w14:paraId="356C4BA8" w14:textId="77777777" w:rsidTr="000D720C">
        <w:trPr>
          <w:trHeight w:val="227"/>
        </w:trPr>
        <w:tc>
          <w:tcPr>
            <w:tcW w:w="5199" w:type="dxa"/>
            <w:tcBorders>
              <w:top w:val="nil"/>
              <w:left w:val="nil"/>
              <w:bottom w:val="nil"/>
              <w:right w:val="nil"/>
            </w:tcBorders>
            <w:shd w:val="clear" w:color="auto" w:fill="auto"/>
            <w:vAlign w:val="center"/>
            <w:hideMark/>
          </w:tcPr>
          <w:p w14:paraId="7C4950D6"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Cobros y pagos por instrumentos de patrimonio:</w:t>
            </w:r>
          </w:p>
        </w:tc>
        <w:tc>
          <w:tcPr>
            <w:tcW w:w="824" w:type="dxa"/>
            <w:tcBorders>
              <w:top w:val="nil"/>
              <w:left w:val="nil"/>
              <w:bottom w:val="nil"/>
              <w:right w:val="nil"/>
            </w:tcBorders>
            <w:shd w:val="clear" w:color="auto" w:fill="auto"/>
            <w:noWrap/>
            <w:vAlign w:val="center"/>
            <w:hideMark/>
          </w:tcPr>
          <w:p w14:paraId="23AF2F35"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12B2DBB3"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single" w:sz="4" w:space="0" w:color="auto"/>
              <w:right w:val="nil"/>
            </w:tcBorders>
            <w:shd w:val="clear" w:color="auto" w:fill="auto"/>
            <w:vAlign w:val="center"/>
          </w:tcPr>
          <w:p w14:paraId="72A31487" w14:textId="040566D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2.267.888,00</w:t>
            </w:r>
          </w:p>
        </w:tc>
        <w:tc>
          <w:tcPr>
            <w:tcW w:w="1357" w:type="dxa"/>
            <w:tcBorders>
              <w:top w:val="nil"/>
              <w:left w:val="nil"/>
              <w:bottom w:val="single" w:sz="4" w:space="0" w:color="auto"/>
              <w:right w:val="nil"/>
            </w:tcBorders>
            <w:shd w:val="clear" w:color="auto" w:fill="auto"/>
            <w:vAlign w:val="center"/>
            <w:hideMark/>
          </w:tcPr>
          <w:p w14:paraId="75576937" w14:textId="50731A8D"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2.314.283,00</w:t>
            </w:r>
          </w:p>
        </w:tc>
      </w:tr>
      <w:tr w:rsidR="000D720C" w:rsidRPr="00484275" w14:paraId="2EA2E422" w14:textId="77777777" w:rsidTr="000D720C">
        <w:trPr>
          <w:trHeight w:val="227"/>
        </w:trPr>
        <w:tc>
          <w:tcPr>
            <w:tcW w:w="5199" w:type="dxa"/>
            <w:tcBorders>
              <w:top w:val="nil"/>
              <w:left w:val="nil"/>
              <w:bottom w:val="nil"/>
              <w:right w:val="nil"/>
            </w:tcBorders>
            <w:shd w:val="clear" w:color="auto" w:fill="auto"/>
            <w:vAlign w:val="center"/>
            <w:hideMark/>
          </w:tcPr>
          <w:p w14:paraId="169F3C6F"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Aportación socios</w:t>
            </w:r>
          </w:p>
        </w:tc>
        <w:tc>
          <w:tcPr>
            <w:tcW w:w="824" w:type="dxa"/>
            <w:tcBorders>
              <w:top w:val="nil"/>
              <w:left w:val="nil"/>
              <w:bottom w:val="nil"/>
              <w:right w:val="nil"/>
            </w:tcBorders>
            <w:shd w:val="clear" w:color="auto" w:fill="auto"/>
            <w:noWrap/>
            <w:vAlign w:val="center"/>
            <w:hideMark/>
          </w:tcPr>
          <w:p w14:paraId="75DE1DFA" w14:textId="21037640"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8.</w:t>
            </w:r>
            <w:proofErr w:type="gramStart"/>
            <w:r w:rsidR="005873E7">
              <w:rPr>
                <w:rFonts w:eastAsia="Times New Roman"/>
                <w:color w:val="auto"/>
                <w:sz w:val="16"/>
                <w:szCs w:val="16"/>
                <w:bdr w:val="none" w:sz="0" w:space="0" w:color="auto"/>
                <w:lang w:eastAsia="es-ES"/>
              </w:rPr>
              <w:t>4</w:t>
            </w:r>
            <w:r w:rsidRPr="00484275">
              <w:rPr>
                <w:rFonts w:eastAsia="Times New Roman"/>
                <w:color w:val="auto"/>
                <w:sz w:val="16"/>
                <w:szCs w:val="16"/>
                <w:bdr w:val="none" w:sz="0" w:space="0" w:color="auto"/>
                <w:lang w:eastAsia="es-ES"/>
              </w:rPr>
              <w:t>.d</w:t>
            </w:r>
            <w:proofErr w:type="gramEnd"/>
          </w:p>
        </w:tc>
        <w:tc>
          <w:tcPr>
            <w:tcW w:w="644" w:type="dxa"/>
            <w:tcBorders>
              <w:top w:val="nil"/>
              <w:left w:val="nil"/>
              <w:bottom w:val="nil"/>
              <w:right w:val="nil"/>
            </w:tcBorders>
            <w:shd w:val="clear" w:color="auto" w:fill="auto"/>
            <w:noWrap/>
            <w:vAlign w:val="center"/>
            <w:hideMark/>
          </w:tcPr>
          <w:p w14:paraId="6530EDBD"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211D577C" w14:textId="5E46EBF1"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2.267.888,00</w:t>
            </w:r>
          </w:p>
        </w:tc>
        <w:tc>
          <w:tcPr>
            <w:tcW w:w="1357" w:type="dxa"/>
            <w:tcBorders>
              <w:top w:val="nil"/>
              <w:left w:val="nil"/>
              <w:bottom w:val="nil"/>
              <w:right w:val="nil"/>
            </w:tcBorders>
            <w:shd w:val="clear" w:color="auto" w:fill="auto"/>
            <w:vAlign w:val="center"/>
            <w:hideMark/>
          </w:tcPr>
          <w:p w14:paraId="7DB1F221" w14:textId="0E85361B"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2.223.683,00</w:t>
            </w:r>
          </w:p>
        </w:tc>
      </w:tr>
      <w:tr w:rsidR="000D720C" w:rsidRPr="00484275" w14:paraId="3D152C4F" w14:textId="77777777" w:rsidTr="000D720C">
        <w:trPr>
          <w:trHeight w:val="227"/>
        </w:trPr>
        <w:tc>
          <w:tcPr>
            <w:tcW w:w="5199" w:type="dxa"/>
            <w:tcBorders>
              <w:top w:val="nil"/>
              <w:left w:val="nil"/>
              <w:bottom w:val="nil"/>
              <w:right w:val="nil"/>
            </w:tcBorders>
            <w:shd w:val="clear" w:color="auto" w:fill="auto"/>
            <w:vAlign w:val="center"/>
            <w:hideMark/>
          </w:tcPr>
          <w:p w14:paraId="3A16C7D7"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Subvenciones, donaciones y legados recibidos</w:t>
            </w:r>
          </w:p>
        </w:tc>
        <w:tc>
          <w:tcPr>
            <w:tcW w:w="824" w:type="dxa"/>
            <w:tcBorders>
              <w:top w:val="nil"/>
              <w:left w:val="nil"/>
              <w:bottom w:val="nil"/>
              <w:right w:val="nil"/>
            </w:tcBorders>
            <w:shd w:val="clear" w:color="auto" w:fill="auto"/>
            <w:noWrap/>
            <w:vAlign w:val="center"/>
            <w:hideMark/>
          </w:tcPr>
          <w:p w14:paraId="16FD54A1"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15.1</w:t>
            </w:r>
          </w:p>
        </w:tc>
        <w:tc>
          <w:tcPr>
            <w:tcW w:w="644" w:type="dxa"/>
            <w:tcBorders>
              <w:top w:val="nil"/>
              <w:left w:val="nil"/>
              <w:bottom w:val="nil"/>
              <w:right w:val="nil"/>
            </w:tcBorders>
            <w:shd w:val="clear" w:color="auto" w:fill="auto"/>
            <w:noWrap/>
            <w:vAlign w:val="center"/>
            <w:hideMark/>
          </w:tcPr>
          <w:p w14:paraId="0FA46FF2"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32674705" w14:textId="61D67256"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1357" w:type="dxa"/>
            <w:tcBorders>
              <w:top w:val="nil"/>
              <w:left w:val="nil"/>
              <w:bottom w:val="nil"/>
              <w:right w:val="nil"/>
            </w:tcBorders>
            <w:shd w:val="clear" w:color="auto" w:fill="auto"/>
            <w:vAlign w:val="center"/>
            <w:hideMark/>
          </w:tcPr>
          <w:p w14:paraId="3F1C55D2" w14:textId="766F8604"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90.600,00</w:t>
            </w:r>
          </w:p>
        </w:tc>
      </w:tr>
      <w:tr w:rsidR="00222A9D" w:rsidRPr="002E3C11" w14:paraId="7ECD28D1" w14:textId="77777777" w:rsidTr="000D720C">
        <w:trPr>
          <w:trHeight w:val="113"/>
        </w:trPr>
        <w:tc>
          <w:tcPr>
            <w:tcW w:w="5199" w:type="dxa"/>
            <w:tcBorders>
              <w:top w:val="nil"/>
              <w:left w:val="nil"/>
              <w:bottom w:val="nil"/>
              <w:right w:val="nil"/>
            </w:tcBorders>
            <w:shd w:val="clear" w:color="auto" w:fill="auto"/>
            <w:vAlign w:val="center"/>
            <w:hideMark/>
          </w:tcPr>
          <w:p w14:paraId="7051B66D"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824" w:type="dxa"/>
            <w:tcBorders>
              <w:top w:val="nil"/>
              <w:left w:val="nil"/>
              <w:bottom w:val="nil"/>
              <w:right w:val="nil"/>
            </w:tcBorders>
            <w:shd w:val="clear" w:color="auto" w:fill="auto"/>
            <w:noWrap/>
            <w:vAlign w:val="center"/>
            <w:hideMark/>
          </w:tcPr>
          <w:p w14:paraId="09D06ABD"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644" w:type="dxa"/>
            <w:tcBorders>
              <w:top w:val="nil"/>
              <w:left w:val="nil"/>
              <w:bottom w:val="nil"/>
              <w:right w:val="nil"/>
            </w:tcBorders>
            <w:shd w:val="clear" w:color="auto" w:fill="auto"/>
            <w:noWrap/>
            <w:vAlign w:val="center"/>
            <w:hideMark/>
          </w:tcPr>
          <w:p w14:paraId="1B9B80F2"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0"/>
                <w:szCs w:val="10"/>
                <w:bdr w:val="none" w:sz="0" w:space="0" w:color="auto"/>
                <w:lang w:eastAsia="es-ES"/>
              </w:rPr>
            </w:pPr>
          </w:p>
        </w:tc>
        <w:tc>
          <w:tcPr>
            <w:tcW w:w="1270" w:type="dxa"/>
            <w:tcBorders>
              <w:top w:val="nil"/>
              <w:left w:val="nil"/>
              <w:bottom w:val="nil"/>
              <w:right w:val="nil"/>
            </w:tcBorders>
            <w:shd w:val="clear" w:color="auto" w:fill="auto"/>
            <w:noWrap/>
            <w:vAlign w:val="center"/>
          </w:tcPr>
          <w:p w14:paraId="37AE84CE"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1357" w:type="dxa"/>
            <w:tcBorders>
              <w:top w:val="nil"/>
              <w:left w:val="nil"/>
              <w:bottom w:val="nil"/>
              <w:right w:val="nil"/>
            </w:tcBorders>
            <w:shd w:val="clear" w:color="auto" w:fill="auto"/>
            <w:noWrap/>
            <w:vAlign w:val="center"/>
            <w:hideMark/>
          </w:tcPr>
          <w:p w14:paraId="3D2991DA"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r>
      <w:tr w:rsidR="000D720C" w:rsidRPr="00484275" w14:paraId="54D9BF7F" w14:textId="77777777" w:rsidTr="000D720C">
        <w:trPr>
          <w:trHeight w:val="227"/>
        </w:trPr>
        <w:tc>
          <w:tcPr>
            <w:tcW w:w="5199" w:type="dxa"/>
            <w:tcBorders>
              <w:top w:val="nil"/>
              <w:left w:val="nil"/>
              <w:bottom w:val="nil"/>
              <w:right w:val="nil"/>
            </w:tcBorders>
            <w:shd w:val="clear" w:color="auto" w:fill="auto"/>
            <w:vAlign w:val="center"/>
            <w:hideMark/>
          </w:tcPr>
          <w:p w14:paraId="1FA3C4DA"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Cobros y pagos por instrumentos de pasivo financiero:</w:t>
            </w:r>
          </w:p>
        </w:tc>
        <w:tc>
          <w:tcPr>
            <w:tcW w:w="824" w:type="dxa"/>
            <w:tcBorders>
              <w:top w:val="nil"/>
              <w:left w:val="nil"/>
              <w:bottom w:val="nil"/>
              <w:right w:val="nil"/>
            </w:tcBorders>
            <w:shd w:val="clear" w:color="auto" w:fill="auto"/>
            <w:noWrap/>
            <w:vAlign w:val="center"/>
            <w:hideMark/>
          </w:tcPr>
          <w:p w14:paraId="68C39A76"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330994B5"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single" w:sz="4" w:space="0" w:color="auto"/>
              <w:left w:val="nil"/>
              <w:bottom w:val="single" w:sz="4" w:space="0" w:color="auto"/>
              <w:right w:val="nil"/>
            </w:tcBorders>
            <w:shd w:val="clear" w:color="auto" w:fill="auto"/>
            <w:vAlign w:val="center"/>
          </w:tcPr>
          <w:p w14:paraId="119AB68E" w14:textId="21F6C4B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423,50</w:t>
            </w:r>
          </w:p>
        </w:tc>
        <w:tc>
          <w:tcPr>
            <w:tcW w:w="1357" w:type="dxa"/>
            <w:tcBorders>
              <w:top w:val="single" w:sz="4" w:space="0" w:color="auto"/>
              <w:left w:val="nil"/>
              <w:bottom w:val="single" w:sz="4" w:space="0" w:color="auto"/>
              <w:right w:val="nil"/>
            </w:tcBorders>
            <w:shd w:val="clear" w:color="auto" w:fill="auto"/>
            <w:vAlign w:val="center"/>
            <w:hideMark/>
          </w:tcPr>
          <w:p w14:paraId="775A0E0B" w14:textId="3F849E36"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(72.454,74)</w:t>
            </w:r>
          </w:p>
        </w:tc>
      </w:tr>
      <w:tr w:rsidR="000D720C" w:rsidRPr="00484275" w14:paraId="387622EE" w14:textId="77777777" w:rsidTr="000D720C">
        <w:trPr>
          <w:trHeight w:val="170"/>
        </w:trPr>
        <w:tc>
          <w:tcPr>
            <w:tcW w:w="5199" w:type="dxa"/>
            <w:tcBorders>
              <w:top w:val="nil"/>
              <w:left w:val="nil"/>
              <w:bottom w:val="nil"/>
              <w:right w:val="nil"/>
            </w:tcBorders>
            <w:shd w:val="clear" w:color="auto" w:fill="auto"/>
            <w:vAlign w:val="center"/>
            <w:hideMark/>
          </w:tcPr>
          <w:p w14:paraId="40943C96"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Emisión:</w:t>
            </w:r>
          </w:p>
        </w:tc>
        <w:tc>
          <w:tcPr>
            <w:tcW w:w="824" w:type="dxa"/>
            <w:tcBorders>
              <w:top w:val="nil"/>
              <w:left w:val="nil"/>
              <w:bottom w:val="nil"/>
              <w:right w:val="nil"/>
            </w:tcBorders>
            <w:shd w:val="clear" w:color="auto" w:fill="auto"/>
            <w:noWrap/>
            <w:vAlign w:val="center"/>
            <w:hideMark/>
          </w:tcPr>
          <w:p w14:paraId="11E50AFB"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1AE2F369"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0FA0CDC7"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357" w:type="dxa"/>
            <w:tcBorders>
              <w:top w:val="nil"/>
              <w:left w:val="nil"/>
              <w:bottom w:val="nil"/>
              <w:right w:val="nil"/>
            </w:tcBorders>
            <w:shd w:val="clear" w:color="auto" w:fill="auto"/>
            <w:vAlign w:val="center"/>
            <w:hideMark/>
          </w:tcPr>
          <w:p w14:paraId="2702FB79"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0D720C" w:rsidRPr="00484275" w14:paraId="029C2607" w14:textId="77777777" w:rsidTr="000D720C">
        <w:trPr>
          <w:trHeight w:val="170"/>
        </w:trPr>
        <w:tc>
          <w:tcPr>
            <w:tcW w:w="5199" w:type="dxa"/>
            <w:tcBorders>
              <w:top w:val="nil"/>
              <w:left w:val="nil"/>
              <w:bottom w:val="nil"/>
              <w:right w:val="nil"/>
            </w:tcBorders>
            <w:shd w:val="clear" w:color="auto" w:fill="auto"/>
            <w:vAlign w:val="center"/>
            <w:hideMark/>
          </w:tcPr>
          <w:p w14:paraId="2726D35D"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xml:space="preserve">    - Deudas con entidades de crédito</w:t>
            </w:r>
          </w:p>
        </w:tc>
        <w:tc>
          <w:tcPr>
            <w:tcW w:w="824" w:type="dxa"/>
            <w:tcBorders>
              <w:top w:val="nil"/>
              <w:left w:val="nil"/>
              <w:bottom w:val="nil"/>
              <w:right w:val="nil"/>
            </w:tcBorders>
            <w:shd w:val="clear" w:color="auto" w:fill="auto"/>
            <w:noWrap/>
            <w:vAlign w:val="center"/>
            <w:hideMark/>
          </w:tcPr>
          <w:p w14:paraId="17875487"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3DC28C4B"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6B8CFD7F" w14:textId="12E57753"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520,90</w:t>
            </w:r>
          </w:p>
        </w:tc>
        <w:tc>
          <w:tcPr>
            <w:tcW w:w="1357" w:type="dxa"/>
            <w:tcBorders>
              <w:top w:val="nil"/>
              <w:left w:val="nil"/>
              <w:bottom w:val="nil"/>
              <w:right w:val="nil"/>
            </w:tcBorders>
            <w:shd w:val="clear" w:color="auto" w:fill="auto"/>
            <w:vAlign w:val="center"/>
            <w:hideMark/>
          </w:tcPr>
          <w:p w14:paraId="1AE5F2B1" w14:textId="3817CBBC"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r>
      <w:tr w:rsidR="000D720C" w:rsidRPr="00484275" w14:paraId="5579E990" w14:textId="77777777" w:rsidTr="000D720C">
        <w:trPr>
          <w:trHeight w:val="227"/>
        </w:trPr>
        <w:tc>
          <w:tcPr>
            <w:tcW w:w="5199" w:type="dxa"/>
            <w:tcBorders>
              <w:top w:val="nil"/>
              <w:left w:val="nil"/>
              <w:bottom w:val="nil"/>
              <w:right w:val="nil"/>
            </w:tcBorders>
            <w:shd w:val="clear" w:color="auto" w:fill="auto"/>
            <w:vAlign w:val="center"/>
            <w:hideMark/>
          </w:tcPr>
          <w:p w14:paraId="3B6B9716"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xml:space="preserve">    - Otras deudas</w:t>
            </w:r>
          </w:p>
        </w:tc>
        <w:tc>
          <w:tcPr>
            <w:tcW w:w="824" w:type="dxa"/>
            <w:tcBorders>
              <w:top w:val="nil"/>
              <w:left w:val="nil"/>
              <w:bottom w:val="nil"/>
              <w:right w:val="nil"/>
            </w:tcBorders>
            <w:shd w:val="clear" w:color="auto" w:fill="auto"/>
            <w:noWrap/>
            <w:vAlign w:val="center"/>
            <w:hideMark/>
          </w:tcPr>
          <w:p w14:paraId="298FF7D8"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center"/>
            <w:hideMark/>
          </w:tcPr>
          <w:p w14:paraId="1323E393"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62DE4A87" w14:textId="081F72A3"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1357" w:type="dxa"/>
            <w:tcBorders>
              <w:top w:val="nil"/>
              <w:left w:val="nil"/>
              <w:bottom w:val="nil"/>
              <w:right w:val="nil"/>
            </w:tcBorders>
            <w:shd w:val="clear" w:color="auto" w:fill="auto"/>
            <w:vAlign w:val="center"/>
            <w:hideMark/>
          </w:tcPr>
          <w:p w14:paraId="04DE0BDE" w14:textId="214237B0"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r>
      <w:tr w:rsidR="00222A9D" w:rsidRPr="00484275" w14:paraId="7B7A4E69" w14:textId="77777777" w:rsidTr="000D720C">
        <w:trPr>
          <w:trHeight w:val="170"/>
        </w:trPr>
        <w:tc>
          <w:tcPr>
            <w:tcW w:w="5199" w:type="dxa"/>
            <w:tcBorders>
              <w:top w:val="nil"/>
              <w:left w:val="nil"/>
              <w:bottom w:val="nil"/>
              <w:right w:val="nil"/>
            </w:tcBorders>
            <w:shd w:val="clear" w:color="auto" w:fill="auto"/>
            <w:vAlign w:val="center"/>
            <w:hideMark/>
          </w:tcPr>
          <w:p w14:paraId="41020FB5"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Devolución y amortización de:</w:t>
            </w:r>
          </w:p>
        </w:tc>
        <w:tc>
          <w:tcPr>
            <w:tcW w:w="824" w:type="dxa"/>
            <w:tcBorders>
              <w:top w:val="nil"/>
              <w:left w:val="nil"/>
              <w:bottom w:val="nil"/>
              <w:right w:val="nil"/>
            </w:tcBorders>
            <w:shd w:val="clear" w:color="auto" w:fill="auto"/>
            <w:noWrap/>
            <w:vAlign w:val="bottom"/>
            <w:hideMark/>
          </w:tcPr>
          <w:p w14:paraId="072156CB"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bottom"/>
            <w:hideMark/>
          </w:tcPr>
          <w:p w14:paraId="250B5A87"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noWrap/>
            <w:vAlign w:val="center"/>
          </w:tcPr>
          <w:p w14:paraId="3F9CAA09"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357" w:type="dxa"/>
            <w:tcBorders>
              <w:top w:val="nil"/>
              <w:left w:val="nil"/>
              <w:bottom w:val="nil"/>
              <w:right w:val="nil"/>
            </w:tcBorders>
            <w:shd w:val="clear" w:color="auto" w:fill="auto"/>
            <w:noWrap/>
            <w:vAlign w:val="center"/>
            <w:hideMark/>
          </w:tcPr>
          <w:p w14:paraId="7833EF90" w14:textId="77777777" w:rsidR="00222A9D" w:rsidRPr="00484275"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r>
      <w:tr w:rsidR="000D720C" w:rsidRPr="00484275" w14:paraId="1CEFC7C4" w14:textId="77777777" w:rsidTr="000D720C">
        <w:trPr>
          <w:trHeight w:val="227"/>
        </w:trPr>
        <w:tc>
          <w:tcPr>
            <w:tcW w:w="5199" w:type="dxa"/>
            <w:tcBorders>
              <w:top w:val="nil"/>
              <w:left w:val="nil"/>
              <w:bottom w:val="nil"/>
              <w:right w:val="nil"/>
            </w:tcBorders>
            <w:shd w:val="clear" w:color="auto" w:fill="auto"/>
            <w:vAlign w:val="center"/>
            <w:hideMark/>
          </w:tcPr>
          <w:p w14:paraId="1E1F0FF4"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xml:space="preserve">    - Deudas con entidades de crédito</w:t>
            </w:r>
          </w:p>
        </w:tc>
        <w:tc>
          <w:tcPr>
            <w:tcW w:w="824" w:type="dxa"/>
            <w:tcBorders>
              <w:top w:val="nil"/>
              <w:left w:val="nil"/>
              <w:bottom w:val="nil"/>
              <w:right w:val="nil"/>
            </w:tcBorders>
            <w:shd w:val="clear" w:color="auto" w:fill="auto"/>
            <w:noWrap/>
            <w:vAlign w:val="bottom"/>
            <w:hideMark/>
          </w:tcPr>
          <w:p w14:paraId="28B3B638"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bottom"/>
            <w:hideMark/>
          </w:tcPr>
          <w:p w14:paraId="11624D20"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033582BF" w14:textId="2542132F"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1357" w:type="dxa"/>
            <w:tcBorders>
              <w:top w:val="nil"/>
              <w:left w:val="nil"/>
              <w:bottom w:val="nil"/>
              <w:right w:val="nil"/>
            </w:tcBorders>
            <w:shd w:val="clear" w:color="auto" w:fill="auto"/>
            <w:vAlign w:val="center"/>
            <w:hideMark/>
          </w:tcPr>
          <w:p w14:paraId="36E57CC1" w14:textId="5313EC7E"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(1.238,11)</w:t>
            </w:r>
          </w:p>
        </w:tc>
      </w:tr>
      <w:tr w:rsidR="000D720C" w:rsidRPr="00484275" w14:paraId="3B7B5A3C" w14:textId="77777777" w:rsidTr="000D720C">
        <w:trPr>
          <w:trHeight w:val="227"/>
        </w:trPr>
        <w:tc>
          <w:tcPr>
            <w:tcW w:w="5199" w:type="dxa"/>
            <w:tcBorders>
              <w:top w:val="nil"/>
              <w:left w:val="nil"/>
              <w:bottom w:val="nil"/>
              <w:right w:val="nil"/>
            </w:tcBorders>
            <w:shd w:val="clear" w:color="auto" w:fill="auto"/>
            <w:vAlign w:val="center"/>
            <w:hideMark/>
          </w:tcPr>
          <w:p w14:paraId="35CF77E8"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xml:space="preserve">    - Otras deudas</w:t>
            </w:r>
          </w:p>
        </w:tc>
        <w:tc>
          <w:tcPr>
            <w:tcW w:w="824" w:type="dxa"/>
            <w:tcBorders>
              <w:top w:val="nil"/>
              <w:left w:val="nil"/>
              <w:bottom w:val="nil"/>
              <w:right w:val="nil"/>
            </w:tcBorders>
            <w:shd w:val="clear" w:color="auto" w:fill="auto"/>
            <w:noWrap/>
            <w:vAlign w:val="bottom"/>
            <w:hideMark/>
          </w:tcPr>
          <w:p w14:paraId="7337C09E"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44" w:type="dxa"/>
            <w:tcBorders>
              <w:top w:val="nil"/>
              <w:left w:val="nil"/>
              <w:bottom w:val="nil"/>
              <w:right w:val="nil"/>
            </w:tcBorders>
            <w:shd w:val="clear" w:color="auto" w:fill="auto"/>
            <w:noWrap/>
            <w:vAlign w:val="bottom"/>
            <w:hideMark/>
          </w:tcPr>
          <w:p w14:paraId="3CE55639"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70" w:type="dxa"/>
            <w:tcBorders>
              <w:top w:val="nil"/>
              <w:left w:val="nil"/>
              <w:bottom w:val="nil"/>
              <w:right w:val="nil"/>
            </w:tcBorders>
            <w:shd w:val="clear" w:color="auto" w:fill="auto"/>
            <w:vAlign w:val="center"/>
          </w:tcPr>
          <w:p w14:paraId="4529A70B" w14:textId="72E6C518"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(97,40)</w:t>
            </w:r>
          </w:p>
        </w:tc>
        <w:tc>
          <w:tcPr>
            <w:tcW w:w="1357" w:type="dxa"/>
            <w:tcBorders>
              <w:top w:val="nil"/>
              <w:left w:val="nil"/>
              <w:bottom w:val="nil"/>
              <w:right w:val="nil"/>
            </w:tcBorders>
            <w:shd w:val="clear" w:color="auto" w:fill="auto"/>
            <w:vAlign w:val="center"/>
            <w:hideMark/>
          </w:tcPr>
          <w:p w14:paraId="69FA1EC5" w14:textId="2DDAC464"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(71.216,63)</w:t>
            </w:r>
          </w:p>
        </w:tc>
      </w:tr>
      <w:tr w:rsidR="00222A9D" w:rsidRPr="002E3C11" w14:paraId="3AD4DA36" w14:textId="77777777" w:rsidTr="000D720C">
        <w:trPr>
          <w:trHeight w:val="113"/>
        </w:trPr>
        <w:tc>
          <w:tcPr>
            <w:tcW w:w="5199" w:type="dxa"/>
            <w:tcBorders>
              <w:top w:val="nil"/>
              <w:left w:val="nil"/>
              <w:bottom w:val="nil"/>
              <w:right w:val="nil"/>
            </w:tcBorders>
            <w:shd w:val="clear" w:color="auto" w:fill="auto"/>
            <w:noWrap/>
            <w:vAlign w:val="center"/>
            <w:hideMark/>
          </w:tcPr>
          <w:p w14:paraId="06419481"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824" w:type="dxa"/>
            <w:tcBorders>
              <w:top w:val="nil"/>
              <w:left w:val="nil"/>
              <w:bottom w:val="nil"/>
              <w:right w:val="nil"/>
            </w:tcBorders>
            <w:shd w:val="clear" w:color="auto" w:fill="auto"/>
            <w:noWrap/>
            <w:vAlign w:val="center"/>
            <w:hideMark/>
          </w:tcPr>
          <w:p w14:paraId="1CEAD123"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644" w:type="dxa"/>
            <w:tcBorders>
              <w:top w:val="nil"/>
              <w:left w:val="nil"/>
              <w:bottom w:val="nil"/>
              <w:right w:val="nil"/>
            </w:tcBorders>
            <w:shd w:val="clear" w:color="auto" w:fill="auto"/>
            <w:noWrap/>
            <w:vAlign w:val="center"/>
            <w:hideMark/>
          </w:tcPr>
          <w:p w14:paraId="7765EEFF"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0"/>
                <w:szCs w:val="10"/>
                <w:bdr w:val="none" w:sz="0" w:space="0" w:color="auto"/>
                <w:lang w:eastAsia="es-ES"/>
              </w:rPr>
            </w:pPr>
          </w:p>
        </w:tc>
        <w:tc>
          <w:tcPr>
            <w:tcW w:w="1270" w:type="dxa"/>
            <w:tcBorders>
              <w:top w:val="nil"/>
              <w:left w:val="nil"/>
              <w:bottom w:val="nil"/>
              <w:right w:val="nil"/>
            </w:tcBorders>
            <w:shd w:val="clear" w:color="auto" w:fill="auto"/>
            <w:noWrap/>
            <w:vAlign w:val="center"/>
          </w:tcPr>
          <w:p w14:paraId="1C8EB130"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c>
          <w:tcPr>
            <w:tcW w:w="1357" w:type="dxa"/>
            <w:tcBorders>
              <w:top w:val="nil"/>
              <w:left w:val="nil"/>
              <w:bottom w:val="nil"/>
              <w:right w:val="nil"/>
            </w:tcBorders>
            <w:shd w:val="clear" w:color="auto" w:fill="auto"/>
            <w:noWrap/>
            <w:vAlign w:val="center"/>
            <w:hideMark/>
          </w:tcPr>
          <w:p w14:paraId="29303E5A" w14:textId="77777777" w:rsidR="00222A9D" w:rsidRPr="002E3C11" w:rsidRDefault="00222A9D" w:rsidP="00222A9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0"/>
                <w:szCs w:val="10"/>
                <w:bdr w:val="none" w:sz="0" w:space="0" w:color="auto"/>
                <w:lang w:eastAsia="es-ES"/>
              </w:rPr>
            </w:pPr>
          </w:p>
        </w:tc>
      </w:tr>
      <w:tr w:rsidR="000D720C" w:rsidRPr="00484275" w14:paraId="35759CD6" w14:textId="77777777" w:rsidTr="000D720C">
        <w:trPr>
          <w:trHeight w:val="227"/>
        </w:trPr>
        <w:tc>
          <w:tcPr>
            <w:tcW w:w="5199" w:type="dxa"/>
            <w:tcBorders>
              <w:top w:val="single" w:sz="4" w:space="0" w:color="auto"/>
              <w:left w:val="nil"/>
              <w:bottom w:val="single" w:sz="4" w:space="0" w:color="auto"/>
              <w:right w:val="nil"/>
            </w:tcBorders>
            <w:shd w:val="clear" w:color="auto" w:fill="F2F2F2" w:themeFill="background1" w:themeFillShade="F2"/>
            <w:vAlign w:val="center"/>
            <w:hideMark/>
          </w:tcPr>
          <w:p w14:paraId="12C42974"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AUMENTO/DISMINUCIÓN NETA DEL EFECTIVO O EQUIVALENTES</w:t>
            </w:r>
          </w:p>
        </w:tc>
        <w:tc>
          <w:tcPr>
            <w:tcW w:w="824" w:type="dxa"/>
            <w:tcBorders>
              <w:top w:val="single" w:sz="4" w:space="0" w:color="auto"/>
              <w:left w:val="nil"/>
              <w:bottom w:val="single" w:sz="4" w:space="0" w:color="auto"/>
              <w:right w:val="nil"/>
            </w:tcBorders>
            <w:shd w:val="clear" w:color="auto" w:fill="F2F2F2" w:themeFill="background1" w:themeFillShade="F2"/>
            <w:vAlign w:val="center"/>
            <w:hideMark/>
          </w:tcPr>
          <w:p w14:paraId="0A7706D5"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644" w:type="dxa"/>
            <w:tcBorders>
              <w:top w:val="single" w:sz="4" w:space="0" w:color="auto"/>
              <w:left w:val="nil"/>
              <w:bottom w:val="single" w:sz="4" w:space="0" w:color="auto"/>
              <w:right w:val="nil"/>
            </w:tcBorders>
            <w:shd w:val="clear" w:color="auto" w:fill="F2F2F2" w:themeFill="background1" w:themeFillShade="F2"/>
            <w:vAlign w:val="center"/>
            <w:hideMark/>
          </w:tcPr>
          <w:p w14:paraId="134DDBFE"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484275">
              <w:rPr>
                <w:rFonts w:eastAsia="Times New Roman"/>
                <w:b/>
                <w:bCs/>
                <w:color w:val="auto"/>
                <w:sz w:val="16"/>
                <w:szCs w:val="16"/>
                <w:bdr w:val="none" w:sz="0" w:space="0" w:color="auto"/>
                <w:lang w:eastAsia="es-ES"/>
              </w:rPr>
              <w:t> </w:t>
            </w:r>
          </w:p>
        </w:tc>
        <w:tc>
          <w:tcPr>
            <w:tcW w:w="1270" w:type="dxa"/>
            <w:tcBorders>
              <w:top w:val="single" w:sz="4" w:space="0" w:color="auto"/>
              <w:left w:val="nil"/>
              <w:bottom w:val="single" w:sz="4" w:space="0" w:color="auto"/>
              <w:right w:val="nil"/>
            </w:tcBorders>
            <w:shd w:val="clear" w:color="auto" w:fill="F2F2F2" w:themeFill="background1" w:themeFillShade="F2"/>
            <w:vAlign w:val="center"/>
          </w:tcPr>
          <w:p w14:paraId="2CFD651C" w14:textId="1B914624"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1.145.801,83</w:t>
            </w:r>
          </w:p>
        </w:tc>
        <w:tc>
          <w:tcPr>
            <w:tcW w:w="1357" w:type="dxa"/>
            <w:tcBorders>
              <w:top w:val="single" w:sz="4" w:space="0" w:color="auto"/>
              <w:left w:val="nil"/>
              <w:bottom w:val="single" w:sz="4" w:space="0" w:color="auto"/>
              <w:right w:val="nil"/>
            </w:tcBorders>
            <w:shd w:val="clear" w:color="auto" w:fill="F2F2F2" w:themeFill="background1" w:themeFillShade="F2"/>
            <w:vAlign w:val="center"/>
            <w:hideMark/>
          </w:tcPr>
          <w:p w14:paraId="101CA1BE" w14:textId="5488CF82"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11.226.320,10</w:t>
            </w:r>
          </w:p>
        </w:tc>
      </w:tr>
      <w:tr w:rsidR="000D720C" w:rsidRPr="00484275" w14:paraId="2D41B551" w14:textId="77777777" w:rsidTr="000D720C">
        <w:trPr>
          <w:trHeight w:val="227"/>
        </w:trPr>
        <w:tc>
          <w:tcPr>
            <w:tcW w:w="6023" w:type="dxa"/>
            <w:gridSpan w:val="2"/>
            <w:tcBorders>
              <w:top w:val="single" w:sz="4" w:space="0" w:color="auto"/>
              <w:left w:val="nil"/>
              <w:right w:val="nil"/>
            </w:tcBorders>
            <w:shd w:val="clear" w:color="auto" w:fill="auto"/>
            <w:noWrap/>
            <w:vAlign w:val="center"/>
            <w:hideMark/>
          </w:tcPr>
          <w:p w14:paraId="7C0E9B06"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Efectivo o equivalentes al comienzo del ejercicio</w:t>
            </w:r>
          </w:p>
        </w:tc>
        <w:tc>
          <w:tcPr>
            <w:tcW w:w="644" w:type="dxa"/>
            <w:tcBorders>
              <w:top w:val="nil"/>
              <w:left w:val="nil"/>
              <w:right w:val="nil"/>
            </w:tcBorders>
            <w:shd w:val="clear" w:color="auto" w:fill="auto"/>
            <w:noWrap/>
            <w:vAlign w:val="center"/>
            <w:hideMark/>
          </w:tcPr>
          <w:p w14:paraId="575E3ADA"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70" w:type="dxa"/>
            <w:tcBorders>
              <w:top w:val="nil"/>
              <w:left w:val="nil"/>
              <w:right w:val="nil"/>
            </w:tcBorders>
            <w:shd w:val="clear" w:color="auto" w:fill="auto"/>
            <w:vAlign w:val="center"/>
          </w:tcPr>
          <w:p w14:paraId="550498D5" w14:textId="6E49A7A2"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rFonts w:eastAsia="Times New Roman"/>
                <w:color w:val="auto"/>
                <w:sz w:val="16"/>
                <w:szCs w:val="16"/>
                <w:bdr w:val="none" w:sz="0" w:space="0" w:color="auto"/>
                <w:lang w:eastAsia="es-ES"/>
              </w:rPr>
              <w:t>13.346.294,15</w:t>
            </w:r>
          </w:p>
        </w:tc>
        <w:tc>
          <w:tcPr>
            <w:tcW w:w="1357" w:type="dxa"/>
            <w:tcBorders>
              <w:top w:val="nil"/>
              <w:left w:val="nil"/>
              <w:right w:val="nil"/>
            </w:tcBorders>
            <w:shd w:val="clear" w:color="auto" w:fill="auto"/>
            <w:vAlign w:val="center"/>
            <w:hideMark/>
          </w:tcPr>
          <w:p w14:paraId="2C6802D7" w14:textId="66D68A5C"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2.119.974,05</w:t>
            </w:r>
          </w:p>
        </w:tc>
      </w:tr>
      <w:tr w:rsidR="000D720C" w:rsidRPr="00484275" w14:paraId="2733E43C" w14:textId="77777777" w:rsidTr="000D720C">
        <w:trPr>
          <w:trHeight w:val="227"/>
        </w:trPr>
        <w:tc>
          <w:tcPr>
            <w:tcW w:w="5199" w:type="dxa"/>
            <w:tcBorders>
              <w:top w:val="nil"/>
              <w:left w:val="nil"/>
              <w:bottom w:val="single" w:sz="4" w:space="0" w:color="auto"/>
              <w:right w:val="nil"/>
            </w:tcBorders>
            <w:shd w:val="clear" w:color="auto" w:fill="auto"/>
            <w:noWrap/>
            <w:vAlign w:val="center"/>
            <w:hideMark/>
          </w:tcPr>
          <w:p w14:paraId="4CD5BBA4"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Efectivo o equivalentes al final del ejercicio</w:t>
            </w:r>
          </w:p>
        </w:tc>
        <w:tc>
          <w:tcPr>
            <w:tcW w:w="824" w:type="dxa"/>
            <w:tcBorders>
              <w:top w:val="nil"/>
              <w:left w:val="nil"/>
              <w:bottom w:val="single" w:sz="4" w:space="0" w:color="auto"/>
              <w:right w:val="nil"/>
            </w:tcBorders>
            <w:shd w:val="clear" w:color="auto" w:fill="auto"/>
            <w:noWrap/>
            <w:vAlign w:val="center"/>
            <w:hideMark/>
          </w:tcPr>
          <w:p w14:paraId="3E8C6CE7"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484275">
              <w:rPr>
                <w:rFonts w:eastAsia="Times New Roman"/>
                <w:color w:val="auto"/>
                <w:sz w:val="16"/>
                <w:szCs w:val="16"/>
                <w:bdr w:val="none" w:sz="0" w:space="0" w:color="auto"/>
                <w:lang w:eastAsia="es-ES"/>
              </w:rPr>
              <w:t> </w:t>
            </w:r>
          </w:p>
        </w:tc>
        <w:tc>
          <w:tcPr>
            <w:tcW w:w="644" w:type="dxa"/>
            <w:tcBorders>
              <w:top w:val="nil"/>
              <w:left w:val="nil"/>
              <w:bottom w:val="single" w:sz="4" w:space="0" w:color="auto"/>
              <w:right w:val="nil"/>
            </w:tcBorders>
            <w:shd w:val="clear" w:color="auto" w:fill="auto"/>
            <w:noWrap/>
            <w:vAlign w:val="center"/>
            <w:hideMark/>
          </w:tcPr>
          <w:p w14:paraId="2C3AAA18" w14:textId="77777777"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70" w:type="dxa"/>
            <w:tcBorders>
              <w:top w:val="nil"/>
              <w:left w:val="nil"/>
              <w:bottom w:val="single" w:sz="4" w:space="0" w:color="auto"/>
              <w:right w:val="nil"/>
            </w:tcBorders>
            <w:shd w:val="clear" w:color="auto" w:fill="auto"/>
            <w:vAlign w:val="center"/>
          </w:tcPr>
          <w:p w14:paraId="619C1BD4" w14:textId="4F284225"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14.492.095,98</w:t>
            </w:r>
          </w:p>
        </w:tc>
        <w:tc>
          <w:tcPr>
            <w:tcW w:w="1357" w:type="dxa"/>
            <w:tcBorders>
              <w:top w:val="nil"/>
              <w:left w:val="nil"/>
              <w:bottom w:val="single" w:sz="4" w:space="0" w:color="auto"/>
              <w:right w:val="nil"/>
            </w:tcBorders>
            <w:shd w:val="clear" w:color="auto" w:fill="auto"/>
            <w:vAlign w:val="center"/>
            <w:hideMark/>
          </w:tcPr>
          <w:p w14:paraId="3CE48E4D" w14:textId="1A1721FB" w:rsidR="000D720C" w:rsidRPr="00484275" w:rsidRDefault="000D720C" w:rsidP="000D720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13.346.294,15</w:t>
            </w:r>
          </w:p>
        </w:tc>
      </w:tr>
    </w:tbl>
    <w:p w14:paraId="156AA5ED" w14:textId="77777777" w:rsidR="00052BF5" w:rsidRDefault="006220A2" w:rsidP="002E3C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40" w:lineRule="exact"/>
        <w:jc w:val="center"/>
        <w:outlineLvl w:val="0"/>
        <w:rPr>
          <w:i/>
          <w:iCs/>
          <w:sz w:val="16"/>
          <w:szCs w:val="18"/>
        </w:rPr>
      </w:pPr>
      <w:r w:rsidRPr="0083433F">
        <w:rPr>
          <w:i/>
          <w:iCs/>
          <w:sz w:val="16"/>
          <w:szCs w:val="18"/>
        </w:rPr>
        <w:t xml:space="preserve">Las Cuentas Anuales de la Sociedad, que forman una sola unidad, comprenden este Estado de Flujos de Efectivo, el Balance, la Cuenta de Pérdidas y Ganancias, el Estado de Cambios en el Patrimonio Neto adjuntos y </w:t>
      </w:r>
    </w:p>
    <w:p w14:paraId="25F16245" w14:textId="3F254F94" w:rsidR="0071126B" w:rsidRPr="0083433F" w:rsidRDefault="006220A2" w:rsidP="002E3C11">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40" w:lineRule="exact"/>
        <w:jc w:val="center"/>
        <w:outlineLvl w:val="0"/>
        <w:rPr>
          <w:b/>
          <w:snapToGrid w:val="0"/>
          <w:sz w:val="18"/>
        </w:rPr>
      </w:pPr>
      <w:r w:rsidRPr="0083433F">
        <w:rPr>
          <w:i/>
          <w:iCs/>
          <w:sz w:val="16"/>
          <w:szCs w:val="18"/>
        </w:rPr>
        <w:t>la Memor</w:t>
      </w:r>
      <w:r w:rsidR="002B673F" w:rsidRPr="0083433F">
        <w:rPr>
          <w:i/>
          <w:iCs/>
          <w:sz w:val="16"/>
          <w:szCs w:val="18"/>
        </w:rPr>
        <w:t xml:space="preserve">ia Anual adjunta que </w:t>
      </w:r>
      <w:r w:rsidR="002B673F" w:rsidRPr="005462D0">
        <w:rPr>
          <w:i/>
          <w:iCs/>
          <w:sz w:val="16"/>
          <w:szCs w:val="18"/>
        </w:rPr>
        <w:t>consta de 20</w:t>
      </w:r>
      <w:r w:rsidRPr="005462D0">
        <w:rPr>
          <w:i/>
          <w:iCs/>
          <w:sz w:val="16"/>
          <w:szCs w:val="18"/>
        </w:rPr>
        <w:t xml:space="preserve"> Notas</w:t>
      </w:r>
    </w:p>
    <w:p w14:paraId="3853A73E" w14:textId="77777777" w:rsidR="0071126B" w:rsidRPr="0083433F" w:rsidRDefault="0071126B" w:rsidP="002E3C11">
      <w:pPr>
        <w:spacing w:line="240" w:lineRule="exact"/>
        <w:jc w:val="center"/>
        <w:rPr>
          <w:sz w:val="20"/>
        </w:rPr>
        <w:sectPr w:rsidR="0071126B" w:rsidRPr="0083433F" w:rsidSect="002E3C11">
          <w:pgSz w:w="11900" w:h="16840" w:code="9"/>
          <w:pgMar w:top="1985" w:right="1134" w:bottom="1701" w:left="1701" w:header="1077" w:footer="680" w:gutter="0"/>
          <w:pgNumType w:start="1"/>
          <w:cols w:space="708"/>
          <w:docGrid w:linePitch="360"/>
        </w:sectPr>
      </w:pPr>
    </w:p>
    <w:p w14:paraId="7C43B582" w14:textId="77777777" w:rsidR="006220A2" w:rsidRPr="006579C4" w:rsidRDefault="006220A2" w:rsidP="007C7F1C">
      <w:pPr>
        <w:ind w:left="426"/>
        <w:jc w:val="center"/>
        <w:rPr>
          <w:b/>
          <w:color w:val="auto"/>
          <w:sz w:val="28"/>
          <w:szCs w:val="28"/>
        </w:rPr>
      </w:pPr>
      <w:r w:rsidRPr="006579C4">
        <w:rPr>
          <w:b/>
          <w:color w:val="auto"/>
          <w:sz w:val="28"/>
          <w:szCs w:val="28"/>
        </w:rPr>
        <w:lastRenderedPageBreak/>
        <w:t>PROMOTUR</w:t>
      </w:r>
      <w:r w:rsidR="00FF5498" w:rsidRPr="006579C4">
        <w:rPr>
          <w:b/>
          <w:color w:val="auto"/>
          <w:sz w:val="28"/>
          <w:szCs w:val="28"/>
        </w:rPr>
        <w:t xml:space="preserve"> TURISMO CANARIAS</w:t>
      </w:r>
      <w:r w:rsidRPr="006579C4">
        <w:rPr>
          <w:b/>
          <w:color w:val="auto"/>
          <w:sz w:val="28"/>
          <w:szCs w:val="28"/>
        </w:rPr>
        <w:t xml:space="preserve"> S.A.</w:t>
      </w:r>
    </w:p>
    <w:p w14:paraId="4C974113" w14:textId="77777777" w:rsidR="006220A2" w:rsidRPr="006579C4" w:rsidRDefault="006220A2" w:rsidP="006220A2">
      <w:pPr>
        <w:jc w:val="center"/>
        <w:rPr>
          <w:b/>
          <w:color w:val="auto"/>
          <w:sz w:val="28"/>
          <w:szCs w:val="28"/>
        </w:rPr>
      </w:pPr>
    </w:p>
    <w:p w14:paraId="61A851B0" w14:textId="5FC1AC4B" w:rsidR="006220A2" w:rsidRPr="006579C4" w:rsidRDefault="006220A2" w:rsidP="006220A2">
      <w:pPr>
        <w:jc w:val="center"/>
        <w:rPr>
          <w:b/>
          <w:color w:val="auto"/>
          <w:sz w:val="28"/>
          <w:szCs w:val="28"/>
        </w:rPr>
      </w:pPr>
      <w:r w:rsidRPr="006579C4">
        <w:rPr>
          <w:b/>
          <w:color w:val="auto"/>
          <w:sz w:val="28"/>
          <w:szCs w:val="28"/>
        </w:rPr>
        <w:t>Memoria del Ejerc</w:t>
      </w:r>
      <w:r w:rsidR="00403F0F" w:rsidRPr="006579C4">
        <w:rPr>
          <w:b/>
          <w:color w:val="auto"/>
          <w:sz w:val="28"/>
          <w:szCs w:val="28"/>
        </w:rPr>
        <w:t>icio 20</w:t>
      </w:r>
      <w:r w:rsidR="00C75886" w:rsidRPr="006579C4">
        <w:rPr>
          <w:b/>
          <w:color w:val="auto"/>
          <w:sz w:val="28"/>
          <w:szCs w:val="28"/>
        </w:rPr>
        <w:t>2</w:t>
      </w:r>
      <w:r w:rsidR="006B7ECA">
        <w:rPr>
          <w:b/>
          <w:color w:val="auto"/>
          <w:sz w:val="28"/>
          <w:szCs w:val="28"/>
        </w:rPr>
        <w:t>1</w:t>
      </w:r>
    </w:p>
    <w:p w14:paraId="1152BA56" w14:textId="168F598E" w:rsidR="006220A2" w:rsidRDefault="006220A2" w:rsidP="006220A2">
      <w:pPr>
        <w:rPr>
          <w:sz w:val="20"/>
        </w:rPr>
      </w:pPr>
    </w:p>
    <w:p w14:paraId="146B6C76" w14:textId="77777777" w:rsidR="00052BF5" w:rsidRPr="0083433F" w:rsidRDefault="00052BF5" w:rsidP="006220A2">
      <w:pPr>
        <w:rPr>
          <w:sz w:val="20"/>
        </w:rPr>
      </w:pPr>
    </w:p>
    <w:p w14:paraId="2DC33036" w14:textId="77777777" w:rsidR="006220A2" w:rsidRPr="0083433F"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83433F">
        <w:rPr>
          <w:b/>
          <w:snapToGrid w:val="0"/>
          <w:sz w:val="22"/>
          <w:szCs w:val="22"/>
        </w:rPr>
        <w:t>Información general</w:t>
      </w:r>
    </w:p>
    <w:p w14:paraId="341D5F96" w14:textId="7454A1E2" w:rsidR="006220A2" w:rsidRPr="0083433F" w:rsidRDefault="006220A2"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83433F">
        <w:rPr>
          <w:snapToGrid w:val="0"/>
          <w:sz w:val="20"/>
          <w:szCs w:val="22"/>
        </w:rPr>
        <w:t xml:space="preserve">El Gobierno de Canarias, en sesión celebrada el día 21 de diciembre de 2004, acordó constituir la Empresa Pública, </w:t>
      </w:r>
      <w:r w:rsidRPr="00063EF4">
        <w:rPr>
          <w:b/>
          <w:bCs/>
          <w:snapToGrid w:val="0"/>
          <w:sz w:val="20"/>
          <w:szCs w:val="22"/>
        </w:rPr>
        <w:t>Promotur Turismo Canarias, S.A</w:t>
      </w:r>
      <w:r w:rsidRPr="00063EF4">
        <w:rPr>
          <w:snapToGrid w:val="0"/>
          <w:sz w:val="20"/>
          <w:szCs w:val="22"/>
        </w:rPr>
        <w:t>.</w:t>
      </w:r>
      <w:r w:rsidRPr="0083433F">
        <w:rPr>
          <w:snapToGrid w:val="0"/>
          <w:sz w:val="20"/>
          <w:szCs w:val="22"/>
        </w:rPr>
        <w:t xml:space="preserve">, Sociedad Unipersonal, </w:t>
      </w:r>
      <w:r w:rsidR="007E7835">
        <w:rPr>
          <w:snapToGrid w:val="0"/>
          <w:sz w:val="20"/>
          <w:szCs w:val="22"/>
        </w:rPr>
        <w:t xml:space="preserve">(en adelante </w:t>
      </w:r>
      <w:r w:rsidR="00052BF5">
        <w:rPr>
          <w:snapToGrid w:val="0"/>
          <w:sz w:val="20"/>
          <w:szCs w:val="22"/>
        </w:rPr>
        <w:t xml:space="preserve">“Promotur” o </w:t>
      </w:r>
      <w:r w:rsidR="007E7835">
        <w:rPr>
          <w:snapToGrid w:val="0"/>
          <w:sz w:val="20"/>
          <w:szCs w:val="22"/>
        </w:rPr>
        <w:t xml:space="preserve">“La Sociedad”) </w:t>
      </w:r>
      <w:r w:rsidRPr="0083433F">
        <w:rPr>
          <w:snapToGrid w:val="0"/>
          <w:sz w:val="20"/>
          <w:szCs w:val="22"/>
        </w:rPr>
        <w:t xml:space="preserve">con un capital social inicial de 600.000,00 euros, suscrito íntegramente por la Comunidad Autónoma de Canarias, y quedando la misma adscrita a la Consejería de Turismo, </w:t>
      </w:r>
      <w:r w:rsidR="00D357B3" w:rsidRPr="0083433F">
        <w:rPr>
          <w:snapToGrid w:val="0"/>
          <w:sz w:val="20"/>
          <w:szCs w:val="22"/>
        </w:rPr>
        <w:t>Industria y Comercio</w:t>
      </w:r>
      <w:r w:rsidRPr="0083433F">
        <w:rPr>
          <w:snapToGrid w:val="0"/>
          <w:sz w:val="20"/>
          <w:szCs w:val="22"/>
        </w:rPr>
        <w:t>.</w:t>
      </w:r>
    </w:p>
    <w:p w14:paraId="65E8BA68" w14:textId="0A10AF0E" w:rsidR="006220A2" w:rsidRPr="0083433F" w:rsidRDefault="006220A2"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83433F">
        <w:rPr>
          <w:snapToGrid w:val="0"/>
          <w:sz w:val="20"/>
          <w:szCs w:val="22"/>
        </w:rPr>
        <w:t xml:space="preserve">Promotur Turismo Canarias, S.A. se constituyó por tiempo indefinido ante el Notario D. Juan Alfonso Cabello Cascajo, el 11 de marzo de 2005, y figura inscrita en el </w:t>
      </w:r>
      <w:smartTag w:uri="urn:schemas-microsoft-com:office:smarttags" w:element="PersonName">
        <w:smartTagPr>
          <w:attr w:name="ProductID" w:val="Registro Mercantil"/>
        </w:smartTagPr>
        <w:r w:rsidRPr="0083433F">
          <w:rPr>
            <w:snapToGrid w:val="0"/>
            <w:sz w:val="20"/>
            <w:szCs w:val="22"/>
          </w:rPr>
          <w:t>Registro Mercantil</w:t>
        </w:r>
      </w:smartTag>
      <w:r w:rsidRPr="0083433F">
        <w:rPr>
          <w:snapToGrid w:val="0"/>
          <w:sz w:val="20"/>
          <w:szCs w:val="22"/>
        </w:rPr>
        <w:t xml:space="preserve"> de la Provincia de Las Palmas, con fecha 25 de julio de 2005. La Sociedad dio comienzo a sus oper</w:t>
      </w:r>
      <w:r w:rsidR="00C75016" w:rsidRPr="0083433F">
        <w:rPr>
          <w:snapToGrid w:val="0"/>
          <w:sz w:val="20"/>
          <w:szCs w:val="22"/>
        </w:rPr>
        <w:t xml:space="preserve">aciones el 11 de marzo de 2005, </w:t>
      </w:r>
      <w:r w:rsidRPr="0083433F">
        <w:rPr>
          <w:snapToGrid w:val="0"/>
          <w:sz w:val="20"/>
          <w:szCs w:val="22"/>
        </w:rPr>
        <w:t xml:space="preserve">domicilio social en la calle Víctor Hugo, </w:t>
      </w:r>
      <w:proofErr w:type="spellStart"/>
      <w:r w:rsidRPr="0083433F">
        <w:rPr>
          <w:snapToGrid w:val="0"/>
          <w:sz w:val="20"/>
          <w:szCs w:val="22"/>
        </w:rPr>
        <w:t>nº</w:t>
      </w:r>
      <w:proofErr w:type="spellEnd"/>
      <w:r w:rsidRPr="0083433F">
        <w:rPr>
          <w:snapToGrid w:val="0"/>
          <w:sz w:val="20"/>
          <w:szCs w:val="22"/>
        </w:rPr>
        <w:t xml:space="preserve"> 60, de Las Palmas de Gran Canaria. </w:t>
      </w:r>
    </w:p>
    <w:p w14:paraId="2C441B79" w14:textId="77777777" w:rsidR="00CA02DE" w:rsidRPr="0083433F" w:rsidRDefault="00D51508"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83433F">
        <w:rPr>
          <w:snapToGrid w:val="0"/>
          <w:sz w:val="20"/>
          <w:szCs w:val="22"/>
        </w:rPr>
        <w:t>La Sociedad cambia su domicilio social mediante escritura del 17 de octubre de 2019 al Edi</w:t>
      </w:r>
      <w:r w:rsidR="00CA02DE" w:rsidRPr="0083433F">
        <w:rPr>
          <w:snapToGrid w:val="0"/>
          <w:sz w:val="20"/>
          <w:szCs w:val="22"/>
        </w:rPr>
        <w:t xml:space="preserve">ficio </w:t>
      </w:r>
      <w:proofErr w:type="spellStart"/>
      <w:r w:rsidR="00CA02DE" w:rsidRPr="0083433F">
        <w:rPr>
          <w:snapToGrid w:val="0"/>
          <w:sz w:val="20"/>
          <w:szCs w:val="22"/>
        </w:rPr>
        <w:t>Woermann</w:t>
      </w:r>
      <w:proofErr w:type="spellEnd"/>
      <w:r w:rsidR="00CA02DE" w:rsidRPr="0083433F">
        <w:rPr>
          <w:snapToGrid w:val="0"/>
          <w:sz w:val="20"/>
          <w:szCs w:val="22"/>
        </w:rPr>
        <w:t xml:space="preserve"> en la calle Eduardo Ben</w:t>
      </w:r>
      <w:r w:rsidR="00744388" w:rsidRPr="0083433F">
        <w:rPr>
          <w:snapToGrid w:val="0"/>
          <w:sz w:val="20"/>
          <w:szCs w:val="22"/>
        </w:rPr>
        <w:t>o</w:t>
      </w:r>
      <w:r w:rsidR="00CA02DE" w:rsidRPr="0083433F">
        <w:rPr>
          <w:snapToGrid w:val="0"/>
          <w:sz w:val="20"/>
          <w:szCs w:val="22"/>
        </w:rPr>
        <w:t xml:space="preserve">t, </w:t>
      </w:r>
      <w:proofErr w:type="spellStart"/>
      <w:r w:rsidR="00CA02DE" w:rsidRPr="0083433F">
        <w:rPr>
          <w:snapToGrid w:val="0"/>
          <w:sz w:val="20"/>
          <w:szCs w:val="22"/>
        </w:rPr>
        <w:t>nº</w:t>
      </w:r>
      <w:proofErr w:type="spellEnd"/>
      <w:r w:rsidR="00CA02DE" w:rsidRPr="0083433F">
        <w:rPr>
          <w:snapToGrid w:val="0"/>
          <w:sz w:val="20"/>
          <w:szCs w:val="22"/>
        </w:rPr>
        <w:t xml:space="preserve"> 35,</w:t>
      </w:r>
      <w:r w:rsidRPr="0083433F">
        <w:rPr>
          <w:snapToGrid w:val="0"/>
          <w:sz w:val="20"/>
          <w:szCs w:val="22"/>
        </w:rPr>
        <w:t xml:space="preserve"> bajo,</w:t>
      </w:r>
      <w:r w:rsidR="00CA02DE" w:rsidRPr="0083433F">
        <w:rPr>
          <w:snapToGrid w:val="0"/>
          <w:sz w:val="20"/>
          <w:szCs w:val="22"/>
        </w:rPr>
        <w:t xml:space="preserve"> de Las Palmas de Gran Canaria.</w:t>
      </w:r>
    </w:p>
    <w:p w14:paraId="4BDEB5D1" w14:textId="77777777" w:rsidR="00CA02DE" w:rsidRPr="0083433F" w:rsidRDefault="006220A2"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83433F">
        <w:rPr>
          <w:snapToGrid w:val="0"/>
          <w:sz w:val="20"/>
          <w:szCs w:val="22"/>
        </w:rPr>
        <w:t>La Sociedad tiene por objeto social:</w:t>
      </w:r>
    </w:p>
    <w:p w14:paraId="39F1E9FE" w14:textId="77777777" w:rsidR="006220A2" w:rsidRPr="0083433F" w:rsidRDefault="006220A2"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83433F">
        <w:rPr>
          <w:snapToGrid w:val="0"/>
          <w:sz w:val="20"/>
          <w:szCs w:val="22"/>
        </w:rPr>
        <w:t>La realización de las actividades relacionadas con el estudio, promoción, fomento, difusión y comercialización de los distintos productos y servicios turísticos de Canarias y potenciación de la oferta turística del archipiélago.</w:t>
      </w:r>
    </w:p>
    <w:p w14:paraId="10AA91AA" w14:textId="77777777" w:rsidR="006220A2" w:rsidRPr="0083433F" w:rsidRDefault="006220A2"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83433F">
        <w:rPr>
          <w:snapToGrid w:val="0"/>
          <w:sz w:val="20"/>
          <w:szCs w:val="22"/>
        </w:rPr>
        <w:t>Las actividades integrantes del objeto social podrán ser desarrolladas, total o parcialmente, de modo indirecto, mediante la titularidad de acciones o participaciones mercantiles con objeto idéntico o análogo.</w:t>
      </w:r>
    </w:p>
    <w:p w14:paraId="7AA2D8CF" w14:textId="77777777" w:rsidR="006220A2" w:rsidRPr="0083433F" w:rsidRDefault="006220A2" w:rsidP="00C758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snapToGrid w:val="0"/>
          <w:sz w:val="20"/>
          <w:szCs w:val="22"/>
        </w:rPr>
      </w:pPr>
    </w:p>
    <w:p w14:paraId="546463ED" w14:textId="77777777" w:rsidR="006220A2" w:rsidRPr="0083433F" w:rsidRDefault="006220A2" w:rsidP="00C758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snapToGrid w:val="0"/>
          <w:sz w:val="20"/>
          <w:szCs w:val="22"/>
        </w:rPr>
      </w:pPr>
    </w:p>
    <w:p w14:paraId="2A5A5623" w14:textId="77777777" w:rsidR="006220A2" w:rsidRPr="0083433F"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83433F">
        <w:rPr>
          <w:b/>
          <w:snapToGrid w:val="0"/>
          <w:sz w:val="22"/>
          <w:szCs w:val="22"/>
        </w:rPr>
        <w:t>Bases de presentación</w:t>
      </w:r>
    </w:p>
    <w:p w14:paraId="66A74ACA" w14:textId="10D41C59" w:rsidR="006220A2" w:rsidRPr="00052BF5" w:rsidRDefault="006220A2" w:rsidP="00052BF5">
      <w:pPr>
        <w:pStyle w:val="Prrafodelista"/>
        <w:widowControl w:val="0"/>
        <w:numPr>
          <w:ilvl w:val="3"/>
          <w:numId w:val="35"/>
        </w:numPr>
        <w:tabs>
          <w:tab w:val="left" w:pos="284"/>
        </w:tabs>
        <w:spacing w:before="120"/>
        <w:ind w:left="284"/>
        <w:rPr>
          <w:rFonts w:ascii="Arial" w:hAnsi="Arial" w:cs="Arial"/>
          <w:snapToGrid w:val="0"/>
          <w:sz w:val="20"/>
          <w:szCs w:val="22"/>
        </w:rPr>
      </w:pPr>
      <w:r w:rsidRPr="00052BF5">
        <w:rPr>
          <w:rFonts w:ascii="Arial" w:hAnsi="Arial" w:cs="Arial"/>
          <w:snapToGrid w:val="0"/>
          <w:sz w:val="20"/>
          <w:szCs w:val="22"/>
          <w:u w:val="single"/>
        </w:rPr>
        <w:t>Imagen fiel</w:t>
      </w:r>
    </w:p>
    <w:p w14:paraId="3AED0B90" w14:textId="56354D56" w:rsidR="006220A2" w:rsidRPr="0083433F" w:rsidRDefault="006220A2"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83433F">
        <w:rPr>
          <w:snapToGrid w:val="0"/>
          <w:sz w:val="20"/>
          <w:szCs w:val="22"/>
        </w:rPr>
        <w:t>Las cuentas anuales se han preparado a partir de los registros contables de la Sociedad y se presentan de acuerdo con la legislación mercantil vigente y con las normas establecidas en el Plan General de Contabilidad aprobado mediante Real Decret</w:t>
      </w:r>
      <w:r w:rsidRPr="00881880">
        <w:rPr>
          <w:snapToGrid w:val="0"/>
          <w:sz w:val="20"/>
          <w:szCs w:val="22"/>
        </w:rPr>
        <w:t>o 1514/2007</w:t>
      </w:r>
      <w:r w:rsidR="005339D3" w:rsidRPr="00881880">
        <w:rPr>
          <w:snapToGrid w:val="0"/>
          <w:sz w:val="20"/>
          <w:szCs w:val="22"/>
        </w:rPr>
        <w:t>, de 16 de noviembre,</w:t>
      </w:r>
      <w:r w:rsidRPr="00881880">
        <w:rPr>
          <w:snapToGrid w:val="0"/>
          <w:sz w:val="20"/>
          <w:szCs w:val="22"/>
        </w:rPr>
        <w:t xml:space="preserve"> y las modificaciones incorporadas a éste mediante RD 1159/2010,</w:t>
      </w:r>
      <w:r w:rsidR="004C62E4" w:rsidRPr="00881880">
        <w:rPr>
          <w:snapToGrid w:val="0"/>
          <w:sz w:val="20"/>
          <w:szCs w:val="22"/>
        </w:rPr>
        <w:t xml:space="preserve"> de 17 de septiembre y del Real Decreto 1/2021, del 12 de enero</w:t>
      </w:r>
      <w:r w:rsidR="00667463" w:rsidRPr="00881880">
        <w:rPr>
          <w:snapToGrid w:val="0"/>
          <w:sz w:val="20"/>
          <w:szCs w:val="22"/>
        </w:rPr>
        <w:t>, así como el resto de la legislación mercantil y otra normativa vigente aplicable,</w:t>
      </w:r>
      <w:r w:rsidRPr="00881880">
        <w:rPr>
          <w:snapToGrid w:val="0"/>
          <w:sz w:val="20"/>
          <w:szCs w:val="22"/>
        </w:rPr>
        <w:t xml:space="preserve"> con objeto de mostrar la imagen fiel del patrimonio, de la situación financiera y de los resultados de la Sociedad, así como la veracidad de los flujos de efectivo incorporados en el estado de flujos de efectivo.</w:t>
      </w:r>
    </w:p>
    <w:p w14:paraId="32E16788" w14:textId="18F00F90" w:rsidR="006220A2" w:rsidRPr="00052BF5" w:rsidRDefault="006220A2" w:rsidP="00052BF5">
      <w:pPr>
        <w:pStyle w:val="Prrafodelista"/>
        <w:widowControl w:val="0"/>
        <w:numPr>
          <w:ilvl w:val="3"/>
          <w:numId w:val="35"/>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t>Aspectos críticos de la valoración y estimación de la incertidumbre</w:t>
      </w:r>
    </w:p>
    <w:p w14:paraId="0C4DAC8B" w14:textId="613B61AA" w:rsidR="006220A2" w:rsidRDefault="006220A2"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83433F">
        <w:rPr>
          <w:snapToGrid w:val="0"/>
          <w:sz w:val="20"/>
          <w:szCs w:val="22"/>
        </w:rPr>
        <w:t>La preparación de las cuentas anuales exige el uso por parte de la Sociedad de ciertas estimaciones y juicios en relación con el futuro que se evalúan continuamente y se basan en la experiencia histórica y otros factores, incluidas las expectativas de sucesos futuros que se creen razonables bajo las circunstancias.</w:t>
      </w:r>
    </w:p>
    <w:p w14:paraId="404D3ACC" w14:textId="77777777" w:rsidR="00C652D8" w:rsidRPr="000A34DD" w:rsidRDefault="00C652D8"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0A34DD">
        <w:rPr>
          <w:snapToGrid w:val="0"/>
          <w:sz w:val="20"/>
          <w:szCs w:val="22"/>
        </w:rPr>
        <w:t>El órgano de administración ha elaborado las presentes cuentas anuales bajo el principio de empresa en funcionamiento, habiendo tenido en consideración la situación actual del COVID-19 así como sus posibles efectos en la economía general y en su caso en particular. Consideran que no existe riesgo de continuidad de la actividad.</w:t>
      </w:r>
    </w:p>
    <w:p w14:paraId="06B51579" w14:textId="0D27EF86" w:rsidR="006220A2" w:rsidRPr="00052BF5" w:rsidRDefault="006220A2" w:rsidP="00052BF5">
      <w:pPr>
        <w:pStyle w:val="Prrafodelista"/>
        <w:widowControl w:val="0"/>
        <w:numPr>
          <w:ilvl w:val="3"/>
          <w:numId w:val="35"/>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lastRenderedPageBreak/>
        <w:tab/>
        <w:t>Vidas útiles de los elementos de inmovilizado material</w:t>
      </w:r>
    </w:p>
    <w:p w14:paraId="6C05815F" w14:textId="77777777" w:rsidR="006220A2" w:rsidRPr="00063EF4" w:rsidRDefault="006220A2"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063EF4">
        <w:rPr>
          <w:snapToGrid w:val="0"/>
          <w:sz w:val="20"/>
          <w:szCs w:val="22"/>
        </w:rPr>
        <w:t>La dirección de la Sociedad determina las vidas útiles estimadas de los elementos de inmovilizado material, con excepción de los terrenos que no se amortizan, calculando la amortización sistemáticamente por el método lineal en función de dicha vida útil estimada, atendiendo a la depreciación efectivamente sufrida por su funcionamiento, uso y disfrute.</w:t>
      </w:r>
    </w:p>
    <w:p w14:paraId="2A40FF1E" w14:textId="0F5D8C4D" w:rsidR="006220A2" w:rsidRPr="00052BF5" w:rsidRDefault="006220A2" w:rsidP="00052BF5">
      <w:pPr>
        <w:pStyle w:val="Prrafodelista"/>
        <w:widowControl w:val="0"/>
        <w:numPr>
          <w:ilvl w:val="3"/>
          <w:numId w:val="35"/>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t>Agrupación de partidas</w:t>
      </w:r>
    </w:p>
    <w:p w14:paraId="1A87E111" w14:textId="6E015C3A" w:rsidR="00C75886" w:rsidRPr="00063EF4" w:rsidRDefault="006220A2"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063EF4">
        <w:rPr>
          <w:snapToGrid w:val="0"/>
          <w:sz w:val="20"/>
          <w:szCs w:val="22"/>
        </w:rPr>
        <w:t>A efectos de facilitar la comprensión del balance, de la cuenta de pérdidas y ganancias, del estado de cambios en el patrimonio neto y del estado de flujos de efectivo, estos estados se presentan de forma agrupada, recogiéndose los análisis requeridos en las notas correspondientes de la memoria.</w:t>
      </w:r>
    </w:p>
    <w:p w14:paraId="453C067F" w14:textId="360F60E8" w:rsidR="001B7D27" w:rsidRPr="00052BF5" w:rsidRDefault="001B7D27" w:rsidP="00052BF5">
      <w:pPr>
        <w:pStyle w:val="Prrafodelista"/>
        <w:widowControl w:val="0"/>
        <w:numPr>
          <w:ilvl w:val="3"/>
          <w:numId w:val="35"/>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t xml:space="preserve">Cambios en criterios contables </w:t>
      </w:r>
    </w:p>
    <w:p w14:paraId="33FA19F6" w14:textId="278DF781" w:rsidR="001B7D27" w:rsidRPr="00063EF4" w:rsidRDefault="001B7D27"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063EF4">
        <w:rPr>
          <w:snapToGrid w:val="0"/>
          <w:sz w:val="20"/>
          <w:szCs w:val="22"/>
        </w:rPr>
        <w:t>No se han realizado cambios en criterios contables propios, ni tampoco originados por la adaptación de la contabilidad al Nuevo Plan General Contable.</w:t>
      </w:r>
    </w:p>
    <w:p w14:paraId="48F0F32D" w14:textId="06B9BE20" w:rsidR="00DE320C" w:rsidRPr="00052BF5" w:rsidRDefault="004269B8" w:rsidP="00052BF5">
      <w:pPr>
        <w:pStyle w:val="Prrafodelista"/>
        <w:widowControl w:val="0"/>
        <w:numPr>
          <w:ilvl w:val="3"/>
          <w:numId w:val="35"/>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t>C</w:t>
      </w:r>
      <w:r w:rsidR="00725A7D" w:rsidRPr="00052BF5">
        <w:rPr>
          <w:rFonts w:ascii="Arial" w:hAnsi="Arial" w:cs="Arial"/>
          <w:snapToGrid w:val="0"/>
          <w:sz w:val="20"/>
          <w:szCs w:val="22"/>
          <w:u w:val="single"/>
        </w:rPr>
        <w:t>orrección de errores</w:t>
      </w:r>
    </w:p>
    <w:p w14:paraId="5634A51F" w14:textId="0E872F8A" w:rsidR="00725A7D" w:rsidRPr="00063EF4" w:rsidRDefault="00725A7D"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063EF4">
        <w:rPr>
          <w:snapToGrid w:val="0"/>
          <w:sz w:val="20"/>
          <w:szCs w:val="22"/>
        </w:rPr>
        <w:t xml:space="preserve">En el transcurso del ejercicio </w:t>
      </w:r>
      <w:r w:rsidR="000A34DD" w:rsidRPr="00063EF4">
        <w:rPr>
          <w:snapToGrid w:val="0"/>
          <w:sz w:val="20"/>
          <w:szCs w:val="22"/>
        </w:rPr>
        <w:t xml:space="preserve">2021 y 2020 </w:t>
      </w:r>
      <w:r w:rsidRPr="00063EF4">
        <w:rPr>
          <w:snapToGrid w:val="0"/>
          <w:sz w:val="20"/>
          <w:szCs w:val="22"/>
        </w:rPr>
        <w:t>no se han detectado errores que hayan motivado la realización de ningún tipo de corrección patrimonial.</w:t>
      </w:r>
    </w:p>
    <w:p w14:paraId="6EA39615" w14:textId="1BF9028D" w:rsidR="003214B8" w:rsidRPr="00052BF5" w:rsidRDefault="003214B8" w:rsidP="00052BF5">
      <w:pPr>
        <w:pStyle w:val="Prrafodelista"/>
        <w:widowControl w:val="0"/>
        <w:numPr>
          <w:ilvl w:val="3"/>
          <w:numId w:val="35"/>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t>Responsabilidad de la información y estimaciones realizadas</w:t>
      </w:r>
    </w:p>
    <w:p w14:paraId="14C199DE" w14:textId="77777777" w:rsidR="003214B8" w:rsidRPr="00063EF4" w:rsidRDefault="003214B8"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063EF4">
        <w:rPr>
          <w:snapToGrid w:val="0"/>
          <w:sz w:val="20"/>
          <w:szCs w:val="22"/>
        </w:rPr>
        <w:t xml:space="preserve">La preparación de las cuentas anuales exige que se hagan juicios de valor, estimaciones y asunciones que afectan a la aplicación de políticas contables y los saldos de activos, pasivos, ingresos y gastos. Las estimaciones y las asunciones relacionadas están basadas en la experiencia histórica y en otros factores diversos que son entendidos como razonables de acuerdo con las circunstancias. Las estimaciones y asunciones respectivas son revisadas de forma continuada; los efectos de las revisiones de las estimaciones contables son reconocidos en el periodo en el cual se realizan, si éstas afectan sólo a ese periodo, o en el periodo de la revisión y futuros, si la revisión les afecta. </w:t>
      </w:r>
    </w:p>
    <w:p w14:paraId="322E2C65" w14:textId="048602F0" w:rsidR="003214B8" w:rsidRPr="00052BF5" w:rsidRDefault="003214B8" w:rsidP="00052BF5">
      <w:pPr>
        <w:pStyle w:val="Prrafodelista"/>
        <w:widowControl w:val="0"/>
        <w:numPr>
          <w:ilvl w:val="3"/>
          <w:numId w:val="35"/>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t>Comparación de la información</w:t>
      </w:r>
    </w:p>
    <w:p w14:paraId="3069FF93" w14:textId="77777777" w:rsidR="003214B8" w:rsidRPr="00052BF5" w:rsidRDefault="003214B8"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052BF5">
        <w:rPr>
          <w:snapToGrid w:val="0"/>
          <w:sz w:val="20"/>
          <w:szCs w:val="22"/>
        </w:rPr>
        <w:t>El Real Decreto 1/2021, de 12 de enero, por el que se modifica el Plan General de Contabilidad aprobado por el Real Decreto 1514/2007, de 16 de noviembre, introduce cambios para adaptar las normas de registro y valoración relativas a “Instrumentos financieros” e “Ingresos por ventas y prestación de servicios” a la NIIF-UE 9 y a la NIIF-UE 15, respectivamente. Adicionalmente, la Resolución de 10 de febrero de 2021 del Instituto de Contabilidad y Auditoría de Cuentas, dicta normas de registro, valoración y elaboración de las cuentas anuales para el reconocimiento de ingresos por la entrega de bienes y la prestación de servicios. La fecha de primera aplicación de los nuevos criterios es el 1 de enero de 2021.</w:t>
      </w:r>
    </w:p>
    <w:p w14:paraId="28D7F961" w14:textId="77777777" w:rsidR="003214B8" w:rsidRPr="00052BF5" w:rsidRDefault="003214B8"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052BF5">
        <w:rPr>
          <w:snapToGrid w:val="0"/>
          <w:sz w:val="20"/>
          <w:szCs w:val="22"/>
        </w:rPr>
        <w:t xml:space="preserve">La Sociedad, en la primera aplicación de esta norma a 1 de enero de 2021 ha optado por no </w:t>
      </w:r>
      <w:proofErr w:type="spellStart"/>
      <w:r w:rsidRPr="00052BF5">
        <w:rPr>
          <w:snapToGrid w:val="0"/>
          <w:sz w:val="20"/>
          <w:szCs w:val="22"/>
        </w:rPr>
        <w:t>reexpresar</w:t>
      </w:r>
      <w:proofErr w:type="spellEnd"/>
      <w:r w:rsidRPr="00052BF5">
        <w:rPr>
          <w:snapToGrid w:val="0"/>
          <w:sz w:val="20"/>
          <w:szCs w:val="22"/>
        </w:rPr>
        <w:t xml:space="preserve"> la información comparativa para el ejercicio 2020, optando por la aplicación prospectiva para la clasificación de instrumentos financieros.</w:t>
      </w:r>
    </w:p>
    <w:p w14:paraId="4DE8E249" w14:textId="77777777" w:rsidR="003214B8" w:rsidRPr="00063EF4" w:rsidRDefault="003214B8" w:rsidP="00063EF4">
      <w:pPr>
        <w:keepNext/>
        <w:keepLines/>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0" w:lineRule="exact"/>
        <w:ind w:left="284"/>
        <w:jc w:val="both"/>
        <w:outlineLvl w:val="9"/>
        <w:rPr>
          <w:snapToGrid w:val="0"/>
          <w:sz w:val="20"/>
          <w:szCs w:val="22"/>
        </w:rPr>
      </w:pPr>
      <w:r w:rsidRPr="00052BF5">
        <w:rPr>
          <w:snapToGrid w:val="0"/>
          <w:sz w:val="20"/>
          <w:szCs w:val="22"/>
        </w:rPr>
        <w:lastRenderedPageBreak/>
        <w:t>La información del ejercicio 2020 de los instrumentos financieros se ha reclasificado a efectos</w:t>
      </w:r>
      <w:r w:rsidRPr="00063EF4">
        <w:rPr>
          <w:snapToGrid w:val="0"/>
          <w:sz w:val="20"/>
          <w:szCs w:val="22"/>
        </w:rPr>
        <w:t xml:space="preserve"> comparativos de acuerdo con las nuevas categorías aprobadas.</w:t>
      </w:r>
    </w:p>
    <w:tbl>
      <w:tblPr>
        <w:tblW w:w="5000" w:type="pct"/>
        <w:tblCellMar>
          <w:left w:w="70" w:type="dxa"/>
          <w:right w:w="70" w:type="dxa"/>
        </w:tblCellMar>
        <w:tblLook w:val="04A0" w:firstRow="1" w:lastRow="0" w:firstColumn="1" w:lastColumn="0" w:noHBand="0" w:noVBand="1"/>
      </w:tblPr>
      <w:tblGrid>
        <w:gridCol w:w="3251"/>
        <w:gridCol w:w="1135"/>
        <w:gridCol w:w="1163"/>
        <w:gridCol w:w="3212"/>
      </w:tblGrid>
      <w:tr w:rsidR="00116AEF" w:rsidRPr="00910B13" w14:paraId="7D0F8622" w14:textId="77777777" w:rsidTr="00063EF4">
        <w:trPr>
          <w:trHeight w:val="230"/>
        </w:trPr>
        <w:tc>
          <w:tcPr>
            <w:tcW w:w="2503" w:type="pct"/>
            <w:gridSpan w:val="2"/>
            <w:tcBorders>
              <w:top w:val="single" w:sz="8" w:space="0" w:color="auto"/>
              <w:left w:val="single" w:sz="8" w:space="0" w:color="auto"/>
              <w:bottom w:val="nil"/>
              <w:right w:val="nil"/>
            </w:tcBorders>
            <w:shd w:val="clear" w:color="000000" w:fill="D9D9D9"/>
            <w:noWrap/>
            <w:vAlign w:val="center"/>
            <w:hideMark/>
          </w:tcPr>
          <w:p w14:paraId="29228855" w14:textId="77777777" w:rsidR="00116AEF" w:rsidRPr="00910B13" w:rsidRDefault="00116AEF"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10B13">
              <w:rPr>
                <w:rFonts w:eastAsia="Times New Roman"/>
                <w:b/>
                <w:bCs/>
                <w:sz w:val="18"/>
                <w:szCs w:val="18"/>
                <w:bdr w:val="none" w:sz="0" w:space="0" w:color="auto"/>
                <w:lang w:eastAsia="es-ES"/>
              </w:rPr>
              <w:t>31 de diciembre de 2020</w:t>
            </w:r>
          </w:p>
        </w:tc>
        <w:tc>
          <w:tcPr>
            <w:tcW w:w="2497" w:type="pct"/>
            <w:gridSpan w:val="2"/>
            <w:tcBorders>
              <w:top w:val="single" w:sz="8" w:space="0" w:color="auto"/>
              <w:left w:val="nil"/>
              <w:bottom w:val="nil"/>
              <w:right w:val="single" w:sz="8" w:space="0" w:color="000000"/>
            </w:tcBorders>
            <w:shd w:val="clear" w:color="000000" w:fill="D9D9D9"/>
            <w:noWrap/>
            <w:vAlign w:val="center"/>
            <w:hideMark/>
          </w:tcPr>
          <w:p w14:paraId="2CD4DC2D" w14:textId="77777777" w:rsidR="00116AEF" w:rsidRPr="00910B13" w:rsidRDefault="00116AEF"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10B13">
              <w:rPr>
                <w:rFonts w:eastAsia="Times New Roman"/>
                <w:b/>
                <w:bCs/>
                <w:color w:val="auto"/>
                <w:sz w:val="18"/>
                <w:szCs w:val="18"/>
                <w:bdr w:val="none" w:sz="0" w:space="0" w:color="auto"/>
                <w:lang w:eastAsia="es-ES"/>
              </w:rPr>
              <w:t>1 de enero de 2021</w:t>
            </w:r>
          </w:p>
        </w:tc>
      </w:tr>
      <w:tr w:rsidR="00116AEF" w:rsidRPr="00910B13" w14:paraId="6CCF6115" w14:textId="77777777" w:rsidTr="00063EF4">
        <w:trPr>
          <w:trHeight w:val="230"/>
        </w:trPr>
        <w:tc>
          <w:tcPr>
            <w:tcW w:w="1855" w:type="pct"/>
            <w:tcBorders>
              <w:top w:val="nil"/>
              <w:left w:val="single" w:sz="8" w:space="0" w:color="auto"/>
              <w:bottom w:val="nil"/>
              <w:right w:val="nil"/>
            </w:tcBorders>
            <w:shd w:val="clear" w:color="000000" w:fill="D9D9D9"/>
            <w:noWrap/>
            <w:vAlign w:val="center"/>
            <w:hideMark/>
          </w:tcPr>
          <w:p w14:paraId="5799B3BF" w14:textId="77777777" w:rsidR="00116AEF" w:rsidRPr="00910B13" w:rsidRDefault="00116AEF"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10B13">
              <w:rPr>
                <w:rFonts w:eastAsia="Times New Roman"/>
                <w:b/>
                <w:bCs/>
                <w:color w:val="auto"/>
                <w:sz w:val="18"/>
                <w:szCs w:val="18"/>
                <w:bdr w:val="none" w:sz="0" w:space="0" w:color="auto"/>
                <w:lang w:eastAsia="es-ES"/>
              </w:rPr>
              <w:t>Concepto</w:t>
            </w:r>
          </w:p>
        </w:tc>
        <w:tc>
          <w:tcPr>
            <w:tcW w:w="648" w:type="pct"/>
            <w:tcBorders>
              <w:top w:val="nil"/>
              <w:left w:val="nil"/>
              <w:bottom w:val="nil"/>
              <w:right w:val="nil"/>
            </w:tcBorders>
            <w:shd w:val="clear" w:color="000000" w:fill="D9D9D9"/>
            <w:noWrap/>
            <w:vAlign w:val="center"/>
            <w:hideMark/>
          </w:tcPr>
          <w:p w14:paraId="3E9187B8" w14:textId="77777777" w:rsidR="00116AEF" w:rsidRPr="00910B13" w:rsidRDefault="00116AEF"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10B13">
              <w:rPr>
                <w:rFonts w:eastAsia="Times New Roman"/>
                <w:b/>
                <w:bCs/>
                <w:color w:val="auto"/>
                <w:sz w:val="18"/>
                <w:szCs w:val="18"/>
                <w:bdr w:val="none" w:sz="0" w:space="0" w:color="auto"/>
                <w:lang w:eastAsia="es-ES"/>
              </w:rPr>
              <w:t>Importe</w:t>
            </w:r>
          </w:p>
        </w:tc>
        <w:tc>
          <w:tcPr>
            <w:tcW w:w="664" w:type="pct"/>
            <w:tcBorders>
              <w:top w:val="nil"/>
              <w:left w:val="nil"/>
              <w:bottom w:val="nil"/>
              <w:right w:val="nil"/>
            </w:tcBorders>
            <w:shd w:val="clear" w:color="000000" w:fill="D9D9D9"/>
            <w:noWrap/>
            <w:vAlign w:val="center"/>
            <w:hideMark/>
          </w:tcPr>
          <w:p w14:paraId="701075CF" w14:textId="77777777" w:rsidR="00116AEF" w:rsidRPr="00910B13" w:rsidRDefault="00116AEF"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10B13">
              <w:rPr>
                <w:rFonts w:eastAsia="Times New Roman"/>
                <w:b/>
                <w:bCs/>
                <w:color w:val="auto"/>
                <w:sz w:val="18"/>
                <w:szCs w:val="18"/>
                <w:bdr w:val="none" w:sz="0" w:space="0" w:color="auto"/>
                <w:lang w:eastAsia="es-ES"/>
              </w:rPr>
              <w:t>Importe</w:t>
            </w:r>
          </w:p>
        </w:tc>
        <w:tc>
          <w:tcPr>
            <w:tcW w:w="1833" w:type="pct"/>
            <w:tcBorders>
              <w:top w:val="nil"/>
              <w:left w:val="nil"/>
              <w:bottom w:val="nil"/>
              <w:right w:val="single" w:sz="8" w:space="0" w:color="auto"/>
            </w:tcBorders>
            <w:shd w:val="clear" w:color="000000" w:fill="D9D9D9"/>
            <w:noWrap/>
            <w:vAlign w:val="center"/>
            <w:hideMark/>
          </w:tcPr>
          <w:p w14:paraId="4284697B" w14:textId="77777777" w:rsidR="00116AEF" w:rsidRPr="00910B13" w:rsidRDefault="00116AEF"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10B13">
              <w:rPr>
                <w:rFonts w:eastAsia="Times New Roman"/>
                <w:b/>
                <w:bCs/>
                <w:color w:val="auto"/>
                <w:sz w:val="18"/>
                <w:szCs w:val="18"/>
                <w:bdr w:val="none" w:sz="0" w:space="0" w:color="auto"/>
                <w:lang w:eastAsia="es-ES"/>
              </w:rPr>
              <w:t>Concepto</w:t>
            </w:r>
          </w:p>
        </w:tc>
      </w:tr>
      <w:tr w:rsidR="00116AEF" w:rsidRPr="00910B13" w14:paraId="60DDC9A1" w14:textId="77777777" w:rsidTr="00063EF4">
        <w:trPr>
          <w:trHeight w:val="283"/>
        </w:trPr>
        <w:tc>
          <w:tcPr>
            <w:tcW w:w="1855" w:type="pct"/>
            <w:tcBorders>
              <w:top w:val="nil"/>
              <w:left w:val="single" w:sz="8" w:space="0" w:color="auto"/>
              <w:bottom w:val="nil"/>
              <w:right w:val="nil"/>
            </w:tcBorders>
            <w:shd w:val="clear" w:color="auto" w:fill="auto"/>
            <w:noWrap/>
            <w:vAlign w:val="center"/>
            <w:hideMark/>
          </w:tcPr>
          <w:p w14:paraId="6ACC54D1" w14:textId="77777777" w:rsidR="00116AEF" w:rsidRPr="00910B13" w:rsidRDefault="00116AEF"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910B13">
              <w:rPr>
                <w:rFonts w:eastAsia="Times New Roman"/>
                <w:b/>
                <w:bCs/>
                <w:sz w:val="18"/>
                <w:szCs w:val="18"/>
                <w:u w:val="single"/>
                <w:bdr w:val="none" w:sz="0" w:space="0" w:color="auto"/>
                <w:lang w:eastAsia="es-ES"/>
              </w:rPr>
              <w:t>A largo plazo</w:t>
            </w:r>
          </w:p>
        </w:tc>
        <w:tc>
          <w:tcPr>
            <w:tcW w:w="648" w:type="pct"/>
            <w:tcBorders>
              <w:top w:val="nil"/>
              <w:left w:val="nil"/>
              <w:bottom w:val="nil"/>
              <w:right w:val="nil"/>
            </w:tcBorders>
            <w:shd w:val="clear" w:color="auto" w:fill="auto"/>
            <w:noWrap/>
            <w:vAlign w:val="center"/>
            <w:hideMark/>
          </w:tcPr>
          <w:p w14:paraId="3BDECF3C" w14:textId="77777777" w:rsidR="00116AEF" w:rsidRPr="00910B13" w:rsidRDefault="00116AEF"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u w:val="single"/>
                <w:bdr w:val="none" w:sz="0" w:space="0" w:color="auto"/>
                <w:lang w:eastAsia="es-ES"/>
              </w:rPr>
            </w:pPr>
          </w:p>
        </w:tc>
        <w:tc>
          <w:tcPr>
            <w:tcW w:w="664" w:type="pct"/>
            <w:tcBorders>
              <w:top w:val="nil"/>
              <w:left w:val="nil"/>
              <w:bottom w:val="nil"/>
              <w:right w:val="nil"/>
            </w:tcBorders>
            <w:shd w:val="clear" w:color="auto" w:fill="auto"/>
            <w:noWrap/>
            <w:vAlign w:val="center"/>
            <w:hideMark/>
          </w:tcPr>
          <w:p w14:paraId="6DC10DA1" w14:textId="77777777" w:rsidR="00116AEF" w:rsidRPr="00910B13" w:rsidRDefault="00116AEF"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1833" w:type="pct"/>
            <w:tcBorders>
              <w:top w:val="nil"/>
              <w:left w:val="nil"/>
              <w:bottom w:val="nil"/>
              <w:right w:val="single" w:sz="8" w:space="0" w:color="auto"/>
            </w:tcBorders>
            <w:shd w:val="clear" w:color="auto" w:fill="auto"/>
            <w:noWrap/>
            <w:vAlign w:val="center"/>
            <w:hideMark/>
          </w:tcPr>
          <w:p w14:paraId="2234DBB7" w14:textId="77777777" w:rsidR="00116AEF" w:rsidRPr="00910B13" w:rsidRDefault="00116AEF"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 </w:t>
            </w:r>
          </w:p>
        </w:tc>
      </w:tr>
      <w:tr w:rsidR="00350591" w:rsidRPr="00910B13" w14:paraId="24CDE484" w14:textId="77777777" w:rsidTr="00063EF4">
        <w:trPr>
          <w:trHeight w:val="283"/>
        </w:trPr>
        <w:tc>
          <w:tcPr>
            <w:tcW w:w="1855" w:type="pct"/>
            <w:tcBorders>
              <w:top w:val="nil"/>
              <w:left w:val="single" w:sz="8" w:space="0" w:color="auto"/>
              <w:bottom w:val="nil"/>
              <w:right w:val="nil"/>
            </w:tcBorders>
            <w:shd w:val="clear" w:color="auto" w:fill="auto"/>
            <w:noWrap/>
            <w:vAlign w:val="center"/>
            <w:hideMark/>
          </w:tcPr>
          <w:p w14:paraId="378D10A3"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 xml:space="preserve">Préstamos y partidas a cobrar </w:t>
            </w:r>
          </w:p>
        </w:tc>
        <w:tc>
          <w:tcPr>
            <w:tcW w:w="648" w:type="pct"/>
            <w:tcBorders>
              <w:top w:val="nil"/>
              <w:left w:val="nil"/>
              <w:bottom w:val="nil"/>
              <w:right w:val="nil"/>
            </w:tcBorders>
            <w:shd w:val="clear" w:color="auto" w:fill="auto"/>
            <w:noWrap/>
            <w:vAlign w:val="center"/>
          </w:tcPr>
          <w:p w14:paraId="39C40D50" w14:textId="3D437A76"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10B13">
              <w:rPr>
                <w:sz w:val="18"/>
                <w:szCs w:val="18"/>
              </w:rPr>
              <w:t>9.107,70</w:t>
            </w:r>
          </w:p>
        </w:tc>
        <w:tc>
          <w:tcPr>
            <w:tcW w:w="664" w:type="pct"/>
            <w:tcBorders>
              <w:top w:val="nil"/>
              <w:left w:val="nil"/>
              <w:bottom w:val="nil"/>
              <w:right w:val="nil"/>
            </w:tcBorders>
            <w:shd w:val="clear" w:color="auto" w:fill="auto"/>
            <w:noWrap/>
            <w:vAlign w:val="center"/>
          </w:tcPr>
          <w:p w14:paraId="313F9692" w14:textId="60BDCE7E"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r w:rsidRPr="00910B13">
              <w:rPr>
                <w:sz w:val="18"/>
                <w:szCs w:val="18"/>
              </w:rPr>
              <w:t>9.107,70</w:t>
            </w:r>
          </w:p>
        </w:tc>
        <w:tc>
          <w:tcPr>
            <w:tcW w:w="1833" w:type="pct"/>
            <w:tcBorders>
              <w:top w:val="nil"/>
              <w:left w:val="nil"/>
              <w:bottom w:val="nil"/>
              <w:right w:val="single" w:sz="8" w:space="0" w:color="auto"/>
            </w:tcBorders>
            <w:shd w:val="clear" w:color="auto" w:fill="auto"/>
            <w:noWrap/>
            <w:vAlign w:val="center"/>
            <w:hideMark/>
          </w:tcPr>
          <w:p w14:paraId="6F803714"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 xml:space="preserve">Activos financieros a coste amortizado </w:t>
            </w:r>
          </w:p>
        </w:tc>
      </w:tr>
      <w:tr w:rsidR="00350591" w:rsidRPr="00910B13" w14:paraId="19C41140" w14:textId="77777777" w:rsidTr="00063EF4">
        <w:trPr>
          <w:trHeight w:val="283"/>
        </w:trPr>
        <w:tc>
          <w:tcPr>
            <w:tcW w:w="1855" w:type="pct"/>
            <w:tcBorders>
              <w:top w:val="nil"/>
              <w:left w:val="single" w:sz="8" w:space="0" w:color="auto"/>
              <w:bottom w:val="nil"/>
              <w:right w:val="nil"/>
            </w:tcBorders>
            <w:shd w:val="clear" w:color="auto" w:fill="auto"/>
            <w:noWrap/>
            <w:vAlign w:val="center"/>
            <w:hideMark/>
          </w:tcPr>
          <w:p w14:paraId="09C46550"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910B13">
              <w:rPr>
                <w:rFonts w:eastAsia="Times New Roman"/>
                <w:b/>
                <w:bCs/>
                <w:sz w:val="18"/>
                <w:szCs w:val="18"/>
                <w:u w:val="single"/>
                <w:bdr w:val="none" w:sz="0" w:space="0" w:color="auto"/>
                <w:lang w:eastAsia="es-ES"/>
              </w:rPr>
              <w:t>A corto plazo</w:t>
            </w:r>
          </w:p>
        </w:tc>
        <w:tc>
          <w:tcPr>
            <w:tcW w:w="648" w:type="pct"/>
            <w:tcBorders>
              <w:top w:val="nil"/>
              <w:left w:val="nil"/>
              <w:bottom w:val="nil"/>
              <w:right w:val="nil"/>
            </w:tcBorders>
            <w:shd w:val="clear" w:color="auto" w:fill="auto"/>
            <w:noWrap/>
            <w:vAlign w:val="center"/>
          </w:tcPr>
          <w:p w14:paraId="4E6F5ADE"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u w:val="single"/>
                <w:bdr w:val="none" w:sz="0" w:space="0" w:color="auto"/>
                <w:lang w:eastAsia="es-ES"/>
              </w:rPr>
            </w:pPr>
          </w:p>
        </w:tc>
        <w:tc>
          <w:tcPr>
            <w:tcW w:w="664" w:type="pct"/>
            <w:tcBorders>
              <w:top w:val="nil"/>
              <w:left w:val="nil"/>
              <w:bottom w:val="nil"/>
              <w:right w:val="nil"/>
            </w:tcBorders>
            <w:shd w:val="clear" w:color="auto" w:fill="auto"/>
            <w:noWrap/>
            <w:vAlign w:val="center"/>
          </w:tcPr>
          <w:p w14:paraId="20FDE851"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1833" w:type="pct"/>
            <w:tcBorders>
              <w:top w:val="nil"/>
              <w:left w:val="nil"/>
              <w:bottom w:val="nil"/>
              <w:right w:val="single" w:sz="8" w:space="0" w:color="auto"/>
            </w:tcBorders>
            <w:shd w:val="clear" w:color="auto" w:fill="auto"/>
            <w:noWrap/>
            <w:vAlign w:val="center"/>
            <w:hideMark/>
          </w:tcPr>
          <w:p w14:paraId="47C633F5"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 </w:t>
            </w:r>
          </w:p>
        </w:tc>
      </w:tr>
      <w:tr w:rsidR="00350591" w:rsidRPr="00910B13" w14:paraId="6311A834" w14:textId="77777777" w:rsidTr="00063EF4">
        <w:trPr>
          <w:trHeight w:val="283"/>
        </w:trPr>
        <w:tc>
          <w:tcPr>
            <w:tcW w:w="1855" w:type="pct"/>
            <w:tcBorders>
              <w:top w:val="nil"/>
              <w:left w:val="single" w:sz="8" w:space="0" w:color="auto"/>
              <w:bottom w:val="nil"/>
              <w:right w:val="nil"/>
            </w:tcBorders>
            <w:shd w:val="clear" w:color="auto" w:fill="auto"/>
            <w:noWrap/>
            <w:vAlign w:val="center"/>
            <w:hideMark/>
          </w:tcPr>
          <w:p w14:paraId="11D69686"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Préstamos y partidas a cobrar</w:t>
            </w:r>
          </w:p>
        </w:tc>
        <w:tc>
          <w:tcPr>
            <w:tcW w:w="648" w:type="pct"/>
            <w:tcBorders>
              <w:top w:val="nil"/>
              <w:left w:val="nil"/>
              <w:bottom w:val="nil"/>
              <w:right w:val="nil"/>
            </w:tcBorders>
            <w:shd w:val="clear" w:color="auto" w:fill="auto"/>
            <w:noWrap/>
            <w:vAlign w:val="center"/>
          </w:tcPr>
          <w:p w14:paraId="70595716" w14:textId="6CA79881"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10B13">
              <w:rPr>
                <w:sz w:val="18"/>
                <w:szCs w:val="18"/>
              </w:rPr>
              <w:t>8.534,09</w:t>
            </w:r>
          </w:p>
        </w:tc>
        <w:tc>
          <w:tcPr>
            <w:tcW w:w="664" w:type="pct"/>
            <w:tcBorders>
              <w:top w:val="nil"/>
              <w:left w:val="nil"/>
              <w:bottom w:val="nil"/>
              <w:right w:val="nil"/>
            </w:tcBorders>
            <w:shd w:val="clear" w:color="auto" w:fill="auto"/>
            <w:noWrap/>
            <w:vAlign w:val="center"/>
          </w:tcPr>
          <w:p w14:paraId="2E6EE0FA" w14:textId="749279CE"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r w:rsidRPr="00910B13">
              <w:rPr>
                <w:sz w:val="18"/>
                <w:szCs w:val="18"/>
              </w:rPr>
              <w:t>8.534,09</w:t>
            </w:r>
          </w:p>
        </w:tc>
        <w:tc>
          <w:tcPr>
            <w:tcW w:w="1833" w:type="pct"/>
            <w:tcBorders>
              <w:top w:val="nil"/>
              <w:left w:val="nil"/>
              <w:bottom w:val="nil"/>
              <w:right w:val="single" w:sz="8" w:space="0" w:color="auto"/>
            </w:tcBorders>
            <w:shd w:val="clear" w:color="auto" w:fill="auto"/>
            <w:noWrap/>
            <w:vAlign w:val="center"/>
            <w:hideMark/>
          </w:tcPr>
          <w:p w14:paraId="6EB9A591"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Activos financieros a coste amortizado</w:t>
            </w:r>
          </w:p>
        </w:tc>
      </w:tr>
      <w:tr w:rsidR="00350591" w:rsidRPr="00910B13" w14:paraId="348E30A1" w14:textId="77777777" w:rsidTr="00063EF4">
        <w:trPr>
          <w:trHeight w:val="170"/>
        </w:trPr>
        <w:tc>
          <w:tcPr>
            <w:tcW w:w="1855" w:type="pct"/>
            <w:tcBorders>
              <w:top w:val="nil"/>
              <w:left w:val="single" w:sz="8" w:space="0" w:color="auto"/>
              <w:bottom w:val="nil"/>
              <w:right w:val="nil"/>
            </w:tcBorders>
            <w:shd w:val="clear" w:color="auto" w:fill="auto"/>
            <w:noWrap/>
            <w:vAlign w:val="center"/>
            <w:hideMark/>
          </w:tcPr>
          <w:p w14:paraId="376ECEE6"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 </w:t>
            </w:r>
          </w:p>
        </w:tc>
        <w:tc>
          <w:tcPr>
            <w:tcW w:w="648" w:type="pct"/>
            <w:tcBorders>
              <w:top w:val="nil"/>
              <w:left w:val="nil"/>
              <w:bottom w:val="nil"/>
              <w:right w:val="nil"/>
            </w:tcBorders>
            <w:shd w:val="clear" w:color="auto" w:fill="auto"/>
            <w:noWrap/>
            <w:vAlign w:val="center"/>
            <w:hideMark/>
          </w:tcPr>
          <w:p w14:paraId="310418A2"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p>
        </w:tc>
        <w:tc>
          <w:tcPr>
            <w:tcW w:w="664" w:type="pct"/>
            <w:tcBorders>
              <w:top w:val="nil"/>
              <w:left w:val="nil"/>
              <w:bottom w:val="nil"/>
              <w:right w:val="nil"/>
            </w:tcBorders>
            <w:shd w:val="clear" w:color="auto" w:fill="auto"/>
            <w:noWrap/>
            <w:vAlign w:val="center"/>
            <w:hideMark/>
          </w:tcPr>
          <w:p w14:paraId="0531D8D8"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1833" w:type="pct"/>
            <w:tcBorders>
              <w:top w:val="nil"/>
              <w:left w:val="nil"/>
              <w:bottom w:val="nil"/>
              <w:right w:val="single" w:sz="8" w:space="0" w:color="auto"/>
            </w:tcBorders>
            <w:shd w:val="clear" w:color="auto" w:fill="auto"/>
            <w:noWrap/>
            <w:vAlign w:val="center"/>
            <w:hideMark/>
          </w:tcPr>
          <w:p w14:paraId="64588FB6"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 </w:t>
            </w:r>
          </w:p>
        </w:tc>
      </w:tr>
      <w:tr w:rsidR="00350591" w:rsidRPr="00910B13" w14:paraId="7084FA6D" w14:textId="77777777" w:rsidTr="00063EF4">
        <w:trPr>
          <w:trHeight w:val="283"/>
        </w:trPr>
        <w:tc>
          <w:tcPr>
            <w:tcW w:w="1855" w:type="pct"/>
            <w:tcBorders>
              <w:top w:val="nil"/>
              <w:left w:val="single" w:sz="8" w:space="0" w:color="auto"/>
              <w:bottom w:val="nil"/>
              <w:right w:val="nil"/>
            </w:tcBorders>
            <w:shd w:val="clear" w:color="000000" w:fill="D9D9D9"/>
            <w:noWrap/>
            <w:vAlign w:val="center"/>
            <w:hideMark/>
          </w:tcPr>
          <w:p w14:paraId="4DEC5F76"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10B13">
              <w:rPr>
                <w:rFonts w:eastAsia="Times New Roman"/>
                <w:b/>
                <w:bCs/>
                <w:color w:val="auto"/>
                <w:sz w:val="18"/>
                <w:szCs w:val="18"/>
                <w:bdr w:val="none" w:sz="0" w:space="0" w:color="auto"/>
                <w:lang w:eastAsia="es-ES"/>
              </w:rPr>
              <w:t>Totales</w:t>
            </w:r>
          </w:p>
        </w:tc>
        <w:tc>
          <w:tcPr>
            <w:tcW w:w="648" w:type="pct"/>
            <w:tcBorders>
              <w:top w:val="nil"/>
              <w:left w:val="nil"/>
              <w:bottom w:val="nil"/>
              <w:right w:val="nil"/>
            </w:tcBorders>
            <w:shd w:val="clear" w:color="000000" w:fill="D9D9D9"/>
            <w:noWrap/>
            <w:vAlign w:val="center"/>
            <w:hideMark/>
          </w:tcPr>
          <w:p w14:paraId="00171CF2" w14:textId="6F0F4E23"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10B13">
              <w:rPr>
                <w:b/>
                <w:bCs/>
                <w:sz w:val="18"/>
                <w:szCs w:val="18"/>
              </w:rPr>
              <w:t>17.641,79</w:t>
            </w:r>
          </w:p>
        </w:tc>
        <w:tc>
          <w:tcPr>
            <w:tcW w:w="664" w:type="pct"/>
            <w:tcBorders>
              <w:top w:val="nil"/>
              <w:left w:val="nil"/>
              <w:bottom w:val="nil"/>
              <w:right w:val="nil"/>
            </w:tcBorders>
            <w:shd w:val="clear" w:color="000000" w:fill="D9D9D9"/>
            <w:noWrap/>
            <w:vAlign w:val="center"/>
            <w:hideMark/>
          </w:tcPr>
          <w:p w14:paraId="11BE12AF" w14:textId="52C22531"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10B13">
              <w:rPr>
                <w:b/>
                <w:bCs/>
                <w:sz w:val="18"/>
                <w:szCs w:val="18"/>
              </w:rPr>
              <w:t>17.641,79</w:t>
            </w:r>
          </w:p>
        </w:tc>
        <w:tc>
          <w:tcPr>
            <w:tcW w:w="1833" w:type="pct"/>
            <w:tcBorders>
              <w:top w:val="nil"/>
              <w:left w:val="nil"/>
              <w:bottom w:val="nil"/>
              <w:right w:val="single" w:sz="8" w:space="0" w:color="auto"/>
            </w:tcBorders>
            <w:shd w:val="clear" w:color="000000" w:fill="D9D9D9"/>
            <w:noWrap/>
            <w:vAlign w:val="center"/>
            <w:hideMark/>
          </w:tcPr>
          <w:p w14:paraId="43DF81D7" w14:textId="77777777" w:rsidR="00350591"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color w:val="auto"/>
                <w:sz w:val="18"/>
                <w:szCs w:val="18"/>
                <w:bdr w:val="none" w:sz="0" w:space="0" w:color="auto"/>
                <w:lang w:eastAsia="es-ES"/>
              </w:rPr>
              <w:t> </w:t>
            </w:r>
          </w:p>
        </w:tc>
      </w:tr>
      <w:tr w:rsidR="00116AEF" w:rsidRPr="00910B13" w14:paraId="5E8ADB04" w14:textId="77777777" w:rsidTr="00063EF4">
        <w:trPr>
          <w:trHeight w:val="283"/>
        </w:trPr>
        <w:tc>
          <w:tcPr>
            <w:tcW w:w="1855" w:type="pct"/>
            <w:tcBorders>
              <w:top w:val="nil"/>
              <w:left w:val="single" w:sz="8" w:space="0" w:color="auto"/>
              <w:bottom w:val="single" w:sz="8" w:space="0" w:color="auto"/>
              <w:right w:val="nil"/>
            </w:tcBorders>
            <w:shd w:val="clear" w:color="auto" w:fill="auto"/>
            <w:noWrap/>
            <w:vAlign w:val="center"/>
            <w:hideMark/>
          </w:tcPr>
          <w:p w14:paraId="38880FC0" w14:textId="77777777" w:rsidR="00116AEF" w:rsidRPr="00910B13" w:rsidRDefault="00116AEF"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Diferencia</w:t>
            </w:r>
          </w:p>
        </w:tc>
        <w:tc>
          <w:tcPr>
            <w:tcW w:w="648" w:type="pct"/>
            <w:tcBorders>
              <w:top w:val="nil"/>
              <w:left w:val="nil"/>
              <w:bottom w:val="single" w:sz="8" w:space="0" w:color="auto"/>
              <w:right w:val="nil"/>
            </w:tcBorders>
            <w:shd w:val="clear" w:color="auto" w:fill="auto"/>
            <w:noWrap/>
            <w:vAlign w:val="center"/>
            <w:hideMark/>
          </w:tcPr>
          <w:p w14:paraId="56D0FECF" w14:textId="618D2179" w:rsidR="00116AEF" w:rsidRPr="00910B13" w:rsidRDefault="00FC5BBE"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w:t>
            </w:r>
            <w:r w:rsidR="00116AEF" w:rsidRPr="00910B13">
              <w:rPr>
                <w:rFonts w:eastAsia="Times New Roman"/>
                <w:sz w:val="18"/>
                <w:szCs w:val="18"/>
                <w:bdr w:val="none" w:sz="0" w:space="0" w:color="auto"/>
                <w:lang w:eastAsia="es-ES"/>
              </w:rPr>
              <w:t> </w:t>
            </w:r>
          </w:p>
        </w:tc>
        <w:tc>
          <w:tcPr>
            <w:tcW w:w="664" w:type="pct"/>
            <w:tcBorders>
              <w:top w:val="nil"/>
              <w:left w:val="nil"/>
              <w:bottom w:val="single" w:sz="8" w:space="0" w:color="auto"/>
              <w:right w:val="nil"/>
            </w:tcBorders>
            <w:shd w:val="clear" w:color="auto" w:fill="auto"/>
            <w:noWrap/>
            <w:vAlign w:val="center"/>
            <w:hideMark/>
          </w:tcPr>
          <w:p w14:paraId="2ACC1EAC" w14:textId="7D199D77" w:rsidR="00116AEF" w:rsidRPr="00910B13" w:rsidRDefault="00350591"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w:t>
            </w:r>
            <w:r w:rsidR="00116AEF" w:rsidRPr="00910B13">
              <w:rPr>
                <w:rFonts w:eastAsia="Times New Roman"/>
                <w:sz w:val="18"/>
                <w:szCs w:val="18"/>
                <w:bdr w:val="none" w:sz="0" w:space="0" w:color="auto"/>
                <w:lang w:eastAsia="es-ES"/>
              </w:rPr>
              <w:t> </w:t>
            </w:r>
          </w:p>
        </w:tc>
        <w:tc>
          <w:tcPr>
            <w:tcW w:w="1833" w:type="pct"/>
            <w:tcBorders>
              <w:top w:val="nil"/>
              <w:left w:val="nil"/>
              <w:bottom w:val="single" w:sz="8" w:space="0" w:color="auto"/>
              <w:right w:val="single" w:sz="8" w:space="0" w:color="auto"/>
            </w:tcBorders>
            <w:shd w:val="clear" w:color="auto" w:fill="auto"/>
            <w:noWrap/>
            <w:vAlign w:val="center"/>
            <w:hideMark/>
          </w:tcPr>
          <w:p w14:paraId="73C16D4B" w14:textId="77777777" w:rsidR="00116AEF" w:rsidRPr="00910B13" w:rsidRDefault="00116AEF" w:rsidP="00063EF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 </w:t>
            </w:r>
          </w:p>
        </w:tc>
      </w:tr>
    </w:tbl>
    <w:p w14:paraId="48F118E8" w14:textId="14656038" w:rsidR="003214B8" w:rsidRPr="00910B13" w:rsidRDefault="003214B8" w:rsidP="000A34DD">
      <w:pPr>
        <w:pStyle w:val="Estndar"/>
        <w:keepNext/>
        <w:keepLines/>
        <w:widowControl w:val="0"/>
        <w:jc w:val="both"/>
        <w:rPr>
          <w:rFonts w:ascii="Arial" w:hAnsi="Arial" w:cs="Arial"/>
          <w:b/>
          <w:sz w:val="20"/>
        </w:rPr>
      </w:pPr>
    </w:p>
    <w:tbl>
      <w:tblPr>
        <w:tblW w:w="5000" w:type="pct"/>
        <w:tblCellMar>
          <w:left w:w="70" w:type="dxa"/>
          <w:right w:w="70" w:type="dxa"/>
        </w:tblCellMar>
        <w:tblLook w:val="04A0" w:firstRow="1" w:lastRow="0" w:firstColumn="1" w:lastColumn="0" w:noHBand="0" w:noVBand="1"/>
      </w:tblPr>
      <w:tblGrid>
        <w:gridCol w:w="2982"/>
        <w:gridCol w:w="1326"/>
        <w:gridCol w:w="1191"/>
        <w:gridCol w:w="3262"/>
      </w:tblGrid>
      <w:tr w:rsidR="00F618D3" w:rsidRPr="00910B13" w14:paraId="5AD6AE65" w14:textId="77777777" w:rsidTr="00350591">
        <w:trPr>
          <w:trHeight w:val="230"/>
        </w:trPr>
        <w:tc>
          <w:tcPr>
            <w:tcW w:w="2459" w:type="pct"/>
            <w:gridSpan w:val="2"/>
            <w:tcBorders>
              <w:top w:val="single" w:sz="8" w:space="0" w:color="auto"/>
              <w:left w:val="single" w:sz="8" w:space="0" w:color="auto"/>
              <w:bottom w:val="nil"/>
              <w:right w:val="nil"/>
            </w:tcBorders>
            <w:shd w:val="clear" w:color="000000" w:fill="D9D9D9"/>
            <w:noWrap/>
            <w:vAlign w:val="center"/>
            <w:hideMark/>
          </w:tcPr>
          <w:p w14:paraId="10BE6E79"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10B13">
              <w:rPr>
                <w:rFonts w:eastAsia="Times New Roman"/>
                <w:b/>
                <w:bCs/>
                <w:sz w:val="18"/>
                <w:szCs w:val="18"/>
                <w:bdr w:val="none" w:sz="0" w:space="0" w:color="auto"/>
                <w:lang w:eastAsia="es-ES"/>
              </w:rPr>
              <w:t>31 de diciembre de 2020</w:t>
            </w:r>
          </w:p>
        </w:tc>
        <w:tc>
          <w:tcPr>
            <w:tcW w:w="2541" w:type="pct"/>
            <w:gridSpan w:val="2"/>
            <w:tcBorders>
              <w:top w:val="single" w:sz="8" w:space="0" w:color="auto"/>
              <w:left w:val="nil"/>
              <w:bottom w:val="nil"/>
              <w:right w:val="single" w:sz="8" w:space="0" w:color="000000"/>
            </w:tcBorders>
            <w:shd w:val="clear" w:color="000000" w:fill="D9D9D9"/>
            <w:noWrap/>
            <w:vAlign w:val="center"/>
            <w:hideMark/>
          </w:tcPr>
          <w:p w14:paraId="74A0E0A2"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10B13">
              <w:rPr>
                <w:rFonts w:eastAsia="Times New Roman"/>
                <w:b/>
                <w:bCs/>
                <w:color w:val="auto"/>
                <w:sz w:val="18"/>
                <w:szCs w:val="18"/>
                <w:bdr w:val="none" w:sz="0" w:space="0" w:color="auto"/>
                <w:lang w:eastAsia="es-ES"/>
              </w:rPr>
              <w:t>1 de enero de 2021</w:t>
            </w:r>
          </w:p>
        </w:tc>
      </w:tr>
      <w:tr w:rsidR="00F618D3" w:rsidRPr="00910B13" w14:paraId="700D592A" w14:textId="77777777" w:rsidTr="00063EF4">
        <w:trPr>
          <w:trHeight w:val="170"/>
        </w:trPr>
        <w:tc>
          <w:tcPr>
            <w:tcW w:w="1702" w:type="pct"/>
            <w:tcBorders>
              <w:top w:val="nil"/>
              <w:left w:val="single" w:sz="8" w:space="0" w:color="auto"/>
              <w:bottom w:val="nil"/>
              <w:right w:val="nil"/>
            </w:tcBorders>
            <w:shd w:val="clear" w:color="000000" w:fill="D9D9D9"/>
            <w:noWrap/>
            <w:vAlign w:val="center"/>
            <w:hideMark/>
          </w:tcPr>
          <w:p w14:paraId="78ED4928"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10B13">
              <w:rPr>
                <w:rFonts w:eastAsia="Times New Roman"/>
                <w:b/>
                <w:bCs/>
                <w:color w:val="auto"/>
                <w:sz w:val="18"/>
                <w:szCs w:val="18"/>
                <w:bdr w:val="none" w:sz="0" w:space="0" w:color="auto"/>
                <w:lang w:eastAsia="es-ES"/>
              </w:rPr>
              <w:t>Concepto</w:t>
            </w:r>
          </w:p>
        </w:tc>
        <w:tc>
          <w:tcPr>
            <w:tcW w:w="756" w:type="pct"/>
            <w:tcBorders>
              <w:top w:val="nil"/>
              <w:left w:val="nil"/>
              <w:bottom w:val="nil"/>
              <w:right w:val="nil"/>
            </w:tcBorders>
            <w:shd w:val="clear" w:color="000000" w:fill="D9D9D9"/>
            <w:noWrap/>
            <w:vAlign w:val="center"/>
            <w:hideMark/>
          </w:tcPr>
          <w:p w14:paraId="421C7606"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10B13">
              <w:rPr>
                <w:rFonts w:eastAsia="Times New Roman"/>
                <w:b/>
                <w:bCs/>
                <w:color w:val="auto"/>
                <w:sz w:val="18"/>
                <w:szCs w:val="18"/>
                <w:bdr w:val="none" w:sz="0" w:space="0" w:color="auto"/>
                <w:lang w:eastAsia="es-ES"/>
              </w:rPr>
              <w:t>Importe</w:t>
            </w:r>
          </w:p>
        </w:tc>
        <w:tc>
          <w:tcPr>
            <w:tcW w:w="680" w:type="pct"/>
            <w:tcBorders>
              <w:top w:val="nil"/>
              <w:left w:val="nil"/>
              <w:bottom w:val="nil"/>
              <w:right w:val="nil"/>
            </w:tcBorders>
            <w:shd w:val="clear" w:color="000000" w:fill="D9D9D9"/>
            <w:noWrap/>
            <w:vAlign w:val="center"/>
            <w:hideMark/>
          </w:tcPr>
          <w:p w14:paraId="58E88CA2"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10B13">
              <w:rPr>
                <w:rFonts w:eastAsia="Times New Roman"/>
                <w:b/>
                <w:bCs/>
                <w:color w:val="auto"/>
                <w:sz w:val="18"/>
                <w:szCs w:val="18"/>
                <w:bdr w:val="none" w:sz="0" w:space="0" w:color="auto"/>
                <w:lang w:eastAsia="es-ES"/>
              </w:rPr>
              <w:t>Importe</w:t>
            </w:r>
          </w:p>
        </w:tc>
        <w:tc>
          <w:tcPr>
            <w:tcW w:w="1862" w:type="pct"/>
            <w:tcBorders>
              <w:top w:val="nil"/>
              <w:left w:val="nil"/>
              <w:bottom w:val="nil"/>
              <w:right w:val="single" w:sz="8" w:space="0" w:color="auto"/>
            </w:tcBorders>
            <w:shd w:val="clear" w:color="000000" w:fill="D9D9D9"/>
            <w:noWrap/>
            <w:vAlign w:val="center"/>
            <w:hideMark/>
          </w:tcPr>
          <w:p w14:paraId="6C68157D"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10B13">
              <w:rPr>
                <w:rFonts w:eastAsia="Times New Roman"/>
                <w:b/>
                <w:bCs/>
                <w:color w:val="auto"/>
                <w:sz w:val="18"/>
                <w:szCs w:val="18"/>
                <w:bdr w:val="none" w:sz="0" w:space="0" w:color="auto"/>
                <w:lang w:eastAsia="es-ES"/>
              </w:rPr>
              <w:t>Concepto</w:t>
            </w:r>
          </w:p>
        </w:tc>
      </w:tr>
      <w:tr w:rsidR="00F618D3" w:rsidRPr="00910B13" w14:paraId="3D922C91" w14:textId="77777777" w:rsidTr="00063EF4">
        <w:trPr>
          <w:trHeight w:val="283"/>
        </w:trPr>
        <w:tc>
          <w:tcPr>
            <w:tcW w:w="1702" w:type="pct"/>
            <w:tcBorders>
              <w:top w:val="nil"/>
              <w:left w:val="single" w:sz="8" w:space="0" w:color="auto"/>
              <w:bottom w:val="nil"/>
              <w:right w:val="nil"/>
            </w:tcBorders>
            <w:shd w:val="clear" w:color="auto" w:fill="auto"/>
            <w:noWrap/>
            <w:vAlign w:val="center"/>
            <w:hideMark/>
          </w:tcPr>
          <w:p w14:paraId="62FCD615"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910B13">
              <w:rPr>
                <w:rFonts w:eastAsia="Times New Roman"/>
                <w:b/>
                <w:bCs/>
                <w:sz w:val="18"/>
                <w:szCs w:val="18"/>
                <w:u w:val="single"/>
                <w:bdr w:val="none" w:sz="0" w:space="0" w:color="auto"/>
                <w:lang w:eastAsia="es-ES"/>
              </w:rPr>
              <w:t>A corto plazo</w:t>
            </w:r>
          </w:p>
        </w:tc>
        <w:tc>
          <w:tcPr>
            <w:tcW w:w="756" w:type="pct"/>
            <w:tcBorders>
              <w:top w:val="nil"/>
              <w:left w:val="nil"/>
              <w:bottom w:val="nil"/>
              <w:right w:val="nil"/>
            </w:tcBorders>
            <w:shd w:val="clear" w:color="auto" w:fill="auto"/>
            <w:noWrap/>
            <w:vAlign w:val="bottom"/>
            <w:hideMark/>
          </w:tcPr>
          <w:p w14:paraId="18ADCE54"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p>
        </w:tc>
        <w:tc>
          <w:tcPr>
            <w:tcW w:w="680" w:type="pct"/>
            <w:tcBorders>
              <w:top w:val="nil"/>
              <w:left w:val="nil"/>
              <w:bottom w:val="nil"/>
              <w:right w:val="nil"/>
            </w:tcBorders>
            <w:shd w:val="clear" w:color="auto" w:fill="auto"/>
            <w:noWrap/>
            <w:vAlign w:val="bottom"/>
            <w:hideMark/>
          </w:tcPr>
          <w:p w14:paraId="5ED1392A"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1862" w:type="pct"/>
            <w:tcBorders>
              <w:top w:val="nil"/>
              <w:left w:val="nil"/>
              <w:bottom w:val="nil"/>
              <w:right w:val="single" w:sz="8" w:space="0" w:color="auto"/>
            </w:tcBorders>
            <w:shd w:val="clear" w:color="auto" w:fill="auto"/>
            <w:noWrap/>
            <w:vAlign w:val="center"/>
            <w:hideMark/>
          </w:tcPr>
          <w:p w14:paraId="1B8AF97F"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10B13">
              <w:rPr>
                <w:rFonts w:eastAsia="Times New Roman"/>
                <w:b/>
                <w:bCs/>
                <w:sz w:val="18"/>
                <w:szCs w:val="18"/>
                <w:bdr w:val="none" w:sz="0" w:space="0" w:color="auto"/>
                <w:lang w:eastAsia="es-ES"/>
              </w:rPr>
              <w:t> </w:t>
            </w:r>
          </w:p>
        </w:tc>
      </w:tr>
      <w:tr w:rsidR="00F618D3" w:rsidRPr="00910B13" w14:paraId="5B8A257A" w14:textId="77777777" w:rsidTr="00063EF4">
        <w:trPr>
          <w:trHeight w:val="283"/>
        </w:trPr>
        <w:tc>
          <w:tcPr>
            <w:tcW w:w="1702" w:type="pct"/>
            <w:tcBorders>
              <w:top w:val="nil"/>
              <w:left w:val="single" w:sz="8" w:space="0" w:color="auto"/>
              <w:bottom w:val="nil"/>
              <w:right w:val="nil"/>
            </w:tcBorders>
            <w:shd w:val="clear" w:color="auto" w:fill="auto"/>
            <w:noWrap/>
            <w:vAlign w:val="center"/>
            <w:hideMark/>
          </w:tcPr>
          <w:p w14:paraId="2BC48FB1"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Débitos y partidas a pagar</w:t>
            </w:r>
          </w:p>
        </w:tc>
        <w:tc>
          <w:tcPr>
            <w:tcW w:w="756" w:type="pct"/>
            <w:tcBorders>
              <w:top w:val="nil"/>
              <w:left w:val="nil"/>
              <w:bottom w:val="nil"/>
              <w:right w:val="nil"/>
            </w:tcBorders>
            <w:shd w:val="clear" w:color="auto" w:fill="auto"/>
            <w:noWrap/>
            <w:vAlign w:val="center"/>
            <w:hideMark/>
          </w:tcPr>
          <w:p w14:paraId="2EC94B0D"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3.451.739,22</w:t>
            </w:r>
          </w:p>
        </w:tc>
        <w:tc>
          <w:tcPr>
            <w:tcW w:w="680" w:type="pct"/>
            <w:tcBorders>
              <w:top w:val="nil"/>
              <w:left w:val="nil"/>
              <w:bottom w:val="nil"/>
              <w:right w:val="nil"/>
            </w:tcBorders>
            <w:shd w:val="clear" w:color="auto" w:fill="auto"/>
            <w:noWrap/>
            <w:vAlign w:val="center"/>
            <w:hideMark/>
          </w:tcPr>
          <w:p w14:paraId="7B50EBB7"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3.451.739,22</w:t>
            </w:r>
          </w:p>
        </w:tc>
        <w:tc>
          <w:tcPr>
            <w:tcW w:w="1862" w:type="pct"/>
            <w:tcBorders>
              <w:top w:val="nil"/>
              <w:left w:val="nil"/>
              <w:bottom w:val="nil"/>
              <w:right w:val="single" w:sz="8" w:space="0" w:color="auto"/>
            </w:tcBorders>
            <w:shd w:val="clear" w:color="auto" w:fill="auto"/>
            <w:noWrap/>
            <w:vAlign w:val="center"/>
            <w:hideMark/>
          </w:tcPr>
          <w:p w14:paraId="6A6FBBF2"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Pasivos financieros a coste amortizado</w:t>
            </w:r>
          </w:p>
        </w:tc>
      </w:tr>
      <w:tr w:rsidR="00F618D3" w:rsidRPr="00910B13" w14:paraId="7D87BECD" w14:textId="77777777" w:rsidTr="00063EF4">
        <w:trPr>
          <w:trHeight w:val="170"/>
        </w:trPr>
        <w:tc>
          <w:tcPr>
            <w:tcW w:w="1702" w:type="pct"/>
            <w:tcBorders>
              <w:top w:val="nil"/>
              <w:left w:val="single" w:sz="8" w:space="0" w:color="auto"/>
              <w:bottom w:val="nil"/>
              <w:right w:val="nil"/>
            </w:tcBorders>
            <w:shd w:val="clear" w:color="auto" w:fill="auto"/>
            <w:noWrap/>
            <w:vAlign w:val="center"/>
            <w:hideMark/>
          </w:tcPr>
          <w:p w14:paraId="5DCCAF1B"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 </w:t>
            </w:r>
          </w:p>
        </w:tc>
        <w:tc>
          <w:tcPr>
            <w:tcW w:w="756" w:type="pct"/>
            <w:tcBorders>
              <w:top w:val="nil"/>
              <w:left w:val="nil"/>
              <w:bottom w:val="nil"/>
              <w:right w:val="nil"/>
            </w:tcBorders>
            <w:shd w:val="clear" w:color="auto" w:fill="auto"/>
            <w:noWrap/>
            <w:vAlign w:val="center"/>
            <w:hideMark/>
          </w:tcPr>
          <w:p w14:paraId="10668D55"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680" w:type="pct"/>
            <w:tcBorders>
              <w:top w:val="nil"/>
              <w:left w:val="nil"/>
              <w:bottom w:val="nil"/>
              <w:right w:val="nil"/>
            </w:tcBorders>
            <w:shd w:val="clear" w:color="auto" w:fill="auto"/>
            <w:noWrap/>
            <w:vAlign w:val="center"/>
            <w:hideMark/>
          </w:tcPr>
          <w:p w14:paraId="4948A648"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1862" w:type="pct"/>
            <w:tcBorders>
              <w:top w:val="nil"/>
              <w:left w:val="nil"/>
              <w:bottom w:val="nil"/>
              <w:right w:val="single" w:sz="8" w:space="0" w:color="auto"/>
            </w:tcBorders>
            <w:shd w:val="clear" w:color="auto" w:fill="auto"/>
            <w:noWrap/>
            <w:vAlign w:val="center"/>
            <w:hideMark/>
          </w:tcPr>
          <w:p w14:paraId="031FFF09" w14:textId="77777777" w:rsidR="00F618D3" w:rsidRPr="00910B13" w:rsidRDefault="00F618D3" w:rsidP="000A34DD">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 </w:t>
            </w:r>
          </w:p>
        </w:tc>
      </w:tr>
      <w:tr w:rsidR="00F618D3" w:rsidRPr="00910B13" w14:paraId="78AABA46" w14:textId="77777777" w:rsidTr="00063EF4">
        <w:trPr>
          <w:trHeight w:val="283"/>
        </w:trPr>
        <w:tc>
          <w:tcPr>
            <w:tcW w:w="1702" w:type="pct"/>
            <w:tcBorders>
              <w:top w:val="nil"/>
              <w:left w:val="single" w:sz="8" w:space="0" w:color="auto"/>
              <w:bottom w:val="nil"/>
              <w:right w:val="nil"/>
            </w:tcBorders>
            <w:shd w:val="clear" w:color="000000" w:fill="D9D9D9"/>
            <w:noWrap/>
            <w:vAlign w:val="center"/>
            <w:hideMark/>
          </w:tcPr>
          <w:p w14:paraId="5BAFCA11" w14:textId="77777777" w:rsidR="00F618D3" w:rsidRPr="00910B13" w:rsidRDefault="00F618D3" w:rsidP="00F618D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10B13">
              <w:rPr>
                <w:rFonts w:eastAsia="Times New Roman"/>
                <w:b/>
                <w:bCs/>
                <w:color w:val="auto"/>
                <w:sz w:val="18"/>
                <w:szCs w:val="18"/>
                <w:bdr w:val="none" w:sz="0" w:space="0" w:color="auto"/>
                <w:lang w:eastAsia="es-ES"/>
              </w:rPr>
              <w:t>Totales</w:t>
            </w:r>
          </w:p>
        </w:tc>
        <w:tc>
          <w:tcPr>
            <w:tcW w:w="756" w:type="pct"/>
            <w:tcBorders>
              <w:top w:val="nil"/>
              <w:left w:val="nil"/>
              <w:bottom w:val="nil"/>
              <w:right w:val="nil"/>
            </w:tcBorders>
            <w:shd w:val="clear" w:color="000000" w:fill="D9D9D9"/>
            <w:noWrap/>
            <w:vAlign w:val="center"/>
            <w:hideMark/>
          </w:tcPr>
          <w:p w14:paraId="01E7C7DE" w14:textId="77777777" w:rsidR="00F618D3" w:rsidRPr="00910B13" w:rsidRDefault="00F618D3" w:rsidP="00F618D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10B13">
              <w:rPr>
                <w:rFonts w:eastAsia="Times New Roman"/>
                <w:b/>
                <w:bCs/>
                <w:sz w:val="18"/>
                <w:szCs w:val="18"/>
                <w:bdr w:val="none" w:sz="0" w:space="0" w:color="auto"/>
                <w:lang w:eastAsia="es-ES"/>
              </w:rPr>
              <w:t>3.451.739,22</w:t>
            </w:r>
          </w:p>
        </w:tc>
        <w:tc>
          <w:tcPr>
            <w:tcW w:w="680" w:type="pct"/>
            <w:tcBorders>
              <w:top w:val="nil"/>
              <w:left w:val="nil"/>
              <w:bottom w:val="nil"/>
              <w:right w:val="nil"/>
            </w:tcBorders>
            <w:shd w:val="clear" w:color="000000" w:fill="D9D9D9"/>
            <w:noWrap/>
            <w:vAlign w:val="center"/>
            <w:hideMark/>
          </w:tcPr>
          <w:p w14:paraId="33EB5362" w14:textId="77777777" w:rsidR="00F618D3" w:rsidRPr="00910B13" w:rsidRDefault="00F618D3" w:rsidP="00F618D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10B13">
              <w:rPr>
                <w:rFonts w:eastAsia="Times New Roman"/>
                <w:b/>
                <w:bCs/>
                <w:sz w:val="18"/>
                <w:szCs w:val="18"/>
                <w:bdr w:val="none" w:sz="0" w:space="0" w:color="auto"/>
                <w:lang w:eastAsia="es-ES"/>
              </w:rPr>
              <w:t>3.451.739,22</w:t>
            </w:r>
          </w:p>
        </w:tc>
        <w:tc>
          <w:tcPr>
            <w:tcW w:w="1862" w:type="pct"/>
            <w:tcBorders>
              <w:top w:val="nil"/>
              <w:left w:val="nil"/>
              <w:bottom w:val="nil"/>
              <w:right w:val="single" w:sz="8" w:space="0" w:color="auto"/>
            </w:tcBorders>
            <w:shd w:val="clear" w:color="000000" w:fill="D9D9D9"/>
            <w:noWrap/>
            <w:vAlign w:val="center"/>
            <w:hideMark/>
          </w:tcPr>
          <w:p w14:paraId="65EAB83C" w14:textId="77777777" w:rsidR="00F618D3" w:rsidRPr="00910B13" w:rsidRDefault="00F618D3" w:rsidP="00F618D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color w:val="auto"/>
                <w:sz w:val="18"/>
                <w:szCs w:val="18"/>
                <w:bdr w:val="none" w:sz="0" w:space="0" w:color="auto"/>
                <w:lang w:eastAsia="es-ES"/>
              </w:rPr>
              <w:t> </w:t>
            </w:r>
          </w:p>
        </w:tc>
      </w:tr>
      <w:tr w:rsidR="00F618D3" w:rsidRPr="00910B13" w14:paraId="58E51F5D" w14:textId="77777777" w:rsidTr="00063EF4">
        <w:trPr>
          <w:trHeight w:val="283"/>
        </w:trPr>
        <w:tc>
          <w:tcPr>
            <w:tcW w:w="1702" w:type="pct"/>
            <w:tcBorders>
              <w:top w:val="nil"/>
              <w:left w:val="single" w:sz="8" w:space="0" w:color="auto"/>
              <w:bottom w:val="single" w:sz="8" w:space="0" w:color="auto"/>
              <w:right w:val="nil"/>
            </w:tcBorders>
            <w:shd w:val="clear" w:color="auto" w:fill="auto"/>
            <w:noWrap/>
            <w:vAlign w:val="center"/>
            <w:hideMark/>
          </w:tcPr>
          <w:p w14:paraId="48B8FF86" w14:textId="77777777" w:rsidR="00F618D3" w:rsidRPr="00910B13" w:rsidRDefault="00F618D3" w:rsidP="00F618D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Diferencia</w:t>
            </w:r>
          </w:p>
        </w:tc>
        <w:tc>
          <w:tcPr>
            <w:tcW w:w="756" w:type="pct"/>
            <w:tcBorders>
              <w:top w:val="nil"/>
              <w:left w:val="nil"/>
              <w:bottom w:val="single" w:sz="8" w:space="0" w:color="auto"/>
              <w:right w:val="nil"/>
            </w:tcBorders>
            <w:shd w:val="clear" w:color="auto" w:fill="auto"/>
            <w:noWrap/>
            <w:vAlign w:val="center"/>
            <w:hideMark/>
          </w:tcPr>
          <w:p w14:paraId="7C2F8753" w14:textId="7E4A1172" w:rsidR="00F618D3" w:rsidRPr="00910B13" w:rsidRDefault="00FC5BBE" w:rsidP="00F618D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w:t>
            </w:r>
            <w:r w:rsidR="00F618D3" w:rsidRPr="00910B13">
              <w:rPr>
                <w:rFonts w:eastAsia="Times New Roman"/>
                <w:sz w:val="18"/>
                <w:szCs w:val="18"/>
                <w:bdr w:val="none" w:sz="0" w:space="0" w:color="auto"/>
                <w:lang w:eastAsia="es-ES"/>
              </w:rPr>
              <w:t> </w:t>
            </w:r>
          </w:p>
        </w:tc>
        <w:tc>
          <w:tcPr>
            <w:tcW w:w="680" w:type="pct"/>
            <w:tcBorders>
              <w:top w:val="nil"/>
              <w:left w:val="nil"/>
              <w:bottom w:val="single" w:sz="8" w:space="0" w:color="auto"/>
              <w:right w:val="nil"/>
            </w:tcBorders>
            <w:shd w:val="clear" w:color="auto" w:fill="auto"/>
            <w:noWrap/>
            <w:vAlign w:val="center"/>
            <w:hideMark/>
          </w:tcPr>
          <w:p w14:paraId="46677E94" w14:textId="77B7D096" w:rsidR="00F618D3" w:rsidRPr="00910B13" w:rsidRDefault="00F618D3" w:rsidP="00F618D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w:t>
            </w:r>
          </w:p>
        </w:tc>
        <w:tc>
          <w:tcPr>
            <w:tcW w:w="1862" w:type="pct"/>
            <w:tcBorders>
              <w:top w:val="nil"/>
              <w:left w:val="nil"/>
              <w:bottom w:val="single" w:sz="8" w:space="0" w:color="auto"/>
              <w:right w:val="single" w:sz="8" w:space="0" w:color="auto"/>
            </w:tcBorders>
            <w:shd w:val="clear" w:color="auto" w:fill="auto"/>
            <w:noWrap/>
            <w:vAlign w:val="center"/>
            <w:hideMark/>
          </w:tcPr>
          <w:p w14:paraId="0B6FBE53" w14:textId="77777777" w:rsidR="00F618D3" w:rsidRPr="00910B13" w:rsidRDefault="00F618D3" w:rsidP="00F618D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10B13">
              <w:rPr>
                <w:rFonts w:eastAsia="Times New Roman"/>
                <w:sz w:val="18"/>
                <w:szCs w:val="18"/>
                <w:bdr w:val="none" w:sz="0" w:space="0" w:color="auto"/>
                <w:lang w:eastAsia="es-ES"/>
              </w:rPr>
              <w:t> </w:t>
            </w:r>
          </w:p>
        </w:tc>
      </w:tr>
    </w:tbl>
    <w:p w14:paraId="64555E36" w14:textId="50C32841" w:rsidR="003214B8" w:rsidRPr="00063EF4" w:rsidRDefault="003214B8"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063EF4">
        <w:rPr>
          <w:snapToGrid w:val="0"/>
          <w:sz w:val="20"/>
          <w:szCs w:val="22"/>
        </w:rPr>
        <w:t xml:space="preserve">La aplicación de los nuevos criterios establecidos de registro y valoración no han producido impacto en el patrimonio neto ni en el resto de las partidas del balance. La mencionada aplicación sólo ha supuesto la reclasificación de los importes registrados en </w:t>
      </w:r>
      <w:r w:rsidR="00CD1281" w:rsidRPr="00063EF4">
        <w:rPr>
          <w:snapToGrid w:val="0"/>
          <w:sz w:val="20"/>
          <w:szCs w:val="22"/>
        </w:rPr>
        <w:t>los n</w:t>
      </w:r>
      <w:r w:rsidRPr="00063EF4">
        <w:rPr>
          <w:snapToGrid w:val="0"/>
          <w:sz w:val="20"/>
          <w:szCs w:val="22"/>
        </w:rPr>
        <w:t>uevos epígrafes.</w:t>
      </w:r>
    </w:p>
    <w:p w14:paraId="69D2015F" w14:textId="114B7185" w:rsidR="00484275" w:rsidRDefault="00484275" w:rsidP="00F372AF">
      <w:pPr>
        <w:widowControl w:val="0"/>
        <w:tabs>
          <w:tab w:val="left" w:pos="284"/>
        </w:tabs>
        <w:spacing w:before="120" w:line="276" w:lineRule="auto"/>
        <w:rPr>
          <w:snapToGrid w:val="0"/>
          <w:sz w:val="20"/>
        </w:rPr>
      </w:pPr>
    </w:p>
    <w:p w14:paraId="388B7C31" w14:textId="254D2466" w:rsidR="006220A2" w:rsidRPr="00CD3131" w:rsidRDefault="00C75886"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052BF5">
        <w:rPr>
          <w:b/>
          <w:snapToGrid w:val="0"/>
          <w:sz w:val="22"/>
          <w:szCs w:val="22"/>
        </w:rPr>
        <w:t xml:space="preserve"> </w:t>
      </w:r>
      <w:r w:rsidR="006220A2" w:rsidRPr="00CD3131">
        <w:rPr>
          <w:b/>
          <w:snapToGrid w:val="0"/>
          <w:sz w:val="22"/>
          <w:szCs w:val="22"/>
        </w:rPr>
        <w:t>Resultado del ejercicio</w:t>
      </w:r>
    </w:p>
    <w:p w14:paraId="5A28461B" w14:textId="77777777" w:rsidR="006220A2" w:rsidRPr="0083433F" w:rsidRDefault="006220A2" w:rsidP="00063EF4">
      <w:pPr>
        <w:keepNext/>
        <w:keepLines/>
        <w:widowControl w:val="0"/>
        <w:spacing w:before="200"/>
        <w:ind w:left="284"/>
        <w:rPr>
          <w:spacing w:val="-2"/>
          <w:sz w:val="20"/>
          <w:szCs w:val="22"/>
        </w:rPr>
      </w:pPr>
      <w:r w:rsidRPr="0083433F">
        <w:rPr>
          <w:spacing w:val="-2"/>
          <w:sz w:val="20"/>
          <w:szCs w:val="22"/>
          <w:u w:val="single"/>
        </w:rPr>
        <w:t>Propuesta de distribución del resultado</w:t>
      </w:r>
    </w:p>
    <w:p w14:paraId="56165FA3" w14:textId="356F203A"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 xml:space="preserve">La propuesta de distribución </w:t>
      </w:r>
      <w:r w:rsidR="007C7F1C" w:rsidRPr="00063EF4">
        <w:rPr>
          <w:snapToGrid w:val="0"/>
          <w:sz w:val="20"/>
          <w:szCs w:val="22"/>
        </w:rPr>
        <w:t>de resultados de</w:t>
      </w:r>
      <w:r w:rsidR="003704B2" w:rsidRPr="00063EF4">
        <w:rPr>
          <w:snapToGrid w:val="0"/>
          <w:sz w:val="20"/>
          <w:szCs w:val="22"/>
        </w:rPr>
        <w:t xml:space="preserve"> </w:t>
      </w:r>
      <w:r w:rsidR="007C7F1C" w:rsidRPr="00063EF4">
        <w:rPr>
          <w:snapToGrid w:val="0"/>
          <w:sz w:val="20"/>
          <w:szCs w:val="22"/>
        </w:rPr>
        <w:t>l</w:t>
      </w:r>
      <w:r w:rsidR="003704B2" w:rsidRPr="00063EF4">
        <w:rPr>
          <w:snapToGrid w:val="0"/>
          <w:sz w:val="20"/>
          <w:szCs w:val="22"/>
        </w:rPr>
        <w:t>os</w:t>
      </w:r>
      <w:r w:rsidR="007C7F1C" w:rsidRPr="00063EF4">
        <w:rPr>
          <w:snapToGrid w:val="0"/>
          <w:sz w:val="20"/>
          <w:szCs w:val="22"/>
        </w:rPr>
        <w:t xml:space="preserve"> ejercicio</w:t>
      </w:r>
      <w:r w:rsidR="003704B2" w:rsidRPr="00063EF4">
        <w:rPr>
          <w:snapToGrid w:val="0"/>
          <w:sz w:val="20"/>
          <w:szCs w:val="22"/>
        </w:rPr>
        <w:t>s</w:t>
      </w:r>
      <w:r w:rsidR="007C7F1C" w:rsidRPr="00063EF4">
        <w:rPr>
          <w:snapToGrid w:val="0"/>
          <w:sz w:val="20"/>
          <w:szCs w:val="22"/>
        </w:rPr>
        <w:t xml:space="preserve"> 20</w:t>
      </w:r>
      <w:r w:rsidR="003704B2" w:rsidRPr="00063EF4">
        <w:rPr>
          <w:snapToGrid w:val="0"/>
          <w:sz w:val="20"/>
          <w:szCs w:val="22"/>
        </w:rPr>
        <w:t>2</w:t>
      </w:r>
      <w:r w:rsidR="0035534D" w:rsidRPr="00063EF4">
        <w:rPr>
          <w:snapToGrid w:val="0"/>
          <w:sz w:val="20"/>
          <w:szCs w:val="22"/>
        </w:rPr>
        <w:t>1</w:t>
      </w:r>
      <w:r w:rsidR="003704B2" w:rsidRPr="00063EF4">
        <w:rPr>
          <w:snapToGrid w:val="0"/>
          <w:sz w:val="20"/>
          <w:szCs w:val="22"/>
        </w:rPr>
        <w:t xml:space="preserve"> y 20</w:t>
      </w:r>
      <w:r w:rsidR="0035534D" w:rsidRPr="00063EF4">
        <w:rPr>
          <w:snapToGrid w:val="0"/>
          <w:sz w:val="20"/>
          <w:szCs w:val="22"/>
        </w:rPr>
        <w:t>20</w:t>
      </w:r>
      <w:r w:rsidRPr="00063EF4">
        <w:rPr>
          <w:snapToGrid w:val="0"/>
          <w:sz w:val="20"/>
          <w:szCs w:val="22"/>
        </w:rPr>
        <w:t>, en base a las cuentas anuales del ejercicio formuladas por los administradores, es la siguiente:</w:t>
      </w:r>
    </w:p>
    <w:p w14:paraId="335FC449" w14:textId="77777777" w:rsidR="006220A2" w:rsidRPr="0083433F" w:rsidRDefault="006220A2" w:rsidP="006220A2">
      <w:pPr>
        <w:widowControl w:val="0"/>
        <w:tabs>
          <w:tab w:val="left" w:pos="567"/>
          <w:tab w:val="left" w:pos="1134"/>
          <w:tab w:val="left" w:pos="1587"/>
        </w:tabs>
        <w:rPr>
          <w:sz w:val="20"/>
          <w:szCs w:val="22"/>
        </w:rPr>
      </w:pPr>
    </w:p>
    <w:tbl>
      <w:tblPr>
        <w:tblW w:w="5000" w:type="pct"/>
        <w:tblCellMar>
          <w:left w:w="70" w:type="dxa"/>
          <w:right w:w="70" w:type="dxa"/>
        </w:tblCellMar>
        <w:tblLook w:val="04A0" w:firstRow="1" w:lastRow="0" w:firstColumn="1" w:lastColumn="0" w:noHBand="0" w:noVBand="1"/>
      </w:tblPr>
      <w:tblGrid>
        <w:gridCol w:w="5047"/>
        <w:gridCol w:w="1867"/>
        <w:gridCol w:w="1867"/>
      </w:tblGrid>
      <w:tr w:rsidR="00484275" w:rsidRPr="00C75886" w14:paraId="607CFE42" w14:textId="77777777" w:rsidTr="00063EF4">
        <w:trPr>
          <w:trHeight w:val="240"/>
        </w:trPr>
        <w:tc>
          <w:tcPr>
            <w:tcW w:w="2874" w:type="pct"/>
            <w:tcBorders>
              <w:top w:val="single" w:sz="4" w:space="0" w:color="auto"/>
              <w:left w:val="nil"/>
              <w:bottom w:val="nil"/>
              <w:right w:val="nil"/>
            </w:tcBorders>
            <w:shd w:val="clear" w:color="auto" w:fill="auto"/>
            <w:vAlign w:val="center"/>
            <w:hideMark/>
          </w:tcPr>
          <w:p w14:paraId="7BF9F6B6" w14:textId="77777777" w:rsidR="00484275" w:rsidRPr="00C75886" w:rsidRDefault="00484275" w:rsidP="00C7588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 </w:t>
            </w:r>
          </w:p>
        </w:tc>
        <w:tc>
          <w:tcPr>
            <w:tcW w:w="2126" w:type="pct"/>
            <w:gridSpan w:val="2"/>
            <w:tcBorders>
              <w:top w:val="single" w:sz="4" w:space="0" w:color="auto"/>
              <w:left w:val="nil"/>
              <w:bottom w:val="single" w:sz="4" w:space="0" w:color="auto"/>
              <w:right w:val="nil"/>
            </w:tcBorders>
            <w:shd w:val="clear" w:color="auto" w:fill="auto"/>
            <w:vAlign w:val="bottom"/>
            <w:hideMark/>
          </w:tcPr>
          <w:p w14:paraId="3F7AAE49" w14:textId="77777777" w:rsidR="00484275" w:rsidRPr="00C75886" w:rsidRDefault="00484275" w:rsidP="004842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75886">
              <w:rPr>
                <w:rFonts w:eastAsia="Times New Roman"/>
                <w:b/>
                <w:bCs/>
                <w:sz w:val="18"/>
                <w:szCs w:val="18"/>
                <w:bdr w:val="none" w:sz="0" w:space="0" w:color="auto"/>
                <w:lang w:eastAsia="es-ES"/>
              </w:rPr>
              <w:t>Euros</w:t>
            </w:r>
          </w:p>
        </w:tc>
      </w:tr>
      <w:tr w:rsidR="006D5DC1" w:rsidRPr="00C75886" w14:paraId="516F0F79" w14:textId="77777777" w:rsidTr="00063EF4">
        <w:trPr>
          <w:trHeight w:val="240"/>
        </w:trPr>
        <w:tc>
          <w:tcPr>
            <w:tcW w:w="2874" w:type="pct"/>
            <w:tcBorders>
              <w:top w:val="nil"/>
              <w:left w:val="nil"/>
              <w:bottom w:val="nil"/>
              <w:right w:val="nil"/>
            </w:tcBorders>
            <w:shd w:val="clear" w:color="auto" w:fill="auto"/>
            <w:vAlign w:val="center"/>
            <w:hideMark/>
          </w:tcPr>
          <w:p w14:paraId="36331EB7" w14:textId="77777777" w:rsidR="006D5DC1" w:rsidRPr="00C75886" w:rsidRDefault="006D5DC1" w:rsidP="006D5DC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063" w:type="pct"/>
            <w:tcBorders>
              <w:top w:val="single" w:sz="4" w:space="0" w:color="auto"/>
              <w:left w:val="nil"/>
              <w:bottom w:val="nil"/>
              <w:right w:val="nil"/>
            </w:tcBorders>
            <w:shd w:val="clear" w:color="auto" w:fill="auto"/>
            <w:vAlign w:val="bottom"/>
            <w:hideMark/>
          </w:tcPr>
          <w:p w14:paraId="622E2C2B" w14:textId="35779763" w:rsidR="006D5DC1" w:rsidRPr="00C75886" w:rsidRDefault="006D5DC1" w:rsidP="006D5DC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75886">
              <w:rPr>
                <w:rFonts w:eastAsia="Times New Roman"/>
                <w:b/>
                <w:bCs/>
                <w:sz w:val="18"/>
                <w:szCs w:val="18"/>
                <w:bdr w:val="none" w:sz="0" w:space="0" w:color="auto"/>
                <w:lang w:eastAsia="es-ES"/>
              </w:rPr>
              <w:t>202</w:t>
            </w:r>
            <w:r>
              <w:rPr>
                <w:rFonts w:eastAsia="Times New Roman"/>
                <w:b/>
                <w:bCs/>
                <w:sz w:val="18"/>
                <w:szCs w:val="18"/>
                <w:bdr w:val="none" w:sz="0" w:space="0" w:color="auto"/>
                <w:lang w:eastAsia="es-ES"/>
              </w:rPr>
              <w:t>1</w:t>
            </w:r>
          </w:p>
        </w:tc>
        <w:tc>
          <w:tcPr>
            <w:tcW w:w="1063" w:type="pct"/>
            <w:tcBorders>
              <w:top w:val="single" w:sz="4" w:space="0" w:color="auto"/>
              <w:left w:val="nil"/>
              <w:bottom w:val="nil"/>
              <w:right w:val="nil"/>
            </w:tcBorders>
            <w:shd w:val="clear" w:color="auto" w:fill="auto"/>
            <w:vAlign w:val="bottom"/>
            <w:hideMark/>
          </w:tcPr>
          <w:p w14:paraId="206157B9" w14:textId="7EDB577A" w:rsidR="006D5DC1" w:rsidRPr="00C75886" w:rsidRDefault="006D5DC1" w:rsidP="006D5DC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75886">
              <w:rPr>
                <w:rFonts w:eastAsia="Times New Roman"/>
                <w:b/>
                <w:bCs/>
                <w:sz w:val="18"/>
                <w:szCs w:val="18"/>
                <w:bdr w:val="none" w:sz="0" w:space="0" w:color="auto"/>
                <w:lang w:eastAsia="es-ES"/>
              </w:rPr>
              <w:t>2020</w:t>
            </w:r>
          </w:p>
        </w:tc>
      </w:tr>
      <w:tr w:rsidR="006D5DC1" w:rsidRPr="00C75886" w14:paraId="2EC87BF2" w14:textId="77777777" w:rsidTr="00063EF4">
        <w:trPr>
          <w:trHeight w:val="283"/>
        </w:trPr>
        <w:tc>
          <w:tcPr>
            <w:tcW w:w="2874" w:type="pct"/>
            <w:tcBorders>
              <w:top w:val="single" w:sz="4" w:space="0" w:color="auto"/>
              <w:left w:val="nil"/>
              <w:bottom w:val="nil"/>
              <w:right w:val="nil"/>
            </w:tcBorders>
            <w:shd w:val="clear" w:color="auto" w:fill="auto"/>
            <w:vAlign w:val="center"/>
            <w:hideMark/>
          </w:tcPr>
          <w:p w14:paraId="2CB188CC" w14:textId="77777777" w:rsidR="006D5DC1" w:rsidRPr="00C75886" w:rsidRDefault="006D5DC1" w:rsidP="006D5DC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C75886">
              <w:rPr>
                <w:rFonts w:eastAsia="Times New Roman"/>
                <w:b/>
                <w:bCs/>
                <w:sz w:val="18"/>
                <w:szCs w:val="18"/>
                <w:u w:val="single"/>
                <w:bdr w:val="none" w:sz="0" w:space="0" w:color="auto"/>
                <w:lang w:eastAsia="es-ES"/>
              </w:rPr>
              <w:t>Base de reparto</w:t>
            </w:r>
          </w:p>
        </w:tc>
        <w:tc>
          <w:tcPr>
            <w:tcW w:w="1063" w:type="pct"/>
            <w:tcBorders>
              <w:top w:val="single" w:sz="4" w:space="0" w:color="auto"/>
              <w:left w:val="nil"/>
              <w:bottom w:val="nil"/>
              <w:right w:val="nil"/>
            </w:tcBorders>
            <w:shd w:val="clear" w:color="auto" w:fill="auto"/>
            <w:vAlign w:val="center"/>
          </w:tcPr>
          <w:p w14:paraId="31D9CCE8" w14:textId="77777777" w:rsidR="006D5DC1" w:rsidRPr="00C75886" w:rsidRDefault="006D5DC1" w:rsidP="006D5DC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p>
        </w:tc>
        <w:tc>
          <w:tcPr>
            <w:tcW w:w="1063" w:type="pct"/>
            <w:tcBorders>
              <w:top w:val="single" w:sz="4" w:space="0" w:color="auto"/>
              <w:left w:val="nil"/>
              <w:bottom w:val="nil"/>
              <w:right w:val="nil"/>
            </w:tcBorders>
            <w:shd w:val="clear" w:color="auto" w:fill="auto"/>
            <w:vAlign w:val="center"/>
          </w:tcPr>
          <w:p w14:paraId="0B96AF1C" w14:textId="77777777" w:rsidR="006D5DC1" w:rsidRPr="00C75886" w:rsidRDefault="006D5DC1" w:rsidP="006D5DC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p>
        </w:tc>
      </w:tr>
      <w:tr w:rsidR="00901CFD" w:rsidRPr="00C75886" w14:paraId="15EE9C76" w14:textId="77777777" w:rsidTr="00063EF4">
        <w:trPr>
          <w:trHeight w:val="283"/>
        </w:trPr>
        <w:tc>
          <w:tcPr>
            <w:tcW w:w="2874" w:type="pct"/>
            <w:tcBorders>
              <w:top w:val="nil"/>
              <w:left w:val="nil"/>
              <w:bottom w:val="nil"/>
              <w:right w:val="nil"/>
            </w:tcBorders>
            <w:shd w:val="clear" w:color="auto" w:fill="auto"/>
            <w:vAlign w:val="center"/>
            <w:hideMark/>
          </w:tcPr>
          <w:p w14:paraId="5C47C449" w14:textId="77777777" w:rsidR="00901CFD" w:rsidRPr="00C75886" w:rsidRDefault="00901CFD" w:rsidP="00901CF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Pérdida</w:t>
            </w:r>
          </w:p>
        </w:tc>
        <w:tc>
          <w:tcPr>
            <w:tcW w:w="1063" w:type="pct"/>
            <w:tcBorders>
              <w:top w:val="nil"/>
              <w:left w:val="nil"/>
              <w:bottom w:val="nil"/>
              <w:right w:val="nil"/>
            </w:tcBorders>
            <w:shd w:val="clear" w:color="auto" w:fill="auto"/>
            <w:vAlign w:val="center"/>
          </w:tcPr>
          <w:p w14:paraId="48420866" w14:textId="6EFE8CE0" w:rsidR="00901CFD" w:rsidRDefault="00901CFD" w:rsidP="00901CF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2.267.888,00   </w:t>
            </w:r>
          </w:p>
        </w:tc>
        <w:tc>
          <w:tcPr>
            <w:tcW w:w="1063" w:type="pct"/>
            <w:tcBorders>
              <w:top w:val="nil"/>
              <w:left w:val="nil"/>
              <w:bottom w:val="nil"/>
              <w:right w:val="nil"/>
            </w:tcBorders>
            <w:shd w:val="clear" w:color="auto" w:fill="auto"/>
            <w:vAlign w:val="center"/>
            <w:hideMark/>
          </w:tcPr>
          <w:p w14:paraId="28490FC4" w14:textId="0A1F5A32" w:rsidR="00901CFD" w:rsidRPr="00C75886" w:rsidRDefault="00901CFD" w:rsidP="00901CF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2.223.683,00   </w:t>
            </w:r>
          </w:p>
        </w:tc>
      </w:tr>
      <w:tr w:rsidR="00901CFD" w:rsidRPr="00C75886" w14:paraId="3B9B13CC" w14:textId="77777777" w:rsidTr="00063EF4">
        <w:trPr>
          <w:trHeight w:val="283"/>
        </w:trPr>
        <w:tc>
          <w:tcPr>
            <w:tcW w:w="2874" w:type="pct"/>
            <w:tcBorders>
              <w:top w:val="single" w:sz="4" w:space="0" w:color="auto"/>
              <w:left w:val="nil"/>
              <w:bottom w:val="single" w:sz="4" w:space="0" w:color="auto"/>
              <w:right w:val="nil"/>
            </w:tcBorders>
            <w:shd w:val="clear" w:color="auto" w:fill="auto"/>
            <w:vAlign w:val="center"/>
            <w:hideMark/>
          </w:tcPr>
          <w:p w14:paraId="7DF50E90" w14:textId="77777777" w:rsidR="00901CFD" w:rsidRPr="00C75886" w:rsidRDefault="00901CFD" w:rsidP="00901CF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 </w:t>
            </w:r>
          </w:p>
        </w:tc>
        <w:tc>
          <w:tcPr>
            <w:tcW w:w="1063" w:type="pct"/>
            <w:tcBorders>
              <w:top w:val="single" w:sz="4" w:space="0" w:color="auto"/>
              <w:left w:val="nil"/>
              <w:bottom w:val="single" w:sz="4" w:space="0" w:color="auto"/>
              <w:right w:val="nil"/>
            </w:tcBorders>
            <w:shd w:val="clear" w:color="auto" w:fill="auto"/>
            <w:vAlign w:val="center"/>
          </w:tcPr>
          <w:p w14:paraId="3D3CB741" w14:textId="7BC5CDA3" w:rsidR="00901CFD" w:rsidRDefault="00901CFD" w:rsidP="00901CFD">
            <w:pPr>
              <w:jc w:val="right"/>
              <w:rPr>
                <w:b/>
                <w:bCs/>
                <w:sz w:val="18"/>
                <w:szCs w:val="18"/>
              </w:rPr>
            </w:pPr>
            <w:r>
              <w:rPr>
                <w:b/>
                <w:bCs/>
                <w:sz w:val="18"/>
                <w:szCs w:val="18"/>
              </w:rPr>
              <w:t xml:space="preserve">2.267.888,00   </w:t>
            </w:r>
          </w:p>
        </w:tc>
        <w:tc>
          <w:tcPr>
            <w:tcW w:w="1063" w:type="pct"/>
            <w:tcBorders>
              <w:top w:val="single" w:sz="4" w:space="0" w:color="auto"/>
              <w:left w:val="nil"/>
              <w:bottom w:val="single" w:sz="4" w:space="0" w:color="auto"/>
              <w:right w:val="nil"/>
            </w:tcBorders>
            <w:shd w:val="clear" w:color="auto" w:fill="auto"/>
            <w:vAlign w:val="center"/>
            <w:hideMark/>
          </w:tcPr>
          <w:p w14:paraId="5D4F05B7" w14:textId="2E7D8000" w:rsidR="00901CFD" w:rsidRPr="00C75886" w:rsidRDefault="00901CFD" w:rsidP="00901CF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 xml:space="preserve">2.223.683,00   </w:t>
            </w:r>
          </w:p>
        </w:tc>
      </w:tr>
      <w:tr w:rsidR="00901CFD" w:rsidRPr="00C75886" w14:paraId="3C0CCC4D" w14:textId="77777777" w:rsidTr="00063EF4">
        <w:trPr>
          <w:trHeight w:val="283"/>
        </w:trPr>
        <w:tc>
          <w:tcPr>
            <w:tcW w:w="2874" w:type="pct"/>
            <w:tcBorders>
              <w:top w:val="nil"/>
              <w:left w:val="nil"/>
              <w:bottom w:val="nil"/>
              <w:right w:val="nil"/>
            </w:tcBorders>
            <w:shd w:val="clear" w:color="auto" w:fill="auto"/>
            <w:vAlign w:val="center"/>
            <w:hideMark/>
          </w:tcPr>
          <w:p w14:paraId="47535C8A" w14:textId="77777777" w:rsidR="00901CFD" w:rsidRPr="00C75886" w:rsidRDefault="00901CFD" w:rsidP="00901CF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C75886">
              <w:rPr>
                <w:rFonts w:eastAsia="Times New Roman"/>
                <w:b/>
                <w:bCs/>
                <w:sz w:val="18"/>
                <w:szCs w:val="18"/>
                <w:u w:val="single"/>
                <w:bdr w:val="none" w:sz="0" w:space="0" w:color="auto"/>
                <w:lang w:eastAsia="es-ES"/>
              </w:rPr>
              <w:t>Aplicación</w:t>
            </w:r>
          </w:p>
        </w:tc>
        <w:tc>
          <w:tcPr>
            <w:tcW w:w="1063" w:type="pct"/>
            <w:tcBorders>
              <w:top w:val="nil"/>
              <w:left w:val="nil"/>
              <w:bottom w:val="nil"/>
              <w:right w:val="nil"/>
            </w:tcBorders>
            <w:shd w:val="clear" w:color="auto" w:fill="auto"/>
            <w:vAlign w:val="center"/>
          </w:tcPr>
          <w:p w14:paraId="6411F565" w14:textId="77777777" w:rsidR="00901CFD" w:rsidRDefault="00901CFD" w:rsidP="00901CFD">
            <w:pPr>
              <w:jc w:val="right"/>
              <w:rPr>
                <w:b/>
                <w:bCs/>
                <w:sz w:val="18"/>
                <w:szCs w:val="18"/>
              </w:rPr>
            </w:pPr>
          </w:p>
        </w:tc>
        <w:tc>
          <w:tcPr>
            <w:tcW w:w="1063" w:type="pct"/>
            <w:tcBorders>
              <w:top w:val="nil"/>
              <w:left w:val="nil"/>
              <w:bottom w:val="nil"/>
              <w:right w:val="nil"/>
            </w:tcBorders>
            <w:shd w:val="clear" w:color="auto" w:fill="auto"/>
            <w:vAlign w:val="center"/>
            <w:hideMark/>
          </w:tcPr>
          <w:p w14:paraId="200006AD" w14:textId="77777777" w:rsidR="00901CFD" w:rsidRPr="00C75886" w:rsidRDefault="00901CFD" w:rsidP="00901CF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901CFD" w:rsidRPr="00C75886" w14:paraId="56B56E7F" w14:textId="77777777" w:rsidTr="00063EF4">
        <w:trPr>
          <w:trHeight w:val="283"/>
        </w:trPr>
        <w:tc>
          <w:tcPr>
            <w:tcW w:w="2874" w:type="pct"/>
            <w:tcBorders>
              <w:top w:val="nil"/>
              <w:left w:val="nil"/>
              <w:bottom w:val="nil"/>
              <w:right w:val="nil"/>
            </w:tcBorders>
            <w:shd w:val="clear" w:color="auto" w:fill="auto"/>
            <w:vAlign w:val="center"/>
            <w:hideMark/>
          </w:tcPr>
          <w:p w14:paraId="52067B51" w14:textId="77777777" w:rsidR="00901CFD" w:rsidRPr="00C75886" w:rsidRDefault="00901CFD" w:rsidP="00901CF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Resultados negativos de ejercicios anteriores</w:t>
            </w:r>
          </w:p>
        </w:tc>
        <w:tc>
          <w:tcPr>
            <w:tcW w:w="1063" w:type="pct"/>
            <w:tcBorders>
              <w:top w:val="nil"/>
              <w:left w:val="nil"/>
              <w:bottom w:val="nil"/>
              <w:right w:val="nil"/>
            </w:tcBorders>
            <w:shd w:val="clear" w:color="auto" w:fill="auto"/>
            <w:vAlign w:val="center"/>
          </w:tcPr>
          <w:p w14:paraId="5DB5A7FE" w14:textId="2907AB07" w:rsidR="00901CFD" w:rsidRDefault="00901CFD" w:rsidP="00901CFD">
            <w:pPr>
              <w:jc w:val="right"/>
              <w:rPr>
                <w:sz w:val="18"/>
                <w:szCs w:val="18"/>
              </w:rPr>
            </w:pPr>
            <w:r>
              <w:rPr>
                <w:sz w:val="18"/>
                <w:szCs w:val="18"/>
              </w:rPr>
              <w:t xml:space="preserve">2.267.888,00   </w:t>
            </w:r>
          </w:p>
        </w:tc>
        <w:tc>
          <w:tcPr>
            <w:tcW w:w="1063" w:type="pct"/>
            <w:tcBorders>
              <w:top w:val="nil"/>
              <w:left w:val="nil"/>
              <w:bottom w:val="nil"/>
              <w:right w:val="nil"/>
            </w:tcBorders>
            <w:shd w:val="clear" w:color="auto" w:fill="auto"/>
            <w:vAlign w:val="center"/>
            <w:hideMark/>
          </w:tcPr>
          <w:p w14:paraId="1CFAA5C0" w14:textId="7FB297CA" w:rsidR="00901CFD" w:rsidRPr="00C75886" w:rsidRDefault="00901CFD" w:rsidP="00901CF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2.223.683,00   </w:t>
            </w:r>
          </w:p>
        </w:tc>
      </w:tr>
      <w:tr w:rsidR="00901CFD" w:rsidRPr="00C75886" w14:paraId="363D5215" w14:textId="77777777" w:rsidTr="00063EF4">
        <w:trPr>
          <w:trHeight w:val="283"/>
        </w:trPr>
        <w:tc>
          <w:tcPr>
            <w:tcW w:w="2874" w:type="pct"/>
            <w:tcBorders>
              <w:top w:val="single" w:sz="4" w:space="0" w:color="auto"/>
              <w:left w:val="nil"/>
              <w:bottom w:val="single" w:sz="4" w:space="0" w:color="auto"/>
              <w:right w:val="nil"/>
            </w:tcBorders>
            <w:shd w:val="clear" w:color="auto" w:fill="auto"/>
            <w:vAlign w:val="center"/>
            <w:hideMark/>
          </w:tcPr>
          <w:p w14:paraId="095CDD60" w14:textId="77777777" w:rsidR="00901CFD" w:rsidRPr="00C75886" w:rsidRDefault="00901CFD" w:rsidP="00901CF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 </w:t>
            </w:r>
          </w:p>
        </w:tc>
        <w:tc>
          <w:tcPr>
            <w:tcW w:w="1063" w:type="pct"/>
            <w:tcBorders>
              <w:top w:val="single" w:sz="4" w:space="0" w:color="auto"/>
              <w:left w:val="nil"/>
              <w:bottom w:val="single" w:sz="4" w:space="0" w:color="auto"/>
              <w:right w:val="nil"/>
            </w:tcBorders>
            <w:shd w:val="clear" w:color="auto" w:fill="auto"/>
            <w:vAlign w:val="center"/>
          </w:tcPr>
          <w:p w14:paraId="4AA55A2E" w14:textId="345D8DAF" w:rsidR="00901CFD" w:rsidRDefault="00901CFD" w:rsidP="00901CFD">
            <w:pPr>
              <w:jc w:val="right"/>
              <w:rPr>
                <w:b/>
                <w:bCs/>
                <w:sz w:val="18"/>
                <w:szCs w:val="18"/>
              </w:rPr>
            </w:pPr>
            <w:r>
              <w:rPr>
                <w:b/>
                <w:bCs/>
                <w:sz w:val="18"/>
                <w:szCs w:val="18"/>
              </w:rPr>
              <w:t xml:space="preserve">2.267.888,00   </w:t>
            </w:r>
          </w:p>
        </w:tc>
        <w:tc>
          <w:tcPr>
            <w:tcW w:w="1063" w:type="pct"/>
            <w:tcBorders>
              <w:top w:val="single" w:sz="4" w:space="0" w:color="auto"/>
              <w:left w:val="nil"/>
              <w:bottom w:val="single" w:sz="4" w:space="0" w:color="auto"/>
              <w:right w:val="nil"/>
            </w:tcBorders>
            <w:shd w:val="clear" w:color="auto" w:fill="auto"/>
            <w:vAlign w:val="center"/>
            <w:hideMark/>
          </w:tcPr>
          <w:p w14:paraId="44817A4A" w14:textId="2CE0DFD3" w:rsidR="00901CFD" w:rsidRPr="00C75886" w:rsidRDefault="00901CFD" w:rsidP="00901CF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 xml:space="preserve">2.223.683,00   </w:t>
            </w:r>
          </w:p>
        </w:tc>
      </w:tr>
    </w:tbl>
    <w:p w14:paraId="599A50B6" w14:textId="7713663E" w:rsidR="00063EF4" w:rsidRDefault="006220A2"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063EF4">
        <w:rPr>
          <w:snapToGrid w:val="0"/>
          <w:sz w:val="20"/>
          <w:szCs w:val="22"/>
        </w:rPr>
        <w:t>Con posterioridad a la formulación de las cu</w:t>
      </w:r>
      <w:r w:rsidR="00694E39" w:rsidRPr="00063EF4">
        <w:rPr>
          <w:snapToGrid w:val="0"/>
          <w:sz w:val="20"/>
          <w:szCs w:val="22"/>
        </w:rPr>
        <w:t>entas anuales del ejercicio 20</w:t>
      </w:r>
      <w:r w:rsidR="00D93900" w:rsidRPr="00063EF4">
        <w:rPr>
          <w:snapToGrid w:val="0"/>
          <w:sz w:val="20"/>
          <w:szCs w:val="22"/>
        </w:rPr>
        <w:t>20</w:t>
      </w:r>
      <w:r w:rsidRPr="00063EF4">
        <w:rPr>
          <w:snapToGrid w:val="0"/>
          <w:sz w:val="20"/>
          <w:szCs w:val="22"/>
        </w:rPr>
        <w:t xml:space="preserve">, la Junta en reunión de fecha </w:t>
      </w:r>
      <w:r w:rsidR="00A04128" w:rsidRPr="00063EF4">
        <w:rPr>
          <w:snapToGrid w:val="0"/>
          <w:sz w:val="20"/>
          <w:szCs w:val="22"/>
        </w:rPr>
        <w:t>5</w:t>
      </w:r>
      <w:r w:rsidR="00B02419" w:rsidRPr="00063EF4">
        <w:rPr>
          <w:snapToGrid w:val="0"/>
          <w:sz w:val="20"/>
          <w:szCs w:val="22"/>
        </w:rPr>
        <w:t xml:space="preserve"> de</w:t>
      </w:r>
      <w:r w:rsidR="00A04128" w:rsidRPr="00063EF4">
        <w:rPr>
          <w:snapToGrid w:val="0"/>
          <w:sz w:val="20"/>
          <w:szCs w:val="22"/>
        </w:rPr>
        <w:t xml:space="preserve"> mayo</w:t>
      </w:r>
      <w:r w:rsidR="00B02419" w:rsidRPr="00063EF4">
        <w:rPr>
          <w:snapToGrid w:val="0"/>
          <w:sz w:val="20"/>
          <w:szCs w:val="22"/>
        </w:rPr>
        <w:t xml:space="preserve"> </w:t>
      </w:r>
      <w:r w:rsidR="00CC7A4A" w:rsidRPr="00063EF4">
        <w:rPr>
          <w:snapToGrid w:val="0"/>
          <w:sz w:val="20"/>
          <w:szCs w:val="22"/>
        </w:rPr>
        <w:t>de 20</w:t>
      </w:r>
      <w:r w:rsidR="00C75886" w:rsidRPr="00063EF4">
        <w:rPr>
          <w:snapToGrid w:val="0"/>
          <w:sz w:val="20"/>
          <w:szCs w:val="22"/>
        </w:rPr>
        <w:t>2</w:t>
      </w:r>
      <w:r w:rsidR="00A04128" w:rsidRPr="00063EF4">
        <w:rPr>
          <w:snapToGrid w:val="0"/>
          <w:sz w:val="20"/>
          <w:szCs w:val="22"/>
        </w:rPr>
        <w:t>1</w:t>
      </w:r>
      <w:r w:rsidRPr="00063EF4">
        <w:rPr>
          <w:snapToGrid w:val="0"/>
          <w:sz w:val="20"/>
          <w:szCs w:val="22"/>
        </w:rPr>
        <w:t>, acordó la compensación del Resul</w:t>
      </w:r>
      <w:r w:rsidR="00694E39" w:rsidRPr="00063EF4">
        <w:rPr>
          <w:snapToGrid w:val="0"/>
          <w:sz w:val="20"/>
          <w:szCs w:val="22"/>
        </w:rPr>
        <w:t>tado negativo del ejercicio 20</w:t>
      </w:r>
      <w:r w:rsidR="00A04128" w:rsidRPr="00063EF4">
        <w:rPr>
          <w:snapToGrid w:val="0"/>
          <w:sz w:val="20"/>
          <w:szCs w:val="22"/>
        </w:rPr>
        <w:t>20</w:t>
      </w:r>
      <w:r w:rsidR="00C75886" w:rsidRPr="00063EF4">
        <w:rPr>
          <w:snapToGrid w:val="0"/>
          <w:sz w:val="20"/>
          <w:szCs w:val="22"/>
        </w:rPr>
        <w:t xml:space="preserve"> </w:t>
      </w:r>
      <w:r w:rsidRPr="00063EF4">
        <w:rPr>
          <w:snapToGrid w:val="0"/>
          <w:sz w:val="20"/>
          <w:szCs w:val="22"/>
        </w:rPr>
        <w:t xml:space="preserve">contra aportaciones de socios por importe de </w:t>
      </w:r>
      <w:r w:rsidR="00B02419" w:rsidRPr="00063EF4">
        <w:rPr>
          <w:snapToGrid w:val="0"/>
          <w:sz w:val="20"/>
          <w:szCs w:val="22"/>
        </w:rPr>
        <w:t>2.</w:t>
      </w:r>
      <w:r w:rsidR="00A04128" w:rsidRPr="00063EF4">
        <w:rPr>
          <w:snapToGrid w:val="0"/>
          <w:sz w:val="20"/>
          <w:szCs w:val="22"/>
        </w:rPr>
        <w:t xml:space="preserve">223.683,00 </w:t>
      </w:r>
      <w:r w:rsidRPr="00063EF4">
        <w:rPr>
          <w:snapToGrid w:val="0"/>
          <w:sz w:val="20"/>
          <w:szCs w:val="22"/>
        </w:rPr>
        <w:t>euros</w:t>
      </w:r>
      <w:r w:rsidR="00C75886" w:rsidRPr="00063EF4">
        <w:rPr>
          <w:snapToGrid w:val="0"/>
          <w:sz w:val="20"/>
          <w:szCs w:val="22"/>
        </w:rPr>
        <w:t>.</w:t>
      </w:r>
    </w:p>
    <w:p w14:paraId="3E4656EE" w14:textId="77777777" w:rsidR="00063EF4" w:rsidRDefault="00063EF4">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5DB42A18" w14:textId="745A7A48" w:rsidR="006220A2" w:rsidRPr="00052BF5" w:rsidRDefault="007F3953"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052BF5">
        <w:rPr>
          <w:b/>
          <w:snapToGrid w:val="0"/>
          <w:sz w:val="22"/>
          <w:szCs w:val="22"/>
        </w:rPr>
        <w:lastRenderedPageBreak/>
        <w:t xml:space="preserve"> </w:t>
      </w:r>
      <w:r w:rsidR="006220A2" w:rsidRPr="00052BF5">
        <w:rPr>
          <w:b/>
          <w:snapToGrid w:val="0"/>
          <w:sz w:val="22"/>
          <w:szCs w:val="22"/>
        </w:rPr>
        <w:t>Criterios contables</w:t>
      </w:r>
    </w:p>
    <w:p w14:paraId="63BFBBF9" w14:textId="77777777" w:rsidR="006220A2" w:rsidRPr="009B0773" w:rsidRDefault="006220A2" w:rsidP="00063EF4">
      <w:pPr>
        <w:widowControl w:val="0"/>
        <w:spacing w:before="240" w:after="120" w:line="260" w:lineRule="exact"/>
        <w:rPr>
          <w:sz w:val="20"/>
          <w:szCs w:val="20"/>
        </w:rPr>
      </w:pPr>
      <w:r w:rsidRPr="009B0773">
        <w:rPr>
          <w:b/>
          <w:sz w:val="20"/>
          <w:szCs w:val="20"/>
        </w:rPr>
        <w:t xml:space="preserve">4.1 </w:t>
      </w:r>
      <w:r w:rsidRPr="009B0773">
        <w:rPr>
          <w:b/>
          <w:sz w:val="20"/>
          <w:szCs w:val="20"/>
        </w:rPr>
        <w:tab/>
        <w:t>Inmovilizado intangible</w:t>
      </w:r>
    </w:p>
    <w:p w14:paraId="4D9B36D1" w14:textId="77777777" w:rsidR="006220A2" w:rsidRPr="0083433F" w:rsidRDefault="006220A2" w:rsidP="006220A2">
      <w:pPr>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rPr>
          <w:sz w:val="20"/>
          <w:u w:val="single"/>
        </w:rPr>
      </w:pPr>
      <w:r w:rsidRPr="0083433F">
        <w:rPr>
          <w:sz w:val="20"/>
        </w:rPr>
        <w:t>a)</w:t>
      </w:r>
      <w:r w:rsidRPr="0083433F">
        <w:rPr>
          <w:sz w:val="20"/>
        </w:rPr>
        <w:tab/>
      </w:r>
      <w:r w:rsidRPr="0083433F">
        <w:rPr>
          <w:sz w:val="20"/>
          <w:u w:val="single"/>
        </w:rPr>
        <w:t>Licencias y marcas</w:t>
      </w:r>
    </w:p>
    <w:p w14:paraId="5692D753" w14:textId="77777777" w:rsidR="006220A2" w:rsidRPr="00063EF4" w:rsidRDefault="006220A2" w:rsidP="00063EF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063EF4">
        <w:rPr>
          <w:snapToGrid w:val="0"/>
          <w:sz w:val="20"/>
          <w:szCs w:val="22"/>
        </w:rPr>
        <w:t>Las licencias y marcas tienen una vida útil definida y se llevan a coste menos amortización acumulada y correcciones por deterioro del valor reconocidas. La amortización se calcula por el método lineal para asignar el coste de las marcas y licencias durante su vida útil estimada (10 años).</w:t>
      </w:r>
    </w:p>
    <w:p w14:paraId="5A5B7E77" w14:textId="77777777" w:rsidR="006220A2" w:rsidRPr="0083433F" w:rsidRDefault="006220A2" w:rsidP="003704B2">
      <w:pPr>
        <w:keepNext/>
        <w:keepLines/>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rPr>
          <w:sz w:val="20"/>
          <w:u w:val="single"/>
        </w:rPr>
      </w:pPr>
      <w:r w:rsidRPr="0083433F">
        <w:rPr>
          <w:sz w:val="20"/>
        </w:rPr>
        <w:t>b)</w:t>
      </w:r>
      <w:r w:rsidRPr="0083433F">
        <w:rPr>
          <w:sz w:val="20"/>
        </w:rPr>
        <w:tab/>
      </w:r>
      <w:r w:rsidRPr="0083433F">
        <w:rPr>
          <w:sz w:val="20"/>
          <w:u w:val="single"/>
        </w:rPr>
        <w:t>Aplicaciones informáticas</w:t>
      </w:r>
    </w:p>
    <w:p w14:paraId="030F89FB"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Las licencias para programas informáticos adquiridas a terceros se capitalizan sobre la base de los costes en que se ha incurrido para adquirirlas y prepararlas para usar el programa específico. Estos costes se amortizan durante sus vidas útiles estimadas (3 años).</w:t>
      </w:r>
    </w:p>
    <w:p w14:paraId="062D0122"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Los gastos relacionados con el mantenimiento de programas informáticos se reconocen como gasto cuando se incurre en ellos.</w:t>
      </w:r>
    </w:p>
    <w:p w14:paraId="07912982" w14:textId="77777777" w:rsidR="006220A2" w:rsidRPr="00063EF4" w:rsidRDefault="006220A2" w:rsidP="00063EF4">
      <w:pPr>
        <w:widowControl w:val="0"/>
        <w:spacing w:before="240" w:after="120" w:line="260" w:lineRule="exact"/>
        <w:rPr>
          <w:b/>
          <w:sz w:val="20"/>
          <w:szCs w:val="20"/>
        </w:rPr>
      </w:pPr>
      <w:r w:rsidRPr="00063EF4">
        <w:rPr>
          <w:b/>
          <w:sz w:val="20"/>
          <w:szCs w:val="20"/>
        </w:rPr>
        <w:t xml:space="preserve">4.2 </w:t>
      </w:r>
      <w:r w:rsidRPr="00063EF4">
        <w:rPr>
          <w:b/>
          <w:sz w:val="20"/>
          <w:szCs w:val="20"/>
        </w:rPr>
        <w:tab/>
        <w:t>Inmovilizado material</w:t>
      </w:r>
    </w:p>
    <w:p w14:paraId="66F21484"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 xml:space="preserve">Los elementos del inmovilizado material se reconocen por su precio de adquisición o coste de producción menos la amortización acumulada y el importe acumulado de las pérdidas reconocidas. </w:t>
      </w:r>
    </w:p>
    <w:p w14:paraId="7009F4A7"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Los costes de ampliación, modernización o mejora de los bienes del inmovilizado material se incorporan al activo como mayor valor del bien exclusivamente cuando suponen un aumento de su capacidad, productividad o alargamiento de su vida útil, y siempre que sea posible conocer o estimar el valor contable de los elementos que resultan dados de baja del inventario por haber sido sustituidos.</w:t>
      </w:r>
    </w:p>
    <w:p w14:paraId="48FBA8C6"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Los costes de reparaciones importantes se activan y se amortizan durante la vida útil estimada de los mismos, mientras que los gastos de mantenimiento recurrentes se cargan en la cuenta de pérdidas y ganancias durante el ejercicio en que se incurre en ellos.</w:t>
      </w:r>
    </w:p>
    <w:p w14:paraId="79868260" w14:textId="5B7AC4C1" w:rsidR="006220A2" w:rsidRDefault="006220A2" w:rsidP="00063EF4">
      <w:pPr>
        <w:widowControl w:val="0"/>
        <w:spacing w:before="120" w:after="120" w:line="260" w:lineRule="exact"/>
        <w:ind w:left="284"/>
        <w:jc w:val="both"/>
        <w:outlineLvl w:val="9"/>
        <w:rPr>
          <w:snapToGrid w:val="0"/>
          <w:sz w:val="20"/>
          <w:szCs w:val="22"/>
        </w:rPr>
      </w:pPr>
      <w:r w:rsidRPr="00063EF4">
        <w:rPr>
          <w:snapToGrid w:val="0"/>
          <w:sz w:val="20"/>
          <w:szCs w:val="22"/>
        </w:rPr>
        <w:t>La amortización del inmovilizado material, con excepción de los terrenos que no se amortizan, se calcula sistemáticamente por el método lineal en función de su vida útil estimada, atendiendo a la depreciación efectivamente sufrida por su funcionamiento, uso y disfrute. Las vidas útiles estimadas son:</w:t>
      </w:r>
    </w:p>
    <w:tbl>
      <w:tblPr>
        <w:tblW w:w="5000" w:type="pct"/>
        <w:jc w:val="center"/>
        <w:tblLook w:val="04A0" w:firstRow="1" w:lastRow="0" w:firstColumn="1" w:lastColumn="0" w:noHBand="0" w:noVBand="1"/>
      </w:tblPr>
      <w:tblGrid>
        <w:gridCol w:w="5997"/>
        <w:gridCol w:w="2784"/>
      </w:tblGrid>
      <w:tr w:rsidR="006220A2" w:rsidRPr="0083433F" w14:paraId="7A654338" w14:textId="77777777" w:rsidTr="00063EF4">
        <w:trPr>
          <w:trHeight w:val="340"/>
          <w:jc w:val="center"/>
        </w:trPr>
        <w:tc>
          <w:tcPr>
            <w:tcW w:w="3415" w:type="pct"/>
            <w:tcBorders>
              <w:top w:val="single" w:sz="4" w:space="0" w:color="auto"/>
              <w:bottom w:val="single" w:sz="4" w:space="0" w:color="auto"/>
            </w:tcBorders>
            <w:shd w:val="clear" w:color="auto" w:fill="auto"/>
            <w:vAlign w:val="bottom"/>
          </w:tcPr>
          <w:p w14:paraId="3844A3E6" w14:textId="77777777" w:rsidR="006220A2" w:rsidRPr="0083433F" w:rsidRDefault="006220A2" w:rsidP="00063EF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ind w:left="319"/>
              <w:jc w:val="center"/>
              <w:rPr>
                <w:rFonts w:cs="Arial"/>
                <w:b/>
                <w:noProof w:val="0"/>
                <w:snapToGrid w:val="0"/>
                <w:szCs w:val="18"/>
              </w:rPr>
            </w:pPr>
            <w:r w:rsidRPr="0083433F">
              <w:rPr>
                <w:rFonts w:cs="Arial"/>
                <w:b/>
                <w:noProof w:val="0"/>
                <w:snapToGrid w:val="0"/>
                <w:szCs w:val="18"/>
              </w:rPr>
              <w:t>Descripción</w:t>
            </w:r>
          </w:p>
        </w:tc>
        <w:tc>
          <w:tcPr>
            <w:tcW w:w="1585" w:type="pct"/>
            <w:tcBorders>
              <w:top w:val="single" w:sz="4" w:space="0" w:color="auto"/>
              <w:bottom w:val="single" w:sz="4" w:space="0" w:color="auto"/>
            </w:tcBorders>
            <w:shd w:val="clear" w:color="auto" w:fill="auto"/>
            <w:vAlign w:val="bottom"/>
          </w:tcPr>
          <w:p w14:paraId="3C506E52"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83433F">
              <w:rPr>
                <w:rFonts w:cs="Arial"/>
                <w:b/>
                <w:noProof w:val="0"/>
                <w:snapToGrid w:val="0"/>
                <w:szCs w:val="18"/>
              </w:rPr>
              <w:t>Años de vida útil</w:t>
            </w:r>
          </w:p>
          <w:p w14:paraId="74A5095E"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83433F">
              <w:rPr>
                <w:rFonts w:cs="Arial"/>
                <w:b/>
                <w:noProof w:val="0"/>
                <w:snapToGrid w:val="0"/>
                <w:szCs w:val="18"/>
              </w:rPr>
              <w:t>estimada</w:t>
            </w:r>
          </w:p>
        </w:tc>
      </w:tr>
      <w:tr w:rsidR="006220A2" w:rsidRPr="0083433F" w14:paraId="3500BCD4" w14:textId="77777777" w:rsidTr="00063EF4">
        <w:trPr>
          <w:trHeight w:val="283"/>
          <w:jc w:val="center"/>
        </w:trPr>
        <w:tc>
          <w:tcPr>
            <w:tcW w:w="3415" w:type="pct"/>
            <w:tcBorders>
              <w:top w:val="single" w:sz="4" w:space="0" w:color="auto"/>
            </w:tcBorders>
            <w:shd w:val="clear" w:color="auto" w:fill="auto"/>
            <w:vAlign w:val="center"/>
          </w:tcPr>
          <w:p w14:paraId="19D0C716" w14:textId="77777777" w:rsidR="006220A2" w:rsidRPr="0083433F" w:rsidRDefault="006220A2" w:rsidP="00063EF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ind w:left="319"/>
              <w:rPr>
                <w:rFonts w:cs="Arial"/>
                <w:noProof w:val="0"/>
                <w:snapToGrid w:val="0"/>
                <w:szCs w:val="18"/>
              </w:rPr>
            </w:pPr>
            <w:r w:rsidRPr="0083433F">
              <w:rPr>
                <w:rFonts w:cs="Arial"/>
                <w:noProof w:val="0"/>
                <w:snapToGrid w:val="0"/>
                <w:szCs w:val="18"/>
              </w:rPr>
              <w:t>Construcciones</w:t>
            </w:r>
          </w:p>
        </w:tc>
        <w:tc>
          <w:tcPr>
            <w:tcW w:w="1585" w:type="pct"/>
            <w:tcBorders>
              <w:top w:val="single" w:sz="4" w:space="0" w:color="auto"/>
            </w:tcBorders>
            <w:shd w:val="clear" w:color="auto" w:fill="auto"/>
            <w:vAlign w:val="center"/>
          </w:tcPr>
          <w:p w14:paraId="797267B0"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3-30</w:t>
            </w:r>
          </w:p>
        </w:tc>
      </w:tr>
      <w:tr w:rsidR="006220A2" w:rsidRPr="0083433F" w14:paraId="26A17CBA" w14:textId="77777777" w:rsidTr="00063EF4">
        <w:trPr>
          <w:trHeight w:val="283"/>
          <w:jc w:val="center"/>
        </w:trPr>
        <w:tc>
          <w:tcPr>
            <w:tcW w:w="3415" w:type="pct"/>
            <w:shd w:val="clear" w:color="auto" w:fill="auto"/>
            <w:vAlign w:val="center"/>
          </w:tcPr>
          <w:p w14:paraId="7858EE73" w14:textId="77777777" w:rsidR="006220A2" w:rsidRPr="0083433F" w:rsidRDefault="006220A2" w:rsidP="00063EF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ind w:left="319"/>
              <w:rPr>
                <w:rFonts w:cs="Arial"/>
                <w:noProof w:val="0"/>
                <w:snapToGrid w:val="0"/>
                <w:szCs w:val="18"/>
              </w:rPr>
            </w:pPr>
            <w:r w:rsidRPr="0083433F">
              <w:rPr>
                <w:rFonts w:cs="Arial"/>
                <w:noProof w:val="0"/>
                <w:snapToGrid w:val="0"/>
                <w:szCs w:val="18"/>
              </w:rPr>
              <w:t>Instalaciones técnicas</w:t>
            </w:r>
          </w:p>
        </w:tc>
        <w:tc>
          <w:tcPr>
            <w:tcW w:w="1585" w:type="pct"/>
            <w:shd w:val="clear" w:color="auto" w:fill="auto"/>
            <w:vAlign w:val="center"/>
          </w:tcPr>
          <w:p w14:paraId="06C09F07"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3-8</w:t>
            </w:r>
          </w:p>
        </w:tc>
      </w:tr>
      <w:tr w:rsidR="006220A2" w:rsidRPr="0083433F" w14:paraId="69C561AA" w14:textId="77777777" w:rsidTr="00063EF4">
        <w:trPr>
          <w:trHeight w:val="283"/>
          <w:jc w:val="center"/>
        </w:trPr>
        <w:tc>
          <w:tcPr>
            <w:tcW w:w="3415" w:type="pct"/>
            <w:shd w:val="clear" w:color="auto" w:fill="auto"/>
            <w:vAlign w:val="center"/>
          </w:tcPr>
          <w:p w14:paraId="1C3AB35B" w14:textId="77777777" w:rsidR="006220A2" w:rsidRPr="0083433F" w:rsidRDefault="006220A2" w:rsidP="00063EF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ind w:left="319"/>
              <w:rPr>
                <w:rFonts w:cs="Arial"/>
                <w:noProof w:val="0"/>
                <w:snapToGrid w:val="0"/>
                <w:szCs w:val="18"/>
              </w:rPr>
            </w:pPr>
            <w:r w:rsidRPr="0083433F">
              <w:rPr>
                <w:rFonts w:cs="Arial"/>
                <w:noProof w:val="0"/>
                <w:snapToGrid w:val="0"/>
                <w:szCs w:val="18"/>
              </w:rPr>
              <w:t>Mobiliario</w:t>
            </w:r>
          </w:p>
        </w:tc>
        <w:tc>
          <w:tcPr>
            <w:tcW w:w="1585" w:type="pct"/>
            <w:shd w:val="clear" w:color="auto" w:fill="auto"/>
            <w:vAlign w:val="center"/>
          </w:tcPr>
          <w:p w14:paraId="12FF5DFD"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3-10</w:t>
            </w:r>
          </w:p>
        </w:tc>
      </w:tr>
      <w:tr w:rsidR="006220A2" w:rsidRPr="0083433F" w14:paraId="56D6D6C2" w14:textId="77777777" w:rsidTr="00063EF4">
        <w:trPr>
          <w:trHeight w:val="283"/>
          <w:jc w:val="center"/>
        </w:trPr>
        <w:tc>
          <w:tcPr>
            <w:tcW w:w="3415" w:type="pct"/>
            <w:shd w:val="clear" w:color="auto" w:fill="auto"/>
            <w:vAlign w:val="center"/>
          </w:tcPr>
          <w:p w14:paraId="54409DC9" w14:textId="77777777" w:rsidR="006220A2" w:rsidRPr="0083433F" w:rsidRDefault="006220A2" w:rsidP="00063EF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ind w:left="319"/>
              <w:rPr>
                <w:rFonts w:cs="Arial"/>
                <w:noProof w:val="0"/>
                <w:snapToGrid w:val="0"/>
                <w:szCs w:val="18"/>
              </w:rPr>
            </w:pPr>
            <w:r w:rsidRPr="0083433F">
              <w:rPr>
                <w:rFonts w:cs="Arial"/>
                <w:noProof w:val="0"/>
                <w:snapToGrid w:val="0"/>
                <w:szCs w:val="18"/>
              </w:rPr>
              <w:t>Equipos para procesos de información</w:t>
            </w:r>
          </w:p>
        </w:tc>
        <w:tc>
          <w:tcPr>
            <w:tcW w:w="1585" w:type="pct"/>
            <w:shd w:val="clear" w:color="auto" w:fill="auto"/>
            <w:vAlign w:val="center"/>
          </w:tcPr>
          <w:p w14:paraId="4DF1F87E"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2-4</w:t>
            </w:r>
          </w:p>
        </w:tc>
      </w:tr>
      <w:tr w:rsidR="006220A2" w:rsidRPr="0083433F" w14:paraId="2E9E2E2F" w14:textId="77777777" w:rsidTr="00063EF4">
        <w:trPr>
          <w:trHeight w:val="283"/>
          <w:jc w:val="center"/>
        </w:trPr>
        <w:tc>
          <w:tcPr>
            <w:tcW w:w="3415" w:type="pct"/>
            <w:tcBorders>
              <w:bottom w:val="single" w:sz="4" w:space="0" w:color="auto"/>
            </w:tcBorders>
            <w:shd w:val="clear" w:color="auto" w:fill="auto"/>
            <w:vAlign w:val="center"/>
          </w:tcPr>
          <w:p w14:paraId="0AF9BA47" w14:textId="77777777" w:rsidR="006220A2" w:rsidRPr="0083433F" w:rsidRDefault="006220A2" w:rsidP="00063EF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ind w:left="319"/>
              <w:rPr>
                <w:rFonts w:cs="Arial"/>
                <w:noProof w:val="0"/>
                <w:snapToGrid w:val="0"/>
                <w:szCs w:val="18"/>
              </w:rPr>
            </w:pPr>
            <w:r w:rsidRPr="0083433F">
              <w:rPr>
                <w:rFonts w:cs="Arial"/>
                <w:noProof w:val="0"/>
                <w:snapToGrid w:val="0"/>
                <w:szCs w:val="18"/>
              </w:rPr>
              <w:t>Otro inmovilizado material</w:t>
            </w:r>
          </w:p>
        </w:tc>
        <w:tc>
          <w:tcPr>
            <w:tcW w:w="1585" w:type="pct"/>
            <w:tcBorders>
              <w:bottom w:val="single" w:sz="4" w:space="0" w:color="auto"/>
            </w:tcBorders>
            <w:shd w:val="clear" w:color="auto" w:fill="auto"/>
            <w:vAlign w:val="center"/>
          </w:tcPr>
          <w:p w14:paraId="296BFB8E"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3-8</w:t>
            </w:r>
          </w:p>
        </w:tc>
      </w:tr>
    </w:tbl>
    <w:p w14:paraId="055E9260"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 xml:space="preserve">Las adquisiciones realizadas del inmovilizado proveniente de la sociedad SATURNO que fueron adquiridos por Promotur en el ejercicio 2006, se </w:t>
      </w:r>
      <w:r w:rsidR="00D509C6" w:rsidRPr="00063EF4">
        <w:rPr>
          <w:snapToGrid w:val="0"/>
          <w:sz w:val="20"/>
          <w:szCs w:val="22"/>
        </w:rPr>
        <w:t>han</w:t>
      </w:r>
      <w:r w:rsidRPr="00063EF4">
        <w:rPr>
          <w:snapToGrid w:val="0"/>
          <w:sz w:val="20"/>
          <w:szCs w:val="22"/>
        </w:rPr>
        <w:t xml:space="preserve"> </w:t>
      </w:r>
      <w:r w:rsidR="009B0773" w:rsidRPr="00063EF4">
        <w:rPr>
          <w:snapToGrid w:val="0"/>
          <w:sz w:val="20"/>
          <w:szCs w:val="22"/>
        </w:rPr>
        <w:t>amortizado</w:t>
      </w:r>
      <w:r w:rsidRPr="00063EF4">
        <w:rPr>
          <w:snapToGrid w:val="0"/>
          <w:sz w:val="20"/>
          <w:szCs w:val="22"/>
        </w:rPr>
        <w:t xml:space="preserve"> al doble de su porcentaje de amortización. </w:t>
      </w:r>
    </w:p>
    <w:p w14:paraId="1822236D"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El valor residual y la vida útil de los activos se revisa, ajustándose si fuese necesario, en la fecha de cada balance.</w:t>
      </w:r>
    </w:p>
    <w:p w14:paraId="70B5C910"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Cuando el valor contable de un activo es superior a su importe recuperable estimado, su valor se reduce de forma inmediata hasta su importe recuperable.</w:t>
      </w:r>
    </w:p>
    <w:p w14:paraId="08EF5B0F"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lastRenderedPageBreak/>
        <w:t>Las pérdidas y ganancias por la venta de inmovilizado material se calculan comparando los ingresos obtenidos por la venta con el valor contable y se registran en la cuenta de pérdidas y ganancias.</w:t>
      </w:r>
    </w:p>
    <w:p w14:paraId="57D68B00" w14:textId="1DAF7185" w:rsidR="00F372AF" w:rsidRPr="00063EF4" w:rsidRDefault="006220A2" w:rsidP="00063EF4">
      <w:pPr>
        <w:widowControl w:val="0"/>
        <w:spacing w:before="240" w:after="120" w:line="260" w:lineRule="exact"/>
        <w:rPr>
          <w:b/>
          <w:sz w:val="20"/>
          <w:szCs w:val="20"/>
        </w:rPr>
      </w:pPr>
      <w:r w:rsidRPr="00063EF4">
        <w:rPr>
          <w:b/>
          <w:sz w:val="20"/>
          <w:szCs w:val="20"/>
        </w:rPr>
        <w:t xml:space="preserve">4.3 </w:t>
      </w:r>
      <w:r w:rsidRPr="00063EF4">
        <w:rPr>
          <w:b/>
          <w:sz w:val="20"/>
          <w:szCs w:val="20"/>
        </w:rPr>
        <w:tab/>
      </w:r>
      <w:r w:rsidR="00F372AF" w:rsidRPr="00063EF4">
        <w:rPr>
          <w:b/>
          <w:sz w:val="20"/>
          <w:szCs w:val="20"/>
        </w:rPr>
        <w:t>Instrumentos financieros</w:t>
      </w:r>
    </w:p>
    <w:p w14:paraId="6C3372D4" w14:textId="65A215C4" w:rsidR="00F372AF" w:rsidRPr="00063EF4" w:rsidRDefault="000D187A" w:rsidP="00063EF4">
      <w:pPr>
        <w:widowControl w:val="0"/>
        <w:spacing w:before="120" w:line="260" w:lineRule="exact"/>
        <w:ind w:left="284"/>
        <w:jc w:val="both"/>
        <w:outlineLvl w:val="9"/>
        <w:rPr>
          <w:snapToGrid w:val="0"/>
          <w:sz w:val="20"/>
          <w:szCs w:val="22"/>
        </w:rPr>
      </w:pPr>
      <w:r w:rsidRPr="00063EF4">
        <w:rPr>
          <w:snapToGrid w:val="0"/>
          <w:sz w:val="20"/>
          <w:szCs w:val="22"/>
        </w:rPr>
        <w:t>La Sociedad registra en el epígrafe de instrumentos financieros aquellos contratos que dan lugar a un activo financiero en una empresa y, simultáneamente, a un pasivo financiero o a un instrumento de patrimonio en otra empresa.</w:t>
      </w:r>
    </w:p>
    <w:p w14:paraId="0A47FD22" w14:textId="77777777" w:rsidR="000D187A" w:rsidRPr="00063EF4" w:rsidRDefault="000D187A" w:rsidP="00063EF4">
      <w:pPr>
        <w:widowControl w:val="0"/>
        <w:spacing w:before="120" w:line="260" w:lineRule="exact"/>
        <w:ind w:left="284"/>
        <w:jc w:val="both"/>
        <w:outlineLvl w:val="9"/>
        <w:rPr>
          <w:snapToGrid w:val="0"/>
          <w:sz w:val="20"/>
          <w:szCs w:val="22"/>
        </w:rPr>
      </w:pPr>
      <w:r w:rsidRPr="00063EF4">
        <w:rPr>
          <w:snapToGrid w:val="0"/>
          <w:sz w:val="20"/>
          <w:szCs w:val="22"/>
        </w:rPr>
        <w:t xml:space="preserve">Un activo financiero es cualquier activo que sea: dinero en efectivo, un instrumento de patrimonio de otra empresa, o suponga un derecho contractual a recibir efectivo u otro activo financiero (un instrumento de deuda), o a intercambiar activos o pasivos financieros con terceros en condiciones potencialmente favorables. </w:t>
      </w:r>
    </w:p>
    <w:p w14:paraId="06C6BDBF" w14:textId="77777777" w:rsidR="000D187A" w:rsidRPr="00063EF4" w:rsidRDefault="000D187A" w:rsidP="00063EF4">
      <w:pPr>
        <w:widowControl w:val="0"/>
        <w:spacing w:before="120" w:line="260" w:lineRule="exact"/>
        <w:ind w:left="284"/>
        <w:jc w:val="both"/>
        <w:outlineLvl w:val="9"/>
        <w:rPr>
          <w:snapToGrid w:val="0"/>
          <w:sz w:val="20"/>
          <w:szCs w:val="22"/>
        </w:rPr>
      </w:pPr>
      <w:r w:rsidRPr="00063EF4">
        <w:rPr>
          <w:snapToGrid w:val="0"/>
          <w:sz w:val="20"/>
          <w:szCs w:val="22"/>
        </w:rPr>
        <w:t>Los activos financieros, a efectos de su valoración, se clasifican en alguna de las siguientes categorías:</w:t>
      </w:r>
    </w:p>
    <w:p w14:paraId="116A0B4D" w14:textId="77777777" w:rsidR="000D187A" w:rsidRPr="00A40E6F" w:rsidRDefault="000D187A" w:rsidP="00063EF4">
      <w:pPr>
        <w:widowControl w:val="0"/>
        <w:tabs>
          <w:tab w:val="left" w:pos="567"/>
        </w:tabs>
        <w:spacing w:before="120" w:line="260" w:lineRule="exact"/>
        <w:ind w:left="284"/>
        <w:jc w:val="both"/>
        <w:rPr>
          <w:bCs/>
          <w:sz w:val="20"/>
        </w:rPr>
      </w:pPr>
      <w:r w:rsidRPr="00A40E6F">
        <w:rPr>
          <w:bCs/>
          <w:sz w:val="20"/>
        </w:rPr>
        <w:t>1.</w:t>
      </w:r>
      <w:r w:rsidRPr="00A40E6F">
        <w:rPr>
          <w:bCs/>
          <w:sz w:val="20"/>
        </w:rPr>
        <w:tab/>
        <w:t xml:space="preserve">Activos financieros a valor razonable con cambios en la cuenta de pérdidas y ganancias. </w:t>
      </w:r>
    </w:p>
    <w:p w14:paraId="2C404451" w14:textId="77777777" w:rsidR="000D187A" w:rsidRPr="00A40E6F" w:rsidRDefault="000D187A" w:rsidP="00063EF4">
      <w:pPr>
        <w:widowControl w:val="0"/>
        <w:tabs>
          <w:tab w:val="left" w:pos="567"/>
        </w:tabs>
        <w:spacing w:before="120" w:line="260" w:lineRule="exact"/>
        <w:ind w:left="284"/>
        <w:jc w:val="both"/>
        <w:rPr>
          <w:bCs/>
          <w:sz w:val="20"/>
        </w:rPr>
      </w:pPr>
      <w:r w:rsidRPr="00A40E6F">
        <w:rPr>
          <w:bCs/>
          <w:sz w:val="20"/>
        </w:rPr>
        <w:t>2.</w:t>
      </w:r>
      <w:r w:rsidRPr="00A40E6F">
        <w:rPr>
          <w:bCs/>
          <w:sz w:val="20"/>
        </w:rPr>
        <w:tab/>
        <w:t xml:space="preserve">Activos financieros a coste amortizado. </w:t>
      </w:r>
    </w:p>
    <w:p w14:paraId="3889ABDF" w14:textId="77777777" w:rsidR="000D187A" w:rsidRPr="00A40E6F" w:rsidRDefault="000D187A" w:rsidP="00063EF4">
      <w:pPr>
        <w:widowControl w:val="0"/>
        <w:tabs>
          <w:tab w:val="left" w:pos="567"/>
        </w:tabs>
        <w:spacing w:before="120" w:line="260" w:lineRule="exact"/>
        <w:ind w:left="284"/>
        <w:jc w:val="both"/>
        <w:rPr>
          <w:bCs/>
          <w:sz w:val="20"/>
        </w:rPr>
      </w:pPr>
      <w:r w:rsidRPr="00A40E6F">
        <w:rPr>
          <w:bCs/>
          <w:sz w:val="20"/>
        </w:rPr>
        <w:t>3.</w:t>
      </w:r>
      <w:r w:rsidRPr="00A40E6F">
        <w:rPr>
          <w:bCs/>
          <w:sz w:val="20"/>
        </w:rPr>
        <w:tab/>
        <w:t xml:space="preserve">Activos financieros a valor razonable con cambios en el patrimonio neto. </w:t>
      </w:r>
    </w:p>
    <w:p w14:paraId="149358B0" w14:textId="77777777" w:rsidR="000D187A" w:rsidRPr="00A40E6F" w:rsidRDefault="000D187A" w:rsidP="00063EF4">
      <w:pPr>
        <w:widowControl w:val="0"/>
        <w:tabs>
          <w:tab w:val="left" w:pos="567"/>
        </w:tabs>
        <w:spacing w:before="120" w:line="260" w:lineRule="exact"/>
        <w:ind w:left="284"/>
        <w:jc w:val="both"/>
        <w:rPr>
          <w:bCs/>
          <w:sz w:val="20"/>
        </w:rPr>
      </w:pPr>
      <w:r w:rsidRPr="00A40E6F">
        <w:rPr>
          <w:bCs/>
          <w:sz w:val="20"/>
        </w:rPr>
        <w:t>4.</w:t>
      </w:r>
      <w:r w:rsidRPr="00A40E6F">
        <w:rPr>
          <w:bCs/>
          <w:sz w:val="20"/>
        </w:rPr>
        <w:tab/>
        <w:t>Activos financieros a coste.</w:t>
      </w:r>
    </w:p>
    <w:p w14:paraId="73BE2722" w14:textId="77777777" w:rsidR="000D187A" w:rsidRPr="00063EF4" w:rsidRDefault="000D187A" w:rsidP="00063EF4">
      <w:pPr>
        <w:widowControl w:val="0"/>
        <w:spacing w:before="120" w:line="260" w:lineRule="exact"/>
        <w:ind w:left="284"/>
        <w:jc w:val="both"/>
        <w:outlineLvl w:val="9"/>
        <w:rPr>
          <w:snapToGrid w:val="0"/>
          <w:sz w:val="20"/>
          <w:szCs w:val="22"/>
        </w:rPr>
      </w:pPr>
      <w:r w:rsidRPr="00063EF4">
        <w:rPr>
          <w:snapToGrid w:val="0"/>
          <w:sz w:val="20"/>
          <w:szCs w:val="22"/>
        </w:rPr>
        <w:t>Los instrumentos financieros emitidos, incurridos o asumidos se clasifican como pasivos financieros, en su totalidad o en una de sus partes, siempre que de acuerdo con su realidad económica supongan para la Sociedad una obligación contractual, directa o indirecta, de entregar efectivo u otro activo financiero, o de intercambiar activos o pasivos financieros con terceros en condiciones potencialmente desfavorables.</w:t>
      </w:r>
    </w:p>
    <w:p w14:paraId="60F04354" w14:textId="77777777" w:rsidR="000D187A" w:rsidRPr="00063EF4" w:rsidRDefault="000D187A" w:rsidP="00063EF4">
      <w:pPr>
        <w:widowControl w:val="0"/>
        <w:spacing w:before="120" w:line="260" w:lineRule="exact"/>
        <w:ind w:left="284"/>
        <w:jc w:val="both"/>
        <w:outlineLvl w:val="9"/>
        <w:rPr>
          <w:snapToGrid w:val="0"/>
          <w:sz w:val="20"/>
          <w:szCs w:val="22"/>
        </w:rPr>
      </w:pPr>
      <w:r w:rsidRPr="00063EF4">
        <w:rPr>
          <w:snapToGrid w:val="0"/>
          <w:sz w:val="20"/>
          <w:szCs w:val="22"/>
        </w:rPr>
        <w:t>Los pasivos financieros, a efectos de su valoración, se clasifican en alguna de las siguientes categorías:</w:t>
      </w:r>
    </w:p>
    <w:p w14:paraId="7C53D0A4" w14:textId="77777777" w:rsidR="000D187A" w:rsidRPr="00A40E6F" w:rsidRDefault="000D187A" w:rsidP="00063EF4">
      <w:pPr>
        <w:widowControl w:val="0"/>
        <w:tabs>
          <w:tab w:val="left" w:pos="567"/>
        </w:tabs>
        <w:spacing w:before="120" w:line="276" w:lineRule="auto"/>
        <w:ind w:left="284"/>
        <w:jc w:val="both"/>
        <w:rPr>
          <w:bCs/>
          <w:sz w:val="20"/>
        </w:rPr>
      </w:pPr>
      <w:r w:rsidRPr="00A40E6F">
        <w:rPr>
          <w:bCs/>
          <w:sz w:val="20"/>
        </w:rPr>
        <w:t>1.</w:t>
      </w:r>
      <w:r w:rsidRPr="00A40E6F">
        <w:rPr>
          <w:bCs/>
          <w:sz w:val="20"/>
        </w:rPr>
        <w:tab/>
        <w:t xml:space="preserve">Pasivos financieros a valor razonable con cambios en la cuenta de pérdidas y ganancias. </w:t>
      </w:r>
    </w:p>
    <w:p w14:paraId="36782FB2" w14:textId="77777777" w:rsidR="000D187A" w:rsidRPr="00A40E6F" w:rsidRDefault="000D187A" w:rsidP="00063EF4">
      <w:pPr>
        <w:widowControl w:val="0"/>
        <w:tabs>
          <w:tab w:val="left" w:pos="567"/>
        </w:tabs>
        <w:spacing w:before="120" w:line="276" w:lineRule="auto"/>
        <w:ind w:left="284"/>
        <w:jc w:val="both"/>
        <w:rPr>
          <w:bCs/>
          <w:sz w:val="20"/>
        </w:rPr>
      </w:pPr>
      <w:r w:rsidRPr="00A40E6F">
        <w:rPr>
          <w:bCs/>
          <w:sz w:val="20"/>
        </w:rPr>
        <w:t>2.</w:t>
      </w:r>
      <w:r w:rsidRPr="00A40E6F">
        <w:rPr>
          <w:bCs/>
          <w:sz w:val="20"/>
        </w:rPr>
        <w:tab/>
        <w:t>Pasivos financieros a coste amortizado.</w:t>
      </w:r>
    </w:p>
    <w:p w14:paraId="1D1CA968" w14:textId="3BCA8CEA" w:rsidR="00F372AF" w:rsidRPr="00063EF4" w:rsidRDefault="000D187A" w:rsidP="00063EF4">
      <w:pPr>
        <w:widowControl w:val="0"/>
        <w:spacing w:before="120" w:line="260" w:lineRule="exact"/>
        <w:ind w:left="284"/>
        <w:jc w:val="both"/>
        <w:outlineLvl w:val="9"/>
        <w:rPr>
          <w:snapToGrid w:val="0"/>
          <w:sz w:val="20"/>
          <w:szCs w:val="22"/>
        </w:rPr>
      </w:pPr>
      <w:r w:rsidRPr="00063EF4">
        <w:rPr>
          <w:snapToGrid w:val="0"/>
          <w:sz w:val="20"/>
          <w:szCs w:val="22"/>
        </w:rPr>
        <w:t>Dicho tratamiento resulta de aplicación a los siguientes instrumentos financieros:</w:t>
      </w:r>
    </w:p>
    <w:p w14:paraId="5ECCA4EA"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a)</w:t>
      </w:r>
      <w:r w:rsidRPr="00A40E6F">
        <w:rPr>
          <w:bCs/>
          <w:sz w:val="20"/>
        </w:rPr>
        <w:tab/>
        <w:t xml:space="preserve">Activos financieros: </w:t>
      </w:r>
    </w:p>
    <w:p w14:paraId="6BDF9912"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w:t>
      </w:r>
      <w:r w:rsidRPr="00A40E6F">
        <w:rPr>
          <w:bCs/>
          <w:sz w:val="20"/>
        </w:rPr>
        <w:tab/>
        <w:t xml:space="preserve">Efectivo y otros activos líquidos equivalentes; </w:t>
      </w:r>
    </w:p>
    <w:p w14:paraId="16FFA30C" w14:textId="61DAFD4C" w:rsidR="000A0387" w:rsidRPr="00A40E6F" w:rsidRDefault="000A0387" w:rsidP="00063EF4">
      <w:pPr>
        <w:widowControl w:val="0"/>
        <w:tabs>
          <w:tab w:val="left" w:pos="567"/>
        </w:tabs>
        <w:spacing w:before="120" w:line="276" w:lineRule="auto"/>
        <w:ind w:left="284"/>
        <w:jc w:val="both"/>
        <w:rPr>
          <w:bCs/>
          <w:sz w:val="20"/>
        </w:rPr>
      </w:pPr>
      <w:r w:rsidRPr="00A40E6F">
        <w:rPr>
          <w:bCs/>
          <w:sz w:val="20"/>
        </w:rPr>
        <w:t>-</w:t>
      </w:r>
      <w:r w:rsidRPr="00A40E6F">
        <w:rPr>
          <w:bCs/>
          <w:sz w:val="20"/>
        </w:rPr>
        <w:tab/>
        <w:t xml:space="preserve">Créditos por operaciones comerciales: clientes y deudores varios;  </w:t>
      </w:r>
    </w:p>
    <w:p w14:paraId="681EC1B3"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w:t>
      </w:r>
      <w:r w:rsidRPr="00A40E6F">
        <w:rPr>
          <w:bCs/>
          <w:sz w:val="20"/>
        </w:rPr>
        <w:tab/>
        <w:t xml:space="preserve">Otros activos financieros: tales como depósitos en entidades de crédito, créditos al personal, fianzas y depósitos constituidos, dividendos a cobrar y desembolsos exigidos sobre instrumentos de patrimonio propio. </w:t>
      </w:r>
    </w:p>
    <w:p w14:paraId="7EF9CEA9"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b)</w:t>
      </w:r>
      <w:r w:rsidRPr="00A40E6F">
        <w:rPr>
          <w:bCs/>
          <w:sz w:val="20"/>
        </w:rPr>
        <w:tab/>
        <w:t>Pasivos financieros:</w:t>
      </w:r>
    </w:p>
    <w:p w14:paraId="507A130B"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w:t>
      </w:r>
      <w:r w:rsidRPr="00A40E6F">
        <w:rPr>
          <w:bCs/>
          <w:sz w:val="20"/>
        </w:rPr>
        <w:tab/>
        <w:t xml:space="preserve">Débitos por operaciones comerciales: proveedores y acreedores varios; </w:t>
      </w:r>
    </w:p>
    <w:p w14:paraId="7D90AB54"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w:t>
      </w:r>
      <w:r w:rsidRPr="00A40E6F">
        <w:rPr>
          <w:bCs/>
          <w:sz w:val="20"/>
        </w:rPr>
        <w:tab/>
        <w:t xml:space="preserve">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 </w:t>
      </w:r>
    </w:p>
    <w:p w14:paraId="32099FEA" w14:textId="77777777" w:rsidR="000A0387" w:rsidRPr="00A40E6F" w:rsidRDefault="000A0387" w:rsidP="00063EF4">
      <w:pPr>
        <w:keepNext/>
        <w:keepLines/>
        <w:widowControl w:val="0"/>
        <w:tabs>
          <w:tab w:val="left" w:pos="567"/>
        </w:tabs>
        <w:spacing w:before="120" w:line="276" w:lineRule="auto"/>
        <w:ind w:left="284"/>
        <w:jc w:val="both"/>
        <w:rPr>
          <w:bCs/>
          <w:sz w:val="20"/>
        </w:rPr>
      </w:pPr>
      <w:r w:rsidRPr="00A40E6F">
        <w:rPr>
          <w:bCs/>
          <w:sz w:val="20"/>
        </w:rPr>
        <w:lastRenderedPageBreak/>
        <w:t>c)</w:t>
      </w:r>
      <w:r w:rsidRPr="00A40E6F">
        <w:rPr>
          <w:bCs/>
          <w:sz w:val="20"/>
        </w:rPr>
        <w:tab/>
        <w:t xml:space="preserve">Instrumentos de patrimonio propio: </w:t>
      </w:r>
    </w:p>
    <w:p w14:paraId="3648AB26" w14:textId="77777777" w:rsidR="000A0387" w:rsidRPr="00063EF4" w:rsidRDefault="000A0387" w:rsidP="00063EF4">
      <w:pPr>
        <w:keepNext/>
        <w:keepLines/>
        <w:widowControl w:val="0"/>
        <w:spacing w:before="120" w:line="260" w:lineRule="exact"/>
        <w:ind w:left="284"/>
        <w:jc w:val="both"/>
        <w:outlineLvl w:val="9"/>
        <w:rPr>
          <w:snapToGrid w:val="0"/>
          <w:sz w:val="20"/>
          <w:szCs w:val="22"/>
        </w:rPr>
      </w:pPr>
      <w:r w:rsidRPr="00063EF4">
        <w:rPr>
          <w:snapToGrid w:val="0"/>
          <w:sz w:val="20"/>
          <w:szCs w:val="22"/>
        </w:rPr>
        <w:t>Todos los instrumentos financieros que se incluyen dentro de los fondos propios, tal como las acciones ordinarias emitidas o participaciones en el capital social.</w:t>
      </w:r>
    </w:p>
    <w:p w14:paraId="1CDAB429" w14:textId="77777777" w:rsidR="000A0387" w:rsidRPr="00A40E6F" w:rsidRDefault="000A0387" w:rsidP="00063EF4">
      <w:pPr>
        <w:widowControl w:val="0"/>
        <w:tabs>
          <w:tab w:val="left" w:pos="567"/>
        </w:tabs>
        <w:spacing w:before="120" w:line="276" w:lineRule="auto"/>
        <w:ind w:left="284"/>
        <w:jc w:val="both"/>
        <w:rPr>
          <w:bCs/>
          <w:sz w:val="20"/>
          <w:u w:val="single"/>
        </w:rPr>
      </w:pPr>
      <w:r w:rsidRPr="00A40E6F">
        <w:rPr>
          <w:bCs/>
          <w:sz w:val="20"/>
          <w:u w:val="single"/>
        </w:rPr>
        <w:t>Activos financieros a coste amortizado</w:t>
      </w:r>
    </w:p>
    <w:p w14:paraId="0D3E5D31"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 xml:space="preserve">Un activo financiero se incluye en esta categoría, incluso cuando esté admitido a negociación en un mercado organizado, si la Sociedad mantiene la inversión con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w:t>
      </w:r>
    </w:p>
    <w:p w14:paraId="2C89E18A"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Los flujos de efectivo contractuales que son únicamente cobros de principal e interés sobre el importe del principal pendiente son inherentes a un acuerdo que tiene la naturaleza de préstamo ordinario o común, sin perjuicio de que la operación se acuerde a un tipo de interés cero o por debajo de mercado.</w:t>
      </w:r>
    </w:p>
    <w:p w14:paraId="409E4293"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En esta categoría se clasifican:</w:t>
      </w:r>
    </w:p>
    <w:p w14:paraId="74FE4CE0" w14:textId="7D84E05A" w:rsidR="000A0387" w:rsidRPr="00A40E6F" w:rsidRDefault="000A0387" w:rsidP="00063EF4">
      <w:pPr>
        <w:widowControl w:val="0"/>
        <w:tabs>
          <w:tab w:val="left" w:pos="567"/>
        </w:tabs>
        <w:spacing w:before="120" w:line="276" w:lineRule="auto"/>
        <w:ind w:left="284"/>
        <w:jc w:val="both"/>
        <w:rPr>
          <w:bCs/>
          <w:sz w:val="20"/>
        </w:rPr>
      </w:pPr>
      <w:r w:rsidRPr="00A40E6F">
        <w:rPr>
          <w:bCs/>
          <w:sz w:val="20"/>
        </w:rPr>
        <w:t>a)</w:t>
      </w:r>
      <w:r w:rsidRPr="00A40E6F">
        <w:rPr>
          <w:bCs/>
          <w:sz w:val="20"/>
        </w:rPr>
        <w:tab/>
        <w:t>Créditos por operaciones comerciales: activos financieros originados por la venta de bienes y la prestación de servicios por operaciones de tráfico, y</w:t>
      </w:r>
    </w:p>
    <w:p w14:paraId="5AD815F9"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b)</w:t>
      </w:r>
      <w:r w:rsidRPr="00A40E6F">
        <w:rPr>
          <w:bCs/>
          <w:sz w:val="20"/>
        </w:rPr>
        <w:tab/>
        <w:t>Créditos por operaciones no comerciales: activos financieros que, no siendo instrumentos de patrimonio ni derivados, no tienen origen comercial, cuyos cobros son de cuantía determinada o determinable.</w:t>
      </w:r>
    </w:p>
    <w:p w14:paraId="2ECFE12D" w14:textId="77777777" w:rsidR="000A0387" w:rsidRPr="00A40E6F" w:rsidRDefault="000A0387" w:rsidP="00063EF4">
      <w:pPr>
        <w:widowControl w:val="0"/>
        <w:tabs>
          <w:tab w:val="left" w:pos="567"/>
        </w:tabs>
        <w:spacing w:before="120" w:line="276" w:lineRule="auto"/>
        <w:ind w:left="284"/>
        <w:jc w:val="both"/>
        <w:rPr>
          <w:bCs/>
          <w:i/>
          <w:iCs/>
          <w:sz w:val="20"/>
        </w:rPr>
      </w:pPr>
      <w:r w:rsidRPr="00A40E6F">
        <w:rPr>
          <w:bCs/>
          <w:i/>
          <w:iCs/>
          <w:sz w:val="20"/>
        </w:rPr>
        <w:t>Valoración inicial</w:t>
      </w:r>
    </w:p>
    <w:p w14:paraId="77FE4E84"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Los activos financieros incluidos en esta categoría se valorarán inicialmente por su valor razonable, que, salvo evidencia en contrario, será el precio de transacción, que equivaldrá al valor razonable de la contraprestación entregada, más los costes de transacción que les sean directamente atribuibles.</w:t>
      </w:r>
    </w:p>
    <w:p w14:paraId="72170F9E"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Formarán parte de la valoración inicial el importe de los derechos preferentes de suscripción y similares que, en su caso, se hubiesen adquirido.</w:t>
      </w:r>
    </w:p>
    <w:p w14:paraId="79BF0F5D" w14:textId="77777777" w:rsidR="000A0387" w:rsidRPr="00A40E6F" w:rsidRDefault="000A0387" w:rsidP="00063EF4">
      <w:pPr>
        <w:widowControl w:val="0"/>
        <w:tabs>
          <w:tab w:val="left" w:pos="567"/>
        </w:tabs>
        <w:spacing w:before="120" w:line="276" w:lineRule="auto"/>
        <w:ind w:left="284"/>
        <w:jc w:val="both"/>
        <w:rPr>
          <w:bCs/>
          <w:i/>
          <w:iCs/>
          <w:sz w:val="20"/>
        </w:rPr>
      </w:pPr>
      <w:r w:rsidRPr="00A40E6F">
        <w:rPr>
          <w:bCs/>
          <w:i/>
          <w:iCs/>
          <w:sz w:val="20"/>
        </w:rPr>
        <w:t>Valoración posterior</w:t>
      </w:r>
    </w:p>
    <w:p w14:paraId="31BD6370"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 xml:space="preserve">Los activos financieros incluidos en esta categoría se valorarán por su valor razonable, sin deducir los costes de transacción en que se pudiera incurrir en su enajenación. Los cambios que se produzcan en el valor razonable se registrarán directamente en el patrimonio neto, hasta que el activo financiero cause baje del balance o se deteriore, momento en que el importe así reconocido, se imputará a la cuenta de pérdidas y ganancias. </w:t>
      </w:r>
    </w:p>
    <w:p w14:paraId="499C94E1" w14:textId="77777777" w:rsidR="000A0387" w:rsidRPr="00A40E6F" w:rsidRDefault="000A0387" w:rsidP="00063EF4">
      <w:pPr>
        <w:widowControl w:val="0"/>
        <w:tabs>
          <w:tab w:val="left" w:pos="567"/>
        </w:tabs>
        <w:spacing w:before="120" w:line="276" w:lineRule="auto"/>
        <w:ind w:left="284"/>
        <w:jc w:val="both"/>
        <w:rPr>
          <w:bCs/>
          <w:i/>
          <w:iCs/>
          <w:sz w:val="20"/>
        </w:rPr>
      </w:pPr>
      <w:r w:rsidRPr="00A40E6F">
        <w:rPr>
          <w:bCs/>
          <w:i/>
          <w:iCs/>
          <w:sz w:val="20"/>
        </w:rPr>
        <w:t>Deterioro del valor</w:t>
      </w:r>
    </w:p>
    <w:p w14:paraId="170869BC"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Al menos al cierre del ejercicio, se efectúan las correcciones valorativas necesarias siempre que exista evidencia objetiva de que el valor en libros de una inversión no es recuperable.</w:t>
      </w:r>
    </w:p>
    <w:p w14:paraId="3C5ECE09" w14:textId="15917D24"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La corrección valorativa por deterioro del valor de estos activos financieros será la diferencia entre su coste o coste amortizado menos, en su caso, cualquier corrección valorativa por deterioro previamente reconocida en la cuenta de pérdidas y ganancias y el valor razonable en el momento en el que se efectúe la valoración.</w:t>
      </w:r>
    </w:p>
    <w:p w14:paraId="1C1306CA" w14:textId="77777777" w:rsidR="000A0387" w:rsidRPr="00A40E6F" w:rsidRDefault="000A0387" w:rsidP="00063EF4">
      <w:pPr>
        <w:keepNext/>
        <w:keepLines/>
        <w:widowControl w:val="0"/>
        <w:tabs>
          <w:tab w:val="left" w:pos="567"/>
        </w:tabs>
        <w:spacing w:before="120" w:line="276" w:lineRule="auto"/>
        <w:ind w:left="284"/>
        <w:jc w:val="both"/>
        <w:rPr>
          <w:bCs/>
          <w:sz w:val="20"/>
          <w:u w:val="single"/>
        </w:rPr>
      </w:pPr>
      <w:r w:rsidRPr="00A40E6F">
        <w:rPr>
          <w:bCs/>
          <w:sz w:val="20"/>
          <w:u w:val="single"/>
        </w:rPr>
        <w:lastRenderedPageBreak/>
        <w:t>Pasivos financieros a coste amortizado</w:t>
      </w:r>
    </w:p>
    <w:p w14:paraId="20F82CDB" w14:textId="77777777" w:rsidR="000A0387" w:rsidRPr="00063EF4" w:rsidRDefault="000A0387" w:rsidP="00063EF4">
      <w:pPr>
        <w:keepNext/>
        <w:keepLines/>
        <w:widowControl w:val="0"/>
        <w:spacing w:before="120" w:line="260" w:lineRule="exact"/>
        <w:ind w:left="284"/>
        <w:jc w:val="both"/>
        <w:rPr>
          <w:bCs/>
          <w:i/>
          <w:iCs/>
          <w:sz w:val="20"/>
        </w:rPr>
      </w:pPr>
      <w:r w:rsidRPr="00063EF4">
        <w:rPr>
          <w:bCs/>
          <w:i/>
          <w:iCs/>
          <w:sz w:val="20"/>
        </w:rPr>
        <w:t>En esta categoría se clasifican:</w:t>
      </w:r>
    </w:p>
    <w:p w14:paraId="6BDD8D3F" w14:textId="77777777" w:rsidR="000A0387" w:rsidRPr="00A40E6F" w:rsidRDefault="000A0387" w:rsidP="00063EF4">
      <w:pPr>
        <w:keepNext/>
        <w:keepLines/>
        <w:widowControl w:val="0"/>
        <w:tabs>
          <w:tab w:val="left" w:pos="567"/>
        </w:tabs>
        <w:spacing w:before="120" w:line="276" w:lineRule="auto"/>
        <w:ind w:left="284"/>
        <w:jc w:val="both"/>
        <w:rPr>
          <w:bCs/>
          <w:sz w:val="20"/>
        </w:rPr>
      </w:pPr>
      <w:r w:rsidRPr="00A40E6F">
        <w:rPr>
          <w:bCs/>
          <w:sz w:val="20"/>
        </w:rPr>
        <w:t>a)</w:t>
      </w:r>
      <w:r w:rsidRPr="00A40E6F">
        <w:rPr>
          <w:bCs/>
          <w:sz w:val="20"/>
        </w:rPr>
        <w:tab/>
        <w:t>Débitos por operaciones comerciales: pasivos financieros originados por la compra de bienes y servicios por operaciones de tráfico, y</w:t>
      </w:r>
    </w:p>
    <w:p w14:paraId="2D8092DD" w14:textId="77777777" w:rsidR="000A0387" w:rsidRPr="00A40E6F" w:rsidRDefault="000A0387" w:rsidP="00063EF4">
      <w:pPr>
        <w:keepNext/>
        <w:keepLines/>
        <w:widowControl w:val="0"/>
        <w:tabs>
          <w:tab w:val="left" w:pos="567"/>
        </w:tabs>
        <w:spacing w:before="120" w:line="276" w:lineRule="auto"/>
        <w:ind w:left="284"/>
        <w:jc w:val="both"/>
        <w:rPr>
          <w:bCs/>
          <w:sz w:val="20"/>
        </w:rPr>
      </w:pPr>
      <w:r w:rsidRPr="00A40E6F">
        <w:rPr>
          <w:bCs/>
          <w:sz w:val="20"/>
        </w:rPr>
        <w:t>b)</w:t>
      </w:r>
      <w:r w:rsidRPr="00A40E6F">
        <w:rPr>
          <w:bCs/>
          <w:sz w:val="20"/>
        </w:rPr>
        <w:tab/>
      </w:r>
      <w:r w:rsidRPr="00A40E6F">
        <w:rPr>
          <w:bCs/>
          <w:sz w:val="20"/>
        </w:rPr>
        <w:tab/>
        <w:t>Débitos por operaciones no comerciales: pasivos financieros que, no siendo instrumentos derivados, no tienen origen comercial, sino que proceden de operaciones de préstamo o crédito recibidos por la Sociedad.</w:t>
      </w:r>
    </w:p>
    <w:p w14:paraId="388EEE32" w14:textId="77777777" w:rsidR="000A0387" w:rsidRPr="00A40E6F" w:rsidRDefault="000A0387" w:rsidP="00063EF4">
      <w:pPr>
        <w:widowControl w:val="0"/>
        <w:spacing w:before="120" w:line="260" w:lineRule="exact"/>
        <w:ind w:left="284"/>
        <w:jc w:val="both"/>
        <w:rPr>
          <w:bCs/>
          <w:i/>
          <w:iCs/>
          <w:sz w:val="20"/>
        </w:rPr>
      </w:pPr>
      <w:r w:rsidRPr="00A40E6F">
        <w:rPr>
          <w:bCs/>
          <w:i/>
          <w:iCs/>
          <w:sz w:val="20"/>
        </w:rPr>
        <w:t>Valoración inicial</w:t>
      </w:r>
    </w:p>
    <w:p w14:paraId="7364D114" w14:textId="3CEB4932"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Inicialmente, los activos y pasivos financieros incluidos en esta categoría se valoran por su valor razonable, que es el precio de la transacción, y que equivale al valor razonable de la contraprestación entregada más los costes de transacción que les son directamente atribuibles.</w:t>
      </w:r>
    </w:p>
    <w:p w14:paraId="7DB5F049"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No obstante, lo señalado en el párrafo anterior, los créditos y débitos por operaciones comerciales con vencimiento no superior a un año y que no tienen un tipo de interés contractual, así como, en su caso, los anticipos y créditos al personal, los dividendos a cobrar y los desembolsos exigidos sobre instrumentos de patrimonio, cuyo importe se espera recibir en el corto plazo, y los desembolsos exigidos por terceros sobre participaciones, cuyo importe se espera pagar en el corto plazo, se valoran por su valor nominal cuando el efecto de no actualizar los flujos de efectivo no resulta significativo.</w:t>
      </w:r>
    </w:p>
    <w:p w14:paraId="47D022D2" w14:textId="77777777" w:rsidR="000A0387" w:rsidRPr="00A40E6F" w:rsidRDefault="000A0387" w:rsidP="00063EF4">
      <w:pPr>
        <w:widowControl w:val="0"/>
        <w:spacing w:before="120" w:line="260" w:lineRule="exact"/>
        <w:ind w:left="284"/>
        <w:jc w:val="both"/>
        <w:rPr>
          <w:bCs/>
          <w:i/>
          <w:iCs/>
          <w:sz w:val="20"/>
        </w:rPr>
      </w:pPr>
      <w:r w:rsidRPr="00A40E6F">
        <w:rPr>
          <w:bCs/>
          <w:i/>
          <w:iCs/>
          <w:sz w:val="20"/>
        </w:rPr>
        <w:t>Valoración posterior</w:t>
      </w:r>
    </w:p>
    <w:p w14:paraId="16D4A756"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En valoraciones posteriores, tanto activos como pasivos, se valoran por su coste amortizado. Los intereses devengados se contabilizan en la cuenta de pérdidas y ganancias, aplicando el método del tipo de interés efectivo. No obstante, lo anterior, los créditos y débitos con vencimiento no superior a un año que se valoraron inicialmente por su valor nominal, continúan valorándose por dicho importe, salvo, en el caso de créditos, que se hubieran deteriorado.</w:t>
      </w:r>
    </w:p>
    <w:p w14:paraId="772447EF" w14:textId="77777777" w:rsidR="000A0387" w:rsidRPr="00A40E6F" w:rsidRDefault="000A0387" w:rsidP="00063EF4">
      <w:pPr>
        <w:widowControl w:val="0"/>
        <w:spacing w:before="120" w:line="260" w:lineRule="exact"/>
        <w:ind w:left="284"/>
        <w:jc w:val="both"/>
        <w:rPr>
          <w:bCs/>
          <w:i/>
          <w:iCs/>
          <w:sz w:val="20"/>
        </w:rPr>
      </w:pPr>
      <w:r w:rsidRPr="00A40E6F">
        <w:rPr>
          <w:bCs/>
          <w:i/>
          <w:iCs/>
          <w:sz w:val="20"/>
        </w:rPr>
        <w:t>Deterioro de valor de los activos financieros a coste amortizado</w:t>
      </w:r>
    </w:p>
    <w:p w14:paraId="45E896C8"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 xml:space="preserve">Al menos al cierre del ejercicio, se efectúan las correcciones valorativas necesarias siempre que exista evidencia objetiva de que el valor de un activo financiero, o de un grupo de activos financieros con similares características de riesgo valorados colectivamente, se ha deteriorado como resultado de uno o más eventos que hayan ocurrido después de su reconocimiento inicial y que ocasionen una reducción o retraso en los flujos de efectivo estimados futuros, que pueden venir motivados por la insolvencia del deudor. </w:t>
      </w:r>
    </w:p>
    <w:p w14:paraId="06ED5359"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 xml:space="preserve">La pérdida por deterioro del valor de estos activos financieros es la diferencia entre su valor en libros y el valor actual de los flujos de efectivo futuros, incluidos, en su caso, los procedentes de la ejecución de las garantías reales y personales, que se estima van a generar, descontados al tipo de interés efectivo calculado en el momento de su reconocimiento inicial. Para los activos financieros a tipo de interés variable, se emplea el tipo de interés efectivo que corresponda a la fecha de cierre de las cuentas anuales de acuerdo con las condiciones contractuales. </w:t>
      </w:r>
    </w:p>
    <w:p w14:paraId="59A324E5"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Las correcciones de valor por deterioro, así como su reversión cuando el importe de dicha pérdida disminuyese por causas relacionadas con un evento posterior, se reconocen como un gasto o un ingreso, respectivamente, en la cuenta de pérdidas y ganancias. La reversión del deterioro tiene como límite el valor en libros del activo que estaría reconocido en la fecha de reversión si no se hubiese registrado el deterioro del valor.</w:t>
      </w:r>
    </w:p>
    <w:p w14:paraId="29B3EDCA" w14:textId="77777777" w:rsidR="000A0387" w:rsidRPr="00A40E6F" w:rsidRDefault="000A0387" w:rsidP="005644E5">
      <w:pPr>
        <w:keepNext/>
        <w:keepLines/>
        <w:widowControl w:val="0"/>
        <w:tabs>
          <w:tab w:val="left" w:pos="567"/>
        </w:tabs>
        <w:spacing w:before="120" w:line="276" w:lineRule="auto"/>
        <w:ind w:left="284"/>
        <w:jc w:val="both"/>
        <w:rPr>
          <w:bCs/>
          <w:sz w:val="20"/>
          <w:u w:val="single"/>
        </w:rPr>
      </w:pPr>
      <w:r w:rsidRPr="00A40E6F">
        <w:rPr>
          <w:bCs/>
          <w:sz w:val="20"/>
          <w:u w:val="single"/>
        </w:rPr>
        <w:lastRenderedPageBreak/>
        <w:t>Reclasificación de Activos Financieros</w:t>
      </w:r>
    </w:p>
    <w:p w14:paraId="76B61766" w14:textId="77777777" w:rsidR="000A0387" w:rsidRPr="00063EF4" w:rsidRDefault="000A0387" w:rsidP="005644E5">
      <w:pPr>
        <w:keepNext/>
        <w:keepLines/>
        <w:widowControl w:val="0"/>
        <w:spacing w:before="120" w:line="260" w:lineRule="exact"/>
        <w:ind w:left="284"/>
        <w:jc w:val="both"/>
        <w:outlineLvl w:val="9"/>
        <w:rPr>
          <w:snapToGrid w:val="0"/>
          <w:sz w:val="20"/>
          <w:szCs w:val="22"/>
        </w:rPr>
      </w:pPr>
      <w:r w:rsidRPr="00063EF4">
        <w:rPr>
          <w:snapToGrid w:val="0"/>
          <w:sz w:val="20"/>
          <w:szCs w:val="22"/>
        </w:rPr>
        <w:t>Cuando la Sociedad cambie la forma en que gestiona sus activos financieros para generar flujos de efectivo, reclasificará todos los activos afectados de acuerdo con los criterios señalados previamente. La reclasificación de categoría no es un supuesto de baja de balance sino un cambio en el criterio de valoración.</w:t>
      </w:r>
    </w:p>
    <w:p w14:paraId="42ACAD06"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Se pueden dar las siguientes reclasificaciones:</w:t>
      </w:r>
    </w:p>
    <w:p w14:paraId="75769A84" w14:textId="3FB2C2DF" w:rsidR="000A0387" w:rsidRPr="00A40E6F" w:rsidRDefault="000A0387" w:rsidP="00063EF4">
      <w:pPr>
        <w:widowControl w:val="0"/>
        <w:tabs>
          <w:tab w:val="left" w:pos="567"/>
        </w:tabs>
        <w:spacing w:before="120" w:line="276" w:lineRule="auto"/>
        <w:ind w:left="284"/>
        <w:jc w:val="both"/>
        <w:rPr>
          <w:bCs/>
          <w:sz w:val="20"/>
        </w:rPr>
      </w:pPr>
      <w:r w:rsidRPr="00A40E6F">
        <w:rPr>
          <w:bCs/>
          <w:sz w:val="20"/>
        </w:rPr>
        <w:t>1) Reclasificación de los activos financieros a coste amortizado a la categoría de activos financieros a valor razonable con cambios en la cuenta de pérdidas y ganancias y al contrario:</w:t>
      </w:r>
    </w:p>
    <w:p w14:paraId="6212A3E6" w14:textId="126F30F7" w:rsidR="000A0387" w:rsidRPr="00A40E6F" w:rsidRDefault="000A0387" w:rsidP="00063EF4">
      <w:pPr>
        <w:widowControl w:val="0"/>
        <w:tabs>
          <w:tab w:val="left" w:pos="567"/>
        </w:tabs>
        <w:spacing w:before="120" w:line="276" w:lineRule="auto"/>
        <w:ind w:left="284"/>
        <w:jc w:val="both"/>
        <w:rPr>
          <w:bCs/>
          <w:sz w:val="20"/>
        </w:rPr>
      </w:pPr>
      <w:r w:rsidRPr="00A40E6F">
        <w:rPr>
          <w:bCs/>
          <w:sz w:val="20"/>
        </w:rPr>
        <w:t>2) Reclasificación de los activos financieros a coste amortizado a la categoría de activos financieros a valor razonable con cambios en el patrimonio neto y al contrario:</w:t>
      </w:r>
    </w:p>
    <w:p w14:paraId="0026A8C4" w14:textId="410D1FC2" w:rsidR="000A0387" w:rsidRPr="00A40E6F" w:rsidRDefault="000A0387" w:rsidP="00063EF4">
      <w:pPr>
        <w:widowControl w:val="0"/>
        <w:tabs>
          <w:tab w:val="left" w:pos="567"/>
        </w:tabs>
        <w:spacing w:before="120" w:line="276" w:lineRule="auto"/>
        <w:ind w:left="284"/>
        <w:jc w:val="both"/>
        <w:rPr>
          <w:bCs/>
          <w:sz w:val="20"/>
        </w:rPr>
      </w:pPr>
      <w:r w:rsidRPr="00A40E6F">
        <w:rPr>
          <w:bCs/>
          <w:sz w:val="20"/>
        </w:rPr>
        <w:t>3) Reclasificación de los activos financieros a valor razonable con cambios en la cuenta de pérdidas y ganancias a la categoría de activos financieros a valor razonable con cambios en el patrimonio neto y al contrario:</w:t>
      </w:r>
    </w:p>
    <w:p w14:paraId="39F5E5F1" w14:textId="14784007" w:rsidR="000A0387" w:rsidRPr="00A40E6F" w:rsidRDefault="000A0387" w:rsidP="00063EF4">
      <w:pPr>
        <w:keepNext/>
        <w:keepLines/>
        <w:widowControl w:val="0"/>
        <w:tabs>
          <w:tab w:val="left" w:pos="567"/>
        </w:tabs>
        <w:spacing w:before="120" w:line="276" w:lineRule="auto"/>
        <w:ind w:left="284"/>
        <w:jc w:val="both"/>
        <w:rPr>
          <w:bCs/>
          <w:sz w:val="20"/>
        </w:rPr>
      </w:pPr>
      <w:r w:rsidRPr="00A40E6F">
        <w:rPr>
          <w:bCs/>
          <w:sz w:val="20"/>
        </w:rPr>
        <w:t>4) Reclasificación de las inversiones en instrumentos de patrimonio valoradas a coste a la categoría de activos financieros a valor razonable con cambios en pérdidas y ganancias y al contrario:</w:t>
      </w:r>
    </w:p>
    <w:p w14:paraId="2983338E" w14:textId="77777777" w:rsidR="000A0387" w:rsidRPr="00063EF4" w:rsidRDefault="000A0387" w:rsidP="00063EF4">
      <w:pPr>
        <w:widowControl w:val="0"/>
        <w:spacing w:before="120" w:line="260" w:lineRule="exact"/>
        <w:ind w:left="284"/>
        <w:jc w:val="both"/>
        <w:rPr>
          <w:bCs/>
          <w:i/>
          <w:iCs/>
          <w:sz w:val="20"/>
        </w:rPr>
      </w:pPr>
      <w:r w:rsidRPr="00063EF4">
        <w:rPr>
          <w:bCs/>
          <w:i/>
          <w:iCs/>
          <w:sz w:val="20"/>
        </w:rPr>
        <w:t>Baja de Activos Financieros</w:t>
      </w:r>
    </w:p>
    <w:p w14:paraId="295DA2BB"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La Sociedad da de baja un activo financiero, o parte del mismo, cuando expiran o se han cedido los derechos contractuales sobre los flujos de efectivo del activo financiero y se han transferido de manera sustancial los riesgos y beneficios inherentes a su propiedad, en circunstancias que se evalúan comparando la exposición de la Sociedad, antes y después de la cesión, a la variación en los importes y en el calendario de los flujos de efectivo netos del activo transferido. Se entiende que se han cedido de manera sustancial los riesgos y beneficios inherentes a la propiedad del activo financiero cuando su exposición a tal variación deja de ser significativa en relación con la variación total del valor actual de los flujos de efectivo futuros netos asociados con el activo financiero.</w:t>
      </w:r>
    </w:p>
    <w:p w14:paraId="0838B91A"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 xml:space="preserve">Cuando el activo financiero se da de baja, la diferencia entre la contraprestación recibida neta de los costes de transacción atribuibles, considerando cualquier nuevo activo obtenido menos cualquier pasivo asumido, y el valor en libros del activo financiero, determina la ganancia o la pérdida surgida al dar de baja dicho activo, y forma parte del resultado del ejercicio en que ésta se produce. </w:t>
      </w:r>
    </w:p>
    <w:p w14:paraId="43C5DE52" w14:textId="35BB297E"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La Sociedad no da de baja los activos financieros y reconoce un pasivo financiero por un importe igual a la contraprestación recibida, en las cesiones de activos financieros en las que ha retenido sustancialmente los riesgos y beneficios inherentes a su propiedad, tales como en el descuento de efectos, el «</w:t>
      </w:r>
      <w:proofErr w:type="spellStart"/>
      <w:r w:rsidRPr="00063EF4">
        <w:rPr>
          <w:snapToGrid w:val="0"/>
          <w:sz w:val="20"/>
          <w:szCs w:val="22"/>
        </w:rPr>
        <w:t>factoring</w:t>
      </w:r>
      <w:proofErr w:type="spellEnd"/>
      <w:r w:rsidRPr="00063EF4">
        <w:rPr>
          <w:snapToGrid w:val="0"/>
          <w:sz w:val="20"/>
          <w:szCs w:val="22"/>
        </w:rPr>
        <w:t xml:space="preserve"> con recurso», las ventas de activos financieros con pacto de recompra a un precio fijo o al precio de venta más un interés y las titulizaciones de activos financieros en las que la empresa cedente retenga financiaciones subordinadas u otro tipo de garantías que absorban sustancialmente todas las pérdidas esperadas.</w:t>
      </w:r>
    </w:p>
    <w:p w14:paraId="18EEBAA6" w14:textId="77777777" w:rsidR="000A0387" w:rsidRPr="00063EF4" w:rsidRDefault="000A0387" w:rsidP="00063EF4">
      <w:pPr>
        <w:widowControl w:val="0"/>
        <w:spacing w:before="120" w:line="260" w:lineRule="exact"/>
        <w:ind w:left="284"/>
        <w:jc w:val="both"/>
        <w:rPr>
          <w:bCs/>
          <w:i/>
          <w:iCs/>
          <w:sz w:val="20"/>
        </w:rPr>
      </w:pPr>
      <w:r w:rsidRPr="00063EF4">
        <w:rPr>
          <w:bCs/>
          <w:i/>
          <w:iCs/>
          <w:sz w:val="20"/>
        </w:rPr>
        <w:t>Baja de Pasivos Financieros</w:t>
      </w:r>
    </w:p>
    <w:p w14:paraId="197B2808" w14:textId="77777777"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 xml:space="preserve">La Sociedad da de baja un pasivo financiero, o parte del mismo, cuando la obligación se ha extinguido; es decir, cuando ha sido satisfecha, cancelada o ha expirado. También da de baja los pasivos financieros propios que adquiere, aunque sea con la intención de recolocarlos en el futuro. </w:t>
      </w:r>
    </w:p>
    <w:p w14:paraId="24BB7773" w14:textId="77777777" w:rsidR="000A0387" w:rsidRPr="00063EF4" w:rsidRDefault="000A0387" w:rsidP="005644E5">
      <w:pPr>
        <w:keepNext/>
        <w:keepLines/>
        <w:widowControl w:val="0"/>
        <w:spacing w:before="120" w:line="260" w:lineRule="exact"/>
        <w:ind w:left="284"/>
        <w:jc w:val="both"/>
        <w:outlineLvl w:val="9"/>
        <w:rPr>
          <w:snapToGrid w:val="0"/>
          <w:sz w:val="20"/>
          <w:szCs w:val="22"/>
        </w:rPr>
      </w:pPr>
      <w:r w:rsidRPr="00063EF4">
        <w:rPr>
          <w:snapToGrid w:val="0"/>
          <w:sz w:val="20"/>
          <w:szCs w:val="22"/>
        </w:rPr>
        <w:lastRenderedPageBreak/>
        <w:t xml:space="preserve">La diferencia entre el valor en libros del pasivo financiero o de la parte del mismo que se ha dado de baja y la contraprestación pagada incluidos los costes o comisiones en que se incurra y en la que se recoge asimismo cualquier activo cedido diferente del efectivo o pasivo asumido, se reconoce en la cuenta de pérdidas y ganancias del ejercicio en que tenga lugar. </w:t>
      </w:r>
    </w:p>
    <w:p w14:paraId="71E29E96" w14:textId="25DC7D66" w:rsidR="000A0387" w:rsidRPr="00063EF4" w:rsidRDefault="000A0387" w:rsidP="00063EF4">
      <w:pPr>
        <w:widowControl w:val="0"/>
        <w:spacing w:before="120" w:line="260" w:lineRule="exact"/>
        <w:ind w:left="284"/>
        <w:jc w:val="both"/>
        <w:outlineLvl w:val="9"/>
        <w:rPr>
          <w:snapToGrid w:val="0"/>
          <w:sz w:val="20"/>
          <w:szCs w:val="22"/>
        </w:rPr>
      </w:pPr>
      <w:r w:rsidRPr="00063EF4">
        <w:rPr>
          <w:snapToGrid w:val="0"/>
          <w:sz w:val="20"/>
          <w:szCs w:val="22"/>
        </w:rPr>
        <w:t>En el caso de un intercambio de instrumentos de deuda que no tengan condiciones sustancialmente diferentes, el pasivo financiero original no se da de baja del balance. Cualquier coste de transacción o comisión incurrida ajusta el importe en libros del pasivo financiero. A partir de esa fecha, el coste amortizado del pasivo financiero se determina aplicando el tipo de interés efectivo que iguale el valor en libros del pasivo financiero con los flujos de efectivo a pagar según las nuevas condiciones.</w:t>
      </w:r>
    </w:p>
    <w:p w14:paraId="1FB8D06D" w14:textId="77777777" w:rsidR="006220A2" w:rsidRPr="00063EF4" w:rsidRDefault="006220A2" w:rsidP="00063EF4">
      <w:pPr>
        <w:widowControl w:val="0"/>
        <w:spacing w:before="240" w:after="120" w:line="260" w:lineRule="exact"/>
        <w:rPr>
          <w:b/>
          <w:sz w:val="20"/>
          <w:szCs w:val="20"/>
        </w:rPr>
      </w:pPr>
      <w:r w:rsidRPr="00063EF4">
        <w:rPr>
          <w:b/>
          <w:sz w:val="20"/>
          <w:szCs w:val="20"/>
        </w:rPr>
        <w:t xml:space="preserve">4.4 </w:t>
      </w:r>
      <w:r w:rsidRPr="00063EF4">
        <w:rPr>
          <w:b/>
          <w:sz w:val="20"/>
          <w:szCs w:val="20"/>
        </w:rPr>
        <w:tab/>
        <w:t>Patrimonio neto</w:t>
      </w:r>
    </w:p>
    <w:p w14:paraId="122C323E" w14:textId="3C022AB2"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El capital social está representado por 102 acciones clase “A” nominativas de 3.000 euros nominales cada una, y 98 acciones clase “B” nominativas de 3.000 euros cada una. Todas las acciones gozan de iguales derechos políticos y económicos.</w:t>
      </w:r>
      <w:bookmarkStart w:id="1" w:name="_Hlk97817892"/>
    </w:p>
    <w:bookmarkEnd w:id="1"/>
    <w:p w14:paraId="44902920" w14:textId="61574294" w:rsidR="006220A2" w:rsidRPr="00063EF4" w:rsidRDefault="006220A2" w:rsidP="00063EF4">
      <w:pPr>
        <w:widowControl w:val="0"/>
        <w:spacing w:before="240" w:after="120" w:line="260" w:lineRule="exact"/>
        <w:rPr>
          <w:b/>
          <w:sz w:val="20"/>
          <w:szCs w:val="20"/>
        </w:rPr>
      </w:pPr>
      <w:r w:rsidRPr="00063EF4">
        <w:rPr>
          <w:b/>
          <w:sz w:val="20"/>
          <w:szCs w:val="20"/>
        </w:rPr>
        <w:t>4.</w:t>
      </w:r>
      <w:r w:rsidR="00B30832" w:rsidRPr="00063EF4">
        <w:rPr>
          <w:b/>
          <w:sz w:val="20"/>
          <w:szCs w:val="20"/>
        </w:rPr>
        <w:t>5</w:t>
      </w:r>
      <w:r w:rsidRPr="00063EF4">
        <w:rPr>
          <w:b/>
          <w:sz w:val="20"/>
          <w:szCs w:val="20"/>
        </w:rPr>
        <w:t xml:space="preserve"> </w:t>
      </w:r>
      <w:r w:rsidRPr="00063EF4">
        <w:rPr>
          <w:b/>
          <w:sz w:val="20"/>
          <w:szCs w:val="20"/>
        </w:rPr>
        <w:tab/>
        <w:t>Impuestos corrientes y diferidos</w:t>
      </w:r>
    </w:p>
    <w:p w14:paraId="698677BB"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El gasto (ingreso) por impuesto sobre beneficios es el importe que, por este concepto, se devenga en el ejercicio y que comprende tanto el gasto (ingreso) por impuesto corriente como por impuesto diferido.</w:t>
      </w:r>
    </w:p>
    <w:p w14:paraId="66AC293B"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Tanto el gasto (ingreso) por impuesto corriente como diferido se registra en la cuenta de pérdidas y ganancias. No obstante, se reconoce en el patrimonio neto el efecto impositivo relacionado con partidas que se registran directamente en el patrimonio neto.</w:t>
      </w:r>
    </w:p>
    <w:p w14:paraId="75B6B6A4"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Los activos y pasivos por impuesto corriente se valorarán por las cantidades que se espera pagar o recuperar de las autoridades fiscales, de acuerdo con la normativa vigente o aprobada y pendiente de publicación en la fecha de cierre del ejercicio.</w:t>
      </w:r>
    </w:p>
    <w:p w14:paraId="7D89953B"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Los impuestos diferidos se calculan, de acuerdo con el método del pasivo, sobre las diferencias temporarias que surgen entre las bases fiscales de los activos y pasivos y sus valores en libros. Sin embargo, si los impuestos diferidos surgen del reconocimiento inicial de un activo o un pasivo en una transacción distinta de una combinación de negocios que en el momento de la transacción no afecta ni al resultado contable ni a la base imponible del impuesto no se reconocen. El impuesto diferido se determina aplicando la normativa y los tipos impositivos aprobados o a punto de aprobarse en la fecha del balance y que se espera aplicar cuando el correspondiente activo por impuesto diferido se realice o el pasivo por impuesto diferido se liquide.</w:t>
      </w:r>
    </w:p>
    <w:p w14:paraId="222EE8C1"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Los activos por impuestos diferidos se reconocen en la medida en que resulte probable que se vaya a disponer de ganancias fiscales futuras con las que poder compensar las diferencias temporarias.</w:t>
      </w:r>
    </w:p>
    <w:p w14:paraId="7CA3F260" w14:textId="44D05EB1" w:rsidR="006220A2" w:rsidRPr="00063EF4" w:rsidRDefault="006220A2" w:rsidP="00063EF4">
      <w:pPr>
        <w:widowControl w:val="0"/>
        <w:spacing w:before="240" w:after="120" w:line="260" w:lineRule="exact"/>
        <w:rPr>
          <w:b/>
          <w:sz w:val="20"/>
          <w:szCs w:val="20"/>
        </w:rPr>
      </w:pPr>
      <w:bookmarkStart w:id="2" w:name="_Hlk98316661"/>
      <w:r w:rsidRPr="00063EF4">
        <w:rPr>
          <w:b/>
          <w:sz w:val="20"/>
          <w:szCs w:val="20"/>
        </w:rPr>
        <w:t>4.</w:t>
      </w:r>
      <w:r w:rsidR="00B30832" w:rsidRPr="00063EF4">
        <w:rPr>
          <w:b/>
          <w:sz w:val="20"/>
          <w:szCs w:val="20"/>
        </w:rPr>
        <w:t>6</w:t>
      </w:r>
      <w:r w:rsidRPr="00063EF4">
        <w:rPr>
          <w:b/>
          <w:sz w:val="20"/>
          <w:szCs w:val="20"/>
        </w:rPr>
        <w:t xml:space="preserve"> </w:t>
      </w:r>
      <w:r w:rsidRPr="00063EF4">
        <w:rPr>
          <w:b/>
          <w:sz w:val="20"/>
          <w:szCs w:val="20"/>
        </w:rPr>
        <w:tab/>
        <w:t>Compromisos por premio de jubilación</w:t>
      </w:r>
    </w:p>
    <w:bookmarkEnd w:id="2"/>
    <w:p w14:paraId="38964AE8"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La Sociedad tiene obligación, según el convenio colectivo vigente de la empresa, de premiar la vinculación de su personal en el momento de su jubilación o fallecimiento. Estas gratificaciones se pagan en el momento de la jubilación o fallecimiento del empleado y consisten en el pago de entre dos y seis mensualidades en función de los años de antigüedad e</w:t>
      </w:r>
      <w:r w:rsidR="00694E39" w:rsidRPr="00063EF4">
        <w:rPr>
          <w:snapToGrid w:val="0"/>
          <w:sz w:val="20"/>
          <w:szCs w:val="22"/>
        </w:rPr>
        <w:t>n la empresa.</w:t>
      </w:r>
    </w:p>
    <w:p w14:paraId="78C46DD6" w14:textId="67F05A96"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La legislación vigente establece la obligación de externalizar los compromisos de este tipo devengados, habiéndose cumplido con dicha normativa, de modo que la totalidad de las obligaciones devengadas por el premio de jubilación hasta 31 de diciembre de 2011 se encuentran externalizadas a 31 de diciembre de 20</w:t>
      </w:r>
      <w:r w:rsidR="003704B2" w:rsidRPr="00063EF4">
        <w:rPr>
          <w:snapToGrid w:val="0"/>
          <w:sz w:val="20"/>
          <w:szCs w:val="22"/>
        </w:rPr>
        <w:t>2</w:t>
      </w:r>
      <w:r w:rsidR="00A34718" w:rsidRPr="00063EF4">
        <w:rPr>
          <w:snapToGrid w:val="0"/>
          <w:sz w:val="20"/>
          <w:szCs w:val="22"/>
        </w:rPr>
        <w:t>1</w:t>
      </w:r>
      <w:r w:rsidRPr="00063EF4">
        <w:rPr>
          <w:snapToGrid w:val="0"/>
          <w:sz w:val="20"/>
          <w:szCs w:val="22"/>
        </w:rPr>
        <w:t>, no existiendo por tanto provisión por dicho concepto en las presentes cuentas anuales.</w:t>
      </w:r>
    </w:p>
    <w:p w14:paraId="22B6967E"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lastRenderedPageBreak/>
        <w:t>Desde el ejercicio 2011, la Sociedad no ha registrado gastos por este concepto, ni realizado, por tanto, aportaciones al fondo constituido, y que tiene externalizado, de acuerdo con las directrices marcadas por el Gobierno de Canarias, que estableció en los Presupuestos Generales de la Comunidad Autónoma de Canarias desde dicho ejercicio, que los entes del sector público autonómico con presupuesto estimativo no podrán realizar aportaciones a planes de pensiones o instituciones de ahorro con efectos similares, quedando por tanto suspendido el derecho de los empleados de la Sociedad a recibir dichas gratificaciones en el momento de su jubilación o fallecimiento de los mismos.</w:t>
      </w:r>
    </w:p>
    <w:p w14:paraId="51B81B0A" w14:textId="3692899F" w:rsidR="006220A2" w:rsidRPr="00063EF4" w:rsidRDefault="006220A2" w:rsidP="00063EF4">
      <w:pPr>
        <w:widowControl w:val="0"/>
        <w:spacing w:before="120" w:line="260" w:lineRule="exact"/>
        <w:ind w:left="284"/>
        <w:jc w:val="both"/>
        <w:outlineLvl w:val="9"/>
        <w:rPr>
          <w:snapToGrid w:val="0"/>
          <w:sz w:val="20"/>
          <w:szCs w:val="22"/>
        </w:rPr>
      </w:pPr>
      <w:bookmarkStart w:id="3" w:name="_Hlk98316688"/>
      <w:r w:rsidRPr="00063EF4">
        <w:rPr>
          <w:snapToGrid w:val="0"/>
          <w:sz w:val="20"/>
          <w:szCs w:val="22"/>
        </w:rPr>
        <w:t>El valor de rescate a cierre del ejercicio 20</w:t>
      </w:r>
      <w:r w:rsidR="00B04211" w:rsidRPr="00063EF4">
        <w:rPr>
          <w:snapToGrid w:val="0"/>
          <w:sz w:val="20"/>
          <w:szCs w:val="22"/>
        </w:rPr>
        <w:t>2</w:t>
      </w:r>
      <w:r w:rsidR="00A34718" w:rsidRPr="00063EF4">
        <w:rPr>
          <w:snapToGrid w:val="0"/>
          <w:sz w:val="20"/>
          <w:szCs w:val="22"/>
        </w:rPr>
        <w:t>1</w:t>
      </w:r>
      <w:r w:rsidRPr="00063EF4">
        <w:rPr>
          <w:snapToGrid w:val="0"/>
          <w:sz w:val="20"/>
          <w:szCs w:val="22"/>
        </w:rPr>
        <w:t xml:space="preserve"> de las aportaciones realizadas por la Sociedad en ejercicios anteriores asciende a un valor de </w:t>
      </w:r>
      <w:r w:rsidR="007E7A97" w:rsidRPr="00063EF4">
        <w:rPr>
          <w:snapToGrid w:val="0"/>
          <w:sz w:val="20"/>
          <w:szCs w:val="22"/>
        </w:rPr>
        <w:t xml:space="preserve">184.264,36 </w:t>
      </w:r>
      <w:r w:rsidRPr="00063EF4">
        <w:rPr>
          <w:snapToGrid w:val="0"/>
          <w:sz w:val="20"/>
          <w:szCs w:val="22"/>
        </w:rPr>
        <w:t>euros</w:t>
      </w:r>
      <w:r w:rsidR="003704B2" w:rsidRPr="00063EF4">
        <w:rPr>
          <w:snapToGrid w:val="0"/>
          <w:sz w:val="20"/>
          <w:szCs w:val="22"/>
        </w:rPr>
        <w:t>.</w:t>
      </w:r>
    </w:p>
    <w:bookmarkEnd w:id="3"/>
    <w:p w14:paraId="6EABAA24" w14:textId="4ED6ADCD" w:rsidR="00A34718" w:rsidRPr="00063EF4" w:rsidRDefault="006220A2" w:rsidP="00063EF4">
      <w:pPr>
        <w:widowControl w:val="0"/>
        <w:spacing w:before="240" w:after="120" w:line="260" w:lineRule="exact"/>
        <w:rPr>
          <w:b/>
          <w:sz w:val="20"/>
          <w:szCs w:val="20"/>
        </w:rPr>
      </w:pPr>
      <w:r w:rsidRPr="00063EF4">
        <w:rPr>
          <w:b/>
          <w:sz w:val="20"/>
          <w:szCs w:val="20"/>
        </w:rPr>
        <w:t>4.</w:t>
      </w:r>
      <w:r w:rsidR="00B30832" w:rsidRPr="00063EF4">
        <w:rPr>
          <w:b/>
          <w:sz w:val="20"/>
          <w:szCs w:val="20"/>
        </w:rPr>
        <w:t>7</w:t>
      </w:r>
      <w:r w:rsidRPr="00063EF4">
        <w:rPr>
          <w:b/>
          <w:sz w:val="20"/>
          <w:szCs w:val="20"/>
        </w:rPr>
        <w:t xml:space="preserve"> </w:t>
      </w:r>
      <w:r w:rsidRPr="00063EF4">
        <w:rPr>
          <w:b/>
          <w:sz w:val="20"/>
          <w:szCs w:val="20"/>
        </w:rPr>
        <w:tab/>
      </w:r>
      <w:r w:rsidR="00A34718" w:rsidRPr="00063EF4">
        <w:rPr>
          <w:b/>
          <w:sz w:val="20"/>
          <w:szCs w:val="20"/>
        </w:rPr>
        <w:t xml:space="preserve">Ingresos y gastos </w:t>
      </w:r>
    </w:p>
    <w:p w14:paraId="220D8271" w14:textId="45F96267" w:rsidR="00A34718" w:rsidRPr="00063EF4" w:rsidRDefault="00A34718" w:rsidP="00063EF4">
      <w:pPr>
        <w:widowControl w:val="0"/>
        <w:spacing w:before="120" w:line="260" w:lineRule="exact"/>
        <w:ind w:left="284"/>
        <w:jc w:val="both"/>
        <w:outlineLvl w:val="9"/>
        <w:rPr>
          <w:snapToGrid w:val="0"/>
          <w:sz w:val="20"/>
          <w:szCs w:val="22"/>
        </w:rPr>
      </w:pPr>
      <w:r w:rsidRPr="00063EF4">
        <w:rPr>
          <w:snapToGrid w:val="0"/>
          <w:sz w:val="20"/>
          <w:szCs w:val="22"/>
        </w:rPr>
        <w:t>La actividad de la Sociedad es la promoción turística de Canarias, esto se desarrolla mediante tres tipos</w:t>
      </w:r>
      <w:r w:rsidR="00346101" w:rsidRPr="00063EF4">
        <w:rPr>
          <w:snapToGrid w:val="0"/>
          <w:sz w:val="20"/>
          <w:szCs w:val="22"/>
        </w:rPr>
        <w:t xml:space="preserve"> de ingresos: a)</w:t>
      </w:r>
      <w:r w:rsidRPr="00063EF4">
        <w:rPr>
          <w:snapToGrid w:val="0"/>
          <w:sz w:val="20"/>
          <w:szCs w:val="22"/>
        </w:rPr>
        <w:t xml:space="preserve"> la prestación de servicios, que son los ingresos por encomiendas y convenios con el Gobierno de Canarias</w:t>
      </w:r>
      <w:r w:rsidR="00346101" w:rsidRPr="00063EF4">
        <w:rPr>
          <w:snapToGrid w:val="0"/>
          <w:sz w:val="20"/>
          <w:szCs w:val="22"/>
        </w:rPr>
        <w:t xml:space="preserve">; b) </w:t>
      </w:r>
      <w:r w:rsidRPr="00063EF4">
        <w:rPr>
          <w:snapToGrid w:val="0"/>
          <w:sz w:val="20"/>
          <w:szCs w:val="22"/>
        </w:rPr>
        <w:t>las subvenciones de explotación que son concedidas por el Gobierno de Canarias para financiar</w:t>
      </w:r>
      <w:r w:rsidR="007E0B23" w:rsidRPr="00063EF4">
        <w:rPr>
          <w:snapToGrid w:val="0"/>
          <w:sz w:val="20"/>
          <w:szCs w:val="22"/>
        </w:rPr>
        <w:t xml:space="preserve"> su actividad</w:t>
      </w:r>
      <w:r w:rsidR="00346101" w:rsidRPr="00063EF4">
        <w:rPr>
          <w:snapToGrid w:val="0"/>
          <w:sz w:val="20"/>
          <w:szCs w:val="22"/>
        </w:rPr>
        <w:t>;</w:t>
      </w:r>
      <w:r w:rsidR="007E0B23" w:rsidRPr="00063EF4">
        <w:rPr>
          <w:snapToGrid w:val="0"/>
          <w:sz w:val="20"/>
          <w:szCs w:val="22"/>
        </w:rPr>
        <w:t xml:space="preserve"> y</w:t>
      </w:r>
      <w:r w:rsidR="00CB02BB" w:rsidRPr="00063EF4">
        <w:rPr>
          <w:snapToGrid w:val="0"/>
          <w:sz w:val="20"/>
          <w:szCs w:val="22"/>
        </w:rPr>
        <w:t xml:space="preserve"> </w:t>
      </w:r>
      <w:r w:rsidR="00346101" w:rsidRPr="00063EF4">
        <w:rPr>
          <w:snapToGrid w:val="0"/>
          <w:sz w:val="20"/>
          <w:szCs w:val="22"/>
        </w:rPr>
        <w:t>c)</w:t>
      </w:r>
      <w:r w:rsidR="00A40E6F" w:rsidRPr="00063EF4">
        <w:rPr>
          <w:snapToGrid w:val="0"/>
          <w:sz w:val="20"/>
          <w:szCs w:val="22"/>
        </w:rPr>
        <w:t xml:space="preserve"> los ingresos que </w:t>
      </w:r>
      <w:r w:rsidR="007E0B23" w:rsidRPr="00063EF4">
        <w:rPr>
          <w:snapToGrid w:val="0"/>
          <w:sz w:val="20"/>
          <w:szCs w:val="22"/>
        </w:rPr>
        <w:t>recibe por</w:t>
      </w:r>
      <w:r w:rsidR="00A40E6F" w:rsidRPr="00063EF4">
        <w:rPr>
          <w:snapToGrid w:val="0"/>
          <w:sz w:val="20"/>
          <w:szCs w:val="22"/>
        </w:rPr>
        <w:t xml:space="preserve"> su asistencia a ferias y eventos turísticos.</w:t>
      </w:r>
    </w:p>
    <w:p w14:paraId="3252DF01" w14:textId="1338C170" w:rsidR="007E0B23" w:rsidRPr="00144303" w:rsidRDefault="007E0B23" w:rsidP="00063EF4">
      <w:pPr>
        <w:widowControl w:val="0"/>
        <w:tabs>
          <w:tab w:val="left" w:pos="567"/>
        </w:tabs>
        <w:spacing w:before="200"/>
        <w:ind w:left="284"/>
        <w:jc w:val="both"/>
        <w:rPr>
          <w:b/>
          <w:sz w:val="20"/>
        </w:rPr>
      </w:pPr>
      <w:r w:rsidRPr="00144303">
        <w:rPr>
          <w:b/>
          <w:sz w:val="20"/>
        </w:rPr>
        <w:t>Reconocimiento de ingresos por ventas y prestación de servicios</w:t>
      </w:r>
    </w:p>
    <w:p w14:paraId="6D5F8C22" w14:textId="0361B15E" w:rsidR="007E0B23" w:rsidRPr="00063EF4" w:rsidRDefault="007E0B23" w:rsidP="00063EF4">
      <w:pPr>
        <w:widowControl w:val="0"/>
        <w:spacing w:before="120" w:line="260" w:lineRule="exact"/>
        <w:ind w:left="284"/>
        <w:jc w:val="both"/>
        <w:outlineLvl w:val="9"/>
        <w:rPr>
          <w:snapToGrid w:val="0"/>
          <w:sz w:val="20"/>
          <w:szCs w:val="22"/>
        </w:rPr>
      </w:pPr>
      <w:r w:rsidRPr="00063EF4">
        <w:rPr>
          <w:snapToGrid w:val="0"/>
          <w:sz w:val="20"/>
          <w:szCs w:val="22"/>
        </w:rPr>
        <w:t>Los ingresos derivados de un contrato se reconocen a medida que se produce la transferencia al cliente de control sobre los bienes o servicios comprometidos.</w:t>
      </w:r>
    </w:p>
    <w:p w14:paraId="7B306529" w14:textId="55DE2828" w:rsidR="007E0B23" w:rsidRPr="00144303" w:rsidRDefault="007E0B23" w:rsidP="00063EF4">
      <w:pPr>
        <w:widowControl w:val="0"/>
        <w:tabs>
          <w:tab w:val="left" w:pos="567"/>
        </w:tabs>
        <w:spacing w:before="200"/>
        <w:ind w:left="284"/>
        <w:jc w:val="both"/>
        <w:rPr>
          <w:bCs/>
          <w:i/>
          <w:iCs/>
          <w:sz w:val="20"/>
        </w:rPr>
      </w:pPr>
      <w:r w:rsidRPr="00144303">
        <w:rPr>
          <w:bCs/>
          <w:i/>
          <w:iCs/>
          <w:sz w:val="20"/>
        </w:rPr>
        <w:t>Valoración</w:t>
      </w:r>
    </w:p>
    <w:p w14:paraId="188BDDF7" w14:textId="3EB6C237" w:rsidR="007E0B23" w:rsidRPr="00063EF4" w:rsidRDefault="007E0B23" w:rsidP="00063EF4">
      <w:pPr>
        <w:widowControl w:val="0"/>
        <w:spacing w:before="120" w:line="260" w:lineRule="exact"/>
        <w:ind w:left="284"/>
        <w:jc w:val="both"/>
        <w:outlineLvl w:val="9"/>
        <w:rPr>
          <w:snapToGrid w:val="0"/>
          <w:sz w:val="20"/>
          <w:szCs w:val="22"/>
        </w:rPr>
      </w:pPr>
      <w:r w:rsidRPr="00144303">
        <w:rPr>
          <w:bCs/>
          <w:sz w:val="20"/>
        </w:rPr>
        <w:t xml:space="preserve">Los ingresos ordinarios procedentes de la venta de bienes y de la prestación de servicios se valoran </w:t>
      </w:r>
      <w:r w:rsidRPr="00063EF4">
        <w:rPr>
          <w:snapToGrid w:val="0"/>
          <w:sz w:val="20"/>
          <w:szCs w:val="22"/>
        </w:rPr>
        <w:t>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w:t>
      </w:r>
    </w:p>
    <w:p w14:paraId="48CF0AEC" w14:textId="77777777" w:rsidR="007E0B23" w:rsidRPr="00063EF4" w:rsidRDefault="007E0B23" w:rsidP="00063EF4">
      <w:pPr>
        <w:widowControl w:val="0"/>
        <w:spacing w:before="120" w:line="260" w:lineRule="exact"/>
        <w:ind w:left="284"/>
        <w:jc w:val="both"/>
        <w:outlineLvl w:val="9"/>
        <w:rPr>
          <w:snapToGrid w:val="0"/>
          <w:sz w:val="20"/>
          <w:szCs w:val="22"/>
        </w:rPr>
      </w:pPr>
      <w:r w:rsidRPr="00063EF4">
        <w:rPr>
          <w:snapToGrid w:val="0"/>
          <w:sz w:val="20"/>
          <w:szCs w:val="22"/>
        </w:rPr>
        <w:t>No forman parte de los ingresos los impuestos que gravan las operaciones de entrega de bienes y prestación de servicios que la empresa debe repercutir a terceros como el impuesto general indirecto canario y los impuestos especiales, así como las cantidades recibidas por cuenta de terceros.</w:t>
      </w:r>
    </w:p>
    <w:p w14:paraId="1D62FDDB" w14:textId="6086BA97" w:rsidR="007E0B23" w:rsidRPr="00063EF4" w:rsidRDefault="007E0B23" w:rsidP="00063EF4">
      <w:pPr>
        <w:widowControl w:val="0"/>
        <w:spacing w:before="120" w:line="260" w:lineRule="exact"/>
        <w:ind w:left="284"/>
        <w:jc w:val="both"/>
        <w:outlineLvl w:val="9"/>
        <w:rPr>
          <w:snapToGrid w:val="0"/>
          <w:sz w:val="20"/>
          <w:szCs w:val="22"/>
        </w:rPr>
      </w:pPr>
      <w:r w:rsidRPr="00063EF4">
        <w:rPr>
          <w:snapToGrid w:val="0"/>
          <w:sz w:val="20"/>
          <w:szCs w:val="22"/>
        </w:rPr>
        <w:t>Los créditos por operaciones comerciales se valoran de acuerdo con lo dispuesto en la norma relativa a instrumentos financieros. Cuando existan dudas relativas al cobro del derecho de crédito previamente reconocido como ingresos por venta o prestación de servicios, la pérdida por deterioro se registrará como un gasto por corrección de valor por deterioro y no como un menor ingreso.</w:t>
      </w:r>
    </w:p>
    <w:p w14:paraId="45CA5199" w14:textId="57370641" w:rsidR="00702391" w:rsidRPr="00063EF4" w:rsidRDefault="00702391" w:rsidP="00063EF4">
      <w:pPr>
        <w:widowControl w:val="0"/>
        <w:spacing w:before="240" w:after="120" w:line="260" w:lineRule="exact"/>
        <w:rPr>
          <w:b/>
          <w:sz w:val="20"/>
          <w:szCs w:val="20"/>
        </w:rPr>
      </w:pPr>
      <w:r w:rsidRPr="00063EF4">
        <w:rPr>
          <w:b/>
          <w:sz w:val="20"/>
          <w:szCs w:val="20"/>
        </w:rPr>
        <w:t>4.8. Subvenciones, donaciones y legados</w:t>
      </w:r>
    </w:p>
    <w:p w14:paraId="7DA93A30" w14:textId="77777777" w:rsidR="00702391" w:rsidRPr="00063EF4" w:rsidRDefault="00702391" w:rsidP="00063EF4">
      <w:pPr>
        <w:widowControl w:val="0"/>
        <w:spacing w:before="120" w:line="260" w:lineRule="exact"/>
        <w:ind w:left="284"/>
        <w:jc w:val="both"/>
        <w:outlineLvl w:val="9"/>
        <w:rPr>
          <w:snapToGrid w:val="0"/>
          <w:sz w:val="20"/>
          <w:szCs w:val="22"/>
        </w:rPr>
      </w:pPr>
      <w:r w:rsidRPr="00063EF4">
        <w:rPr>
          <w:snapToGrid w:val="0"/>
          <w:sz w:val="20"/>
          <w:szCs w:val="22"/>
        </w:rPr>
        <w:t xml:space="preserve">Las subvenciones que tengan carácter de reintegrables se registran como pasivos hasta cumplir las condiciones para considerarse no reintegrables, mientras que las subvenciones no reintegrables se registran como ingresos directamente imputados al patrimonio neto y se reconocen como ingresos sobre una base sistemática y racional de forma correlacionada con los gastos derivados de la subvención. </w:t>
      </w:r>
    </w:p>
    <w:p w14:paraId="602A3AF2" w14:textId="77777777" w:rsidR="00702391" w:rsidRPr="00063EF4" w:rsidRDefault="00702391" w:rsidP="00063EF4">
      <w:pPr>
        <w:widowControl w:val="0"/>
        <w:spacing w:before="120" w:line="260" w:lineRule="exact"/>
        <w:ind w:left="284"/>
        <w:jc w:val="both"/>
        <w:outlineLvl w:val="9"/>
        <w:rPr>
          <w:snapToGrid w:val="0"/>
          <w:sz w:val="20"/>
          <w:szCs w:val="22"/>
        </w:rPr>
      </w:pPr>
      <w:r w:rsidRPr="00063EF4">
        <w:rPr>
          <w:snapToGrid w:val="0"/>
          <w:sz w:val="20"/>
          <w:szCs w:val="22"/>
        </w:rPr>
        <w:t>A estos efectos, una subvención se considera no reintegrable cuando existe un acuerdo individualizado de concesión de la subvención, se han cumplido todas las condiciones establecidas para su concesión y no existen dudas razonables de que se cobrará.</w:t>
      </w:r>
    </w:p>
    <w:p w14:paraId="4F244B53" w14:textId="77777777" w:rsidR="00702391" w:rsidRPr="00063EF4" w:rsidRDefault="00702391" w:rsidP="00063EF4">
      <w:pPr>
        <w:widowControl w:val="0"/>
        <w:spacing w:before="120" w:line="260" w:lineRule="exact"/>
        <w:ind w:left="284"/>
        <w:jc w:val="both"/>
        <w:outlineLvl w:val="9"/>
        <w:rPr>
          <w:snapToGrid w:val="0"/>
          <w:sz w:val="20"/>
          <w:szCs w:val="22"/>
        </w:rPr>
      </w:pPr>
      <w:r w:rsidRPr="00063EF4">
        <w:rPr>
          <w:snapToGrid w:val="0"/>
          <w:sz w:val="20"/>
          <w:szCs w:val="22"/>
        </w:rPr>
        <w:lastRenderedPageBreak/>
        <w:t>Las subvenciones de carácter monetario se valoran por el valor razonable del importe concedido y las subvenciones no monetarias por el valor razonable del bien recibido, referidos ambos valores al momento de su reconocimiento.</w:t>
      </w:r>
    </w:p>
    <w:p w14:paraId="3E6AA132" w14:textId="77777777" w:rsidR="00702391" w:rsidRPr="00063EF4" w:rsidRDefault="00702391" w:rsidP="00063EF4">
      <w:pPr>
        <w:widowControl w:val="0"/>
        <w:spacing w:before="120" w:line="260" w:lineRule="exact"/>
        <w:ind w:left="284"/>
        <w:jc w:val="both"/>
        <w:outlineLvl w:val="9"/>
        <w:rPr>
          <w:snapToGrid w:val="0"/>
          <w:sz w:val="20"/>
          <w:szCs w:val="22"/>
        </w:rPr>
      </w:pPr>
      <w:r w:rsidRPr="00063EF4">
        <w:rPr>
          <w:snapToGrid w:val="0"/>
          <w:sz w:val="20"/>
          <w:szCs w:val="22"/>
        </w:rPr>
        <w:t>Las subvenciones no reintegrables relacionadas con la adquisición de inmovilizado intangible, material e inversiones inmobiliarias se imputan como ingresos del ejercicio en proporción a la amortización de los correspondientes activos o, en su caso, cuando se produzca su enajenación, corrección valorativa por deterioro o baja en balance. Por su parte, las subvenciones no reintegrables relacionadas con gastos específicos se reconocen en la cuenta de pérdidas y ganancias en el mismo ejercicio en que se devengan los correspondientes gastos y las concedidas para compensar déficit de explotación en el ejercicio en que se conceden, salvo cuando se destinan a compensar déficit de explotación de ejercicios futuros, en cuyo caso se imputan en dichos ejercicios.</w:t>
      </w:r>
    </w:p>
    <w:p w14:paraId="1BB6C02D" w14:textId="77777777" w:rsidR="00702391" w:rsidRPr="00063EF4" w:rsidRDefault="00702391" w:rsidP="00063EF4">
      <w:pPr>
        <w:widowControl w:val="0"/>
        <w:spacing w:before="120" w:line="260" w:lineRule="exact"/>
        <w:ind w:left="284"/>
        <w:jc w:val="both"/>
        <w:outlineLvl w:val="9"/>
        <w:rPr>
          <w:snapToGrid w:val="0"/>
          <w:sz w:val="20"/>
          <w:szCs w:val="22"/>
        </w:rPr>
      </w:pPr>
      <w:r w:rsidRPr="00063EF4">
        <w:rPr>
          <w:snapToGrid w:val="0"/>
          <w:sz w:val="20"/>
          <w:szCs w:val="22"/>
        </w:rPr>
        <w:t>Subvenciones o transferencias con finalidad indeterminada concedida por las Administraciones Públicas, para financiar déficits de explotación o gastos generales de funcionamiento de la empresa, no asociados con ninguna actividad o área de actividad en concreto sino con el conjunto de las actividades que realiza, son tratadas como aportaciones de socios contabilizándose directamente en el Patrimonio neto de la Sociedad.</w:t>
      </w:r>
    </w:p>
    <w:p w14:paraId="71F3F599" w14:textId="2ADFCB8C" w:rsidR="006220A2" w:rsidRPr="00063EF4" w:rsidRDefault="006220A2" w:rsidP="00063EF4">
      <w:pPr>
        <w:widowControl w:val="0"/>
        <w:spacing w:before="240" w:after="120" w:line="260" w:lineRule="exact"/>
        <w:rPr>
          <w:b/>
          <w:sz w:val="20"/>
          <w:szCs w:val="20"/>
        </w:rPr>
      </w:pPr>
      <w:r w:rsidRPr="00063EF4">
        <w:rPr>
          <w:b/>
          <w:sz w:val="20"/>
          <w:szCs w:val="20"/>
        </w:rPr>
        <w:t>4.</w:t>
      </w:r>
      <w:r w:rsidR="00702391" w:rsidRPr="00063EF4">
        <w:rPr>
          <w:b/>
          <w:sz w:val="20"/>
          <w:szCs w:val="20"/>
        </w:rPr>
        <w:t>9</w:t>
      </w:r>
      <w:r w:rsidRPr="00063EF4">
        <w:rPr>
          <w:b/>
          <w:sz w:val="20"/>
          <w:szCs w:val="20"/>
        </w:rPr>
        <w:t xml:space="preserve"> </w:t>
      </w:r>
      <w:r w:rsidRPr="00063EF4">
        <w:rPr>
          <w:b/>
          <w:sz w:val="20"/>
          <w:szCs w:val="20"/>
        </w:rPr>
        <w:tab/>
        <w:t>Arrendamientos</w:t>
      </w:r>
    </w:p>
    <w:p w14:paraId="3721D96E"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Los arrendamientos en los que el arrendador conserva una parte importante de los riesgos y beneficios derivados de la titularidad se clasifican como arrendamientos operativos. Los pagos en concepto de arrendamiento operativo (netos de cualquier incentivo recibido del arrendador) se cargan en la cuenta de pérdidas y ganancias del ejercicio en que se devengan sobre una base lineal durante el período de arrendamiento.</w:t>
      </w:r>
    </w:p>
    <w:p w14:paraId="289F2BB3" w14:textId="3A754F86" w:rsidR="006220A2" w:rsidRPr="00063EF4" w:rsidRDefault="006220A2" w:rsidP="00063EF4">
      <w:pPr>
        <w:widowControl w:val="0"/>
        <w:spacing w:before="240" w:after="120" w:line="260" w:lineRule="exact"/>
        <w:rPr>
          <w:b/>
          <w:sz w:val="20"/>
          <w:szCs w:val="20"/>
        </w:rPr>
      </w:pPr>
      <w:r w:rsidRPr="00063EF4">
        <w:rPr>
          <w:b/>
          <w:sz w:val="20"/>
          <w:szCs w:val="20"/>
        </w:rPr>
        <w:t>4.</w:t>
      </w:r>
      <w:r w:rsidR="00702391" w:rsidRPr="00063EF4">
        <w:rPr>
          <w:b/>
          <w:sz w:val="20"/>
          <w:szCs w:val="20"/>
        </w:rPr>
        <w:t>10</w:t>
      </w:r>
      <w:r w:rsidRPr="00063EF4">
        <w:rPr>
          <w:b/>
          <w:sz w:val="20"/>
          <w:szCs w:val="20"/>
        </w:rPr>
        <w:t xml:space="preserve"> </w:t>
      </w:r>
      <w:r w:rsidRPr="00063EF4">
        <w:rPr>
          <w:b/>
          <w:sz w:val="20"/>
          <w:szCs w:val="20"/>
        </w:rPr>
        <w:tab/>
        <w:t>Transacciones en moneda extranjera</w:t>
      </w:r>
    </w:p>
    <w:p w14:paraId="7D5C4A97" w14:textId="77777777" w:rsidR="006220A2" w:rsidRPr="0083433F" w:rsidRDefault="006220A2" w:rsidP="006220A2">
      <w:pPr>
        <w:widowControl w:val="0"/>
        <w:tabs>
          <w:tab w:val="left" w:pos="284"/>
        </w:tabs>
        <w:spacing w:before="200"/>
        <w:rPr>
          <w:sz w:val="20"/>
          <w:u w:val="single"/>
        </w:rPr>
      </w:pPr>
      <w:r w:rsidRPr="0083433F">
        <w:rPr>
          <w:sz w:val="20"/>
        </w:rPr>
        <w:t>a)</w:t>
      </w:r>
      <w:r w:rsidRPr="0083433F">
        <w:rPr>
          <w:sz w:val="20"/>
        </w:rPr>
        <w:tab/>
      </w:r>
      <w:r w:rsidRPr="0083433F">
        <w:rPr>
          <w:sz w:val="20"/>
          <w:u w:val="single"/>
        </w:rPr>
        <w:t>Moneda funcional y de presentación</w:t>
      </w:r>
    </w:p>
    <w:p w14:paraId="58A67785" w14:textId="77777777" w:rsidR="006220A2" w:rsidRPr="00063EF4"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Las cuentas anuales de la Sociedad se presentan en euros, que es la moneda de presentac</w:t>
      </w:r>
      <w:r w:rsidR="00F50518" w:rsidRPr="00063EF4">
        <w:rPr>
          <w:snapToGrid w:val="0"/>
          <w:sz w:val="20"/>
          <w:szCs w:val="22"/>
        </w:rPr>
        <w:t>ión y funcional de la Sociedad.</w:t>
      </w:r>
    </w:p>
    <w:p w14:paraId="0543FC1E" w14:textId="77777777" w:rsidR="006220A2" w:rsidRPr="0083433F" w:rsidRDefault="006220A2" w:rsidP="00063EF4">
      <w:pPr>
        <w:widowControl w:val="0"/>
        <w:tabs>
          <w:tab w:val="left" w:pos="284"/>
        </w:tabs>
        <w:spacing w:before="200" w:after="120" w:line="260" w:lineRule="exact"/>
        <w:rPr>
          <w:sz w:val="20"/>
          <w:u w:val="single"/>
        </w:rPr>
      </w:pPr>
      <w:r w:rsidRPr="0083433F">
        <w:rPr>
          <w:sz w:val="20"/>
        </w:rPr>
        <w:t>b)</w:t>
      </w:r>
      <w:r w:rsidRPr="0083433F">
        <w:rPr>
          <w:sz w:val="20"/>
        </w:rPr>
        <w:tab/>
      </w:r>
      <w:r w:rsidRPr="0083433F">
        <w:rPr>
          <w:sz w:val="20"/>
          <w:u w:val="single"/>
        </w:rPr>
        <w:t>Transacciones y saldos</w:t>
      </w:r>
    </w:p>
    <w:p w14:paraId="1C2BB35D" w14:textId="44529D09" w:rsidR="005644E5" w:rsidRDefault="006220A2" w:rsidP="00063EF4">
      <w:pPr>
        <w:widowControl w:val="0"/>
        <w:spacing w:before="120" w:line="260" w:lineRule="exact"/>
        <w:ind w:left="284"/>
        <w:jc w:val="both"/>
        <w:outlineLvl w:val="9"/>
        <w:rPr>
          <w:snapToGrid w:val="0"/>
          <w:sz w:val="20"/>
          <w:szCs w:val="22"/>
        </w:rPr>
      </w:pPr>
      <w:r w:rsidRPr="00063EF4">
        <w:rPr>
          <w:snapToGrid w:val="0"/>
          <w:sz w:val="20"/>
          <w:szCs w:val="22"/>
        </w:rPr>
        <w:t>Las transacciones en moneda extranjera se convierten a la moneda funcional utilizando los tipos de cambio vigentes en la fecha de las transacciones. Las pérdidas y ganancias en moneda extranjera que resultan de la liquidación de estas transacciones y de la conversión a los tipos de cambio de cierre de los activos y pasivos monetarios denominados en moneda extranjera se reconocen en la cuenta de pérdidas y ganancias.</w:t>
      </w:r>
    </w:p>
    <w:p w14:paraId="305F4421" w14:textId="77777777" w:rsidR="005644E5" w:rsidRDefault="005644E5">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56EB1852" w14:textId="5C37C6D6" w:rsidR="006220A2" w:rsidRPr="00F5041C" w:rsidRDefault="00F5041C"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Pr>
          <w:b/>
          <w:snapToGrid w:val="0"/>
          <w:sz w:val="22"/>
          <w:szCs w:val="22"/>
        </w:rPr>
        <w:lastRenderedPageBreak/>
        <w:t xml:space="preserve"> </w:t>
      </w:r>
      <w:r w:rsidR="006220A2" w:rsidRPr="00F5041C">
        <w:rPr>
          <w:b/>
          <w:snapToGrid w:val="0"/>
          <w:sz w:val="22"/>
          <w:szCs w:val="22"/>
        </w:rPr>
        <w:t>Inmovilizado intangible</w:t>
      </w:r>
    </w:p>
    <w:p w14:paraId="1410E5AC" w14:textId="1CD4796D" w:rsidR="006220A2"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El detalle y movimiento de</w:t>
      </w:r>
      <w:r w:rsidR="007E7835" w:rsidRPr="005644E5">
        <w:rPr>
          <w:snapToGrid w:val="0"/>
          <w:sz w:val="20"/>
          <w:szCs w:val="22"/>
        </w:rPr>
        <w:t>l</w:t>
      </w:r>
      <w:r w:rsidRPr="005644E5">
        <w:rPr>
          <w:snapToGrid w:val="0"/>
          <w:sz w:val="20"/>
          <w:szCs w:val="22"/>
        </w:rPr>
        <w:t xml:space="preserve"> “Inmovilizado intangible” en el ejercicio 20</w:t>
      </w:r>
      <w:r w:rsidR="003B6DBC" w:rsidRPr="005644E5">
        <w:rPr>
          <w:snapToGrid w:val="0"/>
          <w:sz w:val="20"/>
          <w:szCs w:val="22"/>
        </w:rPr>
        <w:t>2</w:t>
      </w:r>
      <w:r w:rsidR="006E5A24" w:rsidRPr="005644E5">
        <w:rPr>
          <w:snapToGrid w:val="0"/>
          <w:sz w:val="20"/>
          <w:szCs w:val="22"/>
        </w:rPr>
        <w:t>1</w:t>
      </w:r>
      <w:r w:rsidR="007F2865" w:rsidRPr="005644E5">
        <w:rPr>
          <w:snapToGrid w:val="0"/>
          <w:sz w:val="20"/>
          <w:szCs w:val="22"/>
        </w:rPr>
        <w:t xml:space="preserve"> </w:t>
      </w:r>
      <w:r w:rsidRPr="005644E5">
        <w:rPr>
          <w:snapToGrid w:val="0"/>
          <w:sz w:val="20"/>
          <w:szCs w:val="22"/>
        </w:rPr>
        <w:t>es el siguiente:</w:t>
      </w:r>
    </w:p>
    <w:tbl>
      <w:tblPr>
        <w:tblW w:w="5000" w:type="pct"/>
        <w:tblCellMar>
          <w:left w:w="70" w:type="dxa"/>
          <w:right w:w="70" w:type="dxa"/>
        </w:tblCellMar>
        <w:tblLook w:val="04A0" w:firstRow="1" w:lastRow="0" w:firstColumn="1" w:lastColumn="0" w:noHBand="0" w:noVBand="1"/>
      </w:tblPr>
      <w:tblGrid>
        <w:gridCol w:w="3885"/>
        <w:gridCol w:w="1224"/>
        <w:gridCol w:w="1224"/>
        <w:gridCol w:w="1224"/>
        <w:gridCol w:w="1224"/>
      </w:tblGrid>
      <w:tr w:rsidR="003B6DBC" w:rsidRPr="007E7835" w14:paraId="31BC48EB" w14:textId="77777777" w:rsidTr="007E7835">
        <w:trPr>
          <w:trHeight w:val="208"/>
        </w:trPr>
        <w:tc>
          <w:tcPr>
            <w:tcW w:w="2212" w:type="pct"/>
            <w:tcBorders>
              <w:top w:val="single" w:sz="4" w:space="0" w:color="auto"/>
              <w:left w:val="nil"/>
              <w:bottom w:val="nil"/>
              <w:right w:val="nil"/>
            </w:tcBorders>
            <w:shd w:val="clear" w:color="auto" w:fill="auto"/>
            <w:noWrap/>
            <w:vAlign w:val="center"/>
            <w:hideMark/>
          </w:tcPr>
          <w:p w14:paraId="6747AFD4" w14:textId="77777777" w:rsidR="003B6DBC" w:rsidRPr="007E7835" w:rsidRDefault="003B6DBC" w:rsidP="00807D98">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2788" w:type="pct"/>
            <w:gridSpan w:val="4"/>
            <w:tcBorders>
              <w:top w:val="single" w:sz="4" w:space="0" w:color="auto"/>
              <w:left w:val="nil"/>
              <w:bottom w:val="nil"/>
              <w:right w:val="nil"/>
            </w:tcBorders>
            <w:shd w:val="clear" w:color="auto" w:fill="auto"/>
            <w:vAlign w:val="bottom"/>
            <w:hideMark/>
          </w:tcPr>
          <w:p w14:paraId="443148A2"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807D98" w:rsidRPr="007E7835" w14:paraId="437931FF" w14:textId="77777777" w:rsidTr="007E7835">
        <w:trPr>
          <w:trHeight w:val="418"/>
        </w:trPr>
        <w:tc>
          <w:tcPr>
            <w:tcW w:w="2212" w:type="pct"/>
            <w:tcBorders>
              <w:top w:val="nil"/>
              <w:left w:val="nil"/>
              <w:bottom w:val="single" w:sz="4" w:space="0" w:color="auto"/>
              <w:right w:val="nil"/>
            </w:tcBorders>
            <w:shd w:val="clear" w:color="auto" w:fill="auto"/>
            <w:noWrap/>
            <w:vAlign w:val="center"/>
            <w:hideMark/>
          </w:tcPr>
          <w:p w14:paraId="1F461F96" w14:textId="77777777" w:rsidR="003B6DBC" w:rsidRPr="007E7835" w:rsidRDefault="003B6DBC" w:rsidP="00807D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697" w:type="pct"/>
            <w:tcBorders>
              <w:top w:val="single" w:sz="4" w:space="0" w:color="auto"/>
              <w:left w:val="nil"/>
              <w:bottom w:val="single" w:sz="4" w:space="0" w:color="auto"/>
              <w:right w:val="nil"/>
            </w:tcBorders>
            <w:shd w:val="clear" w:color="auto" w:fill="auto"/>
            <w:vAlign w:val="bottom"/>
            <w:hideMark/>
          </w:tcPr>
          <w:p w14:paraId="60368A84" w14:textId="4D64DC01"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Saldo al 31/12/20</w:t>
            </w:r>
            <w:r w:rsidR="006E5A24">
              <w:rPr>
                <w:rFonts w:eastAsia="Times New Roman"/>
                <w:b/>
                <w:bCs/>
                <w:sz w:val="16"/>
                <w:szCs w:val="16"/>
                <w:bdr w:val="none" w:sz="0" w:space="0" w:color="auto"/>
                <w:lang w:eastAsia="es-ES"/>
              </w:rPr>
              <w:t>20</w:t>
            </w:r>
          </w:p>
        </w:tc>
        <w:tc>
          <w:tcPr>
            <w:tcW w:w="697" w:type="pct"/>
            <w:tcBorders>
              <w:top w:val="single" w:sz="4" w:space="0" w:color="auto"/>
              <w:left w:val="nil"/>
              <w:bottom w:val="single" w:sz="4" w:space="0" w:color="auto"/>
              <w:right w:val="nil"/>
            </w:tcBorders>
            <w:shd w:val="clear" w:color="auto" w:fill="auto"/>
            <w:vAlign w:val="bottom"/>
            <w:hideMark/>
          </w:tcPr>
          <w:p w14:paraId="276CDFAB"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Altas</w:t>
            </w:r>
          </w:p>
        </w:tc>
        <w:tc>
          <w:tcPr>
            <w:tcW w:w="697" w:type="pct"/>
            <w:tcBorders>
              <w:top w:val="single" w:sz="4" w:space="0" w:color="auto"/>
              <w:left w:val="nil"/>
              <w:bottom w:val="single" w:sz="4" w:space="0" w:color="auto"/>
              <w:right w:val="nil"/>
            </w:tcBorders>
            <w:shd w:val="clear" w:color="auto" w:fill="auto"/>
            <w:vAlign w:val="bottom"/>
            <w:hideMark/>
          </w:tcPr>
          <w:p w14:paraId="16CD6450"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Traspasos</w:t>
            </w:r>
          </w:p>
        </w:tc>
        <w:tc>
          <w:tcPr>
            <w:tcW w:w="697" w:type="pct"/>
            <w:tcBorders>
              <w:top w:val="single" w:sz="4" w:space="0" w:color="auto"/>
              <w:left w:val="nil"/>
              <w:bottom w:val="single" w:sz="4" w:space="0" w:color="auto"/>
              <w:right w:val="nil"/>
            </w:tcBorders>
            <w:shd w:val="clear" w:color="auto" w:fill="auto"/>
            <w:vAlign w:val="bottom"/>
            <w:hideMark/>
          </w:tcPr>
          <w:p w14:paraId="608E0596" w14:textId="3B7E77A8"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Saldo al 31/12/202</w:t>
            </w:r>
            <w:r w:rsidR="006E5A24">
              <w:rPr>
                <w:rFonts w:eastAsia="Times New Roman"/>
                <w:b/>
                <w:bCs/>
                <w:sz w:val="16"/>
                <w:szCs w:val="16"/>
                <w:bdr w:val="none" w:sz="0" w:space="0" w:color="auto"/>
                <w:lang w:eastAsia="es-ES"/>
              </w:rPr>
              <w:t>1</w:t>
            </w:r>
          </w:p>
        </w:tc>
      </w:tr>
      <w:tr w:rsidR="00807D98" w:rsidRPr="007E7835" w14:paraId="12D897A7" w14:textId="77777777" w:rsidTr="007E7835">
        <w:trPr>
          <w:trHeight w:val="274"/>
        </w:trPr>
        <w:tc>
          <w:tcPr>
            <w:tcW w:w="2212" w:type="pct"/>
            <w:tcBorders>
              <w:top w:val="nil"/>
              <w:left w:val="nil"/>
              <w:bottom w:val="nil"/>
              <w:right w:val="nil"/>
            </w:tcBorders>
            <w:shd w:val="clear" w:color="auto" w:fill="auto"/>
            <w:noWrap/>
            <w:vAlign w:val="center"/>
            <w:hideMark/>
          </w:tcPr>
          <w:p w14:paraId="1B7FC9B2"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Coste</w:t>
            </w:r>
          </w:p>
        </w:tc>
        <w:tc>
          <w:tcPr>
            <w:tcW w:w="697" w:type="pct"/>
            <w:tcBorders>
              <w:top w:val="nil"/>
              <w:left w:val="nil"/>
              <w:bottom w:val="nil"/>
              <w:right w:val="nil"/>
            </w:tcBorders>
            <w:shd w:val="clear" w:color="auto" w:fill="auto"/>
            <w:vAlign w:val="center"/>
            <w:hideMark/>
          </w:tcPr>
          <w:p w14:paraId="10698523"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nil"/>
              <w:right w:val="nil"/>
            </w:tcBorders>
            <w:shd w:val="clear" w:color="auto" w:fill="auto"/>
            <w:vAlign w:val="center"/>
            <w:hideMark/>
          </w:tcPr>
          <w:p w14:paraId="3B255087"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vAlign w:val="center"/>
            <w:hideMark/>
          </w:tcPr>
          <w:p w14:paraId="218F2974"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0C361BE3"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585227" w:rsidRPr="007E7835" w14:paraId="3D2AD21E" w14:textId="77777777" w:rsidTr="005644E5">
        <w:trPr>
          <w:trHeight w:val="283"/>
        </w:trPr>
        <w:tc>
          <w:tcPr>
            <w:tcW w:w="2212" w:type="pct"/>
            <w:tcBorders>
              <w:top w:val="nil"/>
              <w:left w:val="nil"/>
              <w:bottom w:val="nil"/>
              <w:right w:val="nil"/>
            </w:tcBorders>
            <w:shd w:val="clear" w:color="auto" w:fill="auto"/>
            <w:noWrap/>
            <w:vAlign w:val="center"/>
            <w:hideMark/>
          </w:tcPr>
          <w:p w14:paraId="1A3EA063" w14:textId="77777777" w:rsidR="00585227" w:rsidRPr="007E7835"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Concesiones, patentes, licencias, marcas y similares</w:t>
            </w:r>
          </w:p>
        </w:tc>
        <w:tc>
          <w:tcPr>
            <w:tcW w:w="697" w:type="pct"/>
            <w:tcBorders>
              <w:top w:val="nil"/>
              <w:left w:val="nil"/>
              <w:right w:val="nil"/>
            </w:tcBorders>
            <w:shd w:val="clear" w:color="auto" w:fill="auto"/>
            <w:noWrap/>
            <w:vAlign w:val="center"/>
            <w:hideMark/>
          </w:tcPr>
          <w:p w14:paraId="6F9BAAB6" w14:textId="3900C8D2"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5227">
              <w:rPr>
                <w:rFonts w:eastAsia="Times New Roman"/>
                <w:sz w:val="16"/>
                <w:szCs w:val="16"/>
                <w:bdr w:val="none" w:sz="0" w:space="0" w:color="auto"/>
                <w:lang w:eastAsia="es-ES"/>
              </w:rPr>
              <w:t xml:space="preserve">5.742,87   </w:t>
            </w:r>
          </w:p>
        </w:tc>
        <w:tc>
          <w:tcPr>
            <w:tcW w:w="697" w:type="pct"/>
            <w:tcBorders>
              <w:top w:val="nil"/>
              <w:left w:val="nil"/>
              <w:right w:val="nil"/>
            </w:tcBorders>
            <w:shd w:val="clear" w:color="auto" w:fill="auto"/>
            <w:noWrap/>
            <w:vAlign w:val="center"/>
          </w:tcPr>
          <w:p w14:paraId="41F10386" w14:textId="7E0FB524"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right w:val="nil"/>
            </w:tcBorders>
            <w:shd w:val="clear" w:color="auto" w:fill="auto"/>
            <w:noWrap/>
            <w:vAlign w:val="center"/>
          </w:tcPr>
          <w:p w14:paraId="56210BD0" w14:textId="7E21647C"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tcPr>
          <w:p w14:paraId="4CCF0620" w14:textId="1113770E"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5227">
              <w:rPr>
                <w:rFonts w:eastAsia="Times New Roman"/>
                <w:sz w:val="16"/>
                <w:szCs w:val="16"/>
                <w:bdr w:val="none" w:sz="0" w:space="0" w:color="auto"/>
                <w:lang w:eastAsia="es-ES"/>
              </w:rPr>
              <w:t xml:space="preserve">5.742,87   </w:t>
            </w:r>
          </w:p>
        </w:tc>
      </w:tr>
      <w:tr w:rsidR="00585227" w:rsidRPr="007E7835" w14:paraId="7A2FDC15" w14:textId="77777777" w:rsidTr="005644E5">
        <w:trPr>
          <w:trHeight w:val="283"/>
        </w:trPr>
        <w:tc>
          <w:tcPr>
            <w:tcW w:w="2212" w:type="pct"/>
            <w:tcBorders>
              <w:top w:val="nil"/>
              <w:left w:val="nil"/>
              <w:bottom w:val="nil"/>
              <w:right w:val="nil"/>
            </w:tcBorders>
            <w:shd w:val="clear" w:color="auto" w:fill="auto"/>
            <w:noWrap/>
            <w:vAlign w:val="center"/>
            <w:hideMark/>
          </w:tcPr>
          <w:p w14:paraId="2ECB903B" w14:textId="77777777" w:rsidR="00585227" w:rsidRPr="007E7835"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Aplicaciones informáticas</w:t>
            </w:r>
          </w:p>
        </w:tc>
        <w:tc>
          <w:tcPr>
            <w:tcW w:w="697" w:type="pct"/>
            <w:tcBorders>
              <w:top w:val="nil"/>
              <w:left w:val="nil"/>
              <w:bottom w:val="single" w:sz="4" w:space="0" w:color="auto"/>
              <w:right w:val="nil"/>
            </w:tcBorders>
            <w:shd w:val="clear" w:color="auto" w:fill="auto"/>
            <w:noWrap/>
            <w:vAlign w:val="center"/>
            <w:hideMark/>
          </w:tcPr>
          <w:p w14:paraId="5268FE46" w14:textId="18639AC8"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5227">
              <w:rPr>
                <w:rFonts w:eastAsia="Times New Roman"/>
                <w:sz w:val="16"/>
                <w:szCs w:val="16"/>
                <w:bdr w:val="none" w:sz="0" w:space="0" w:color="auto"/>
                <w:lang w:eastAsia="es-ES"/>
              </w:rPr>
              <w:t xml:space="preserve">218.238,98   </w:t>
            </w:r>
          </w:p>
        </w:tc>
        <w:tc>
          <w:tcPr>
            <w:tcW w:w="697" w:type="pct"/>
            <w:tcBorders>
              <w:top w:val="nil"/>
              <w:left w:val="nil"/>
              <w:bottom w:val="single" w:sz="4" w:space="0" w:color="auto"/>
              <w:right w:val="nil"/>
            </w:tcBorders>
            <w:shd w:val="clear" w:color="auto" w:fill="auto"/>
            <w:noWrap/>
            <w:vAlign w:val="center"/>
          </w:tcPr>
          <w:p w14:paraId="20EFB147" w14:textId="3BA517BF"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tcPr>
          <w:p w14:paraId="2670AF36" w14:textId="6218DD8F"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tcPr>
          <w:p w14:paraId="4BFE69DB" w14:textId="34523570"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5227">
              <w:rPr>
                <w:rFonts w:eastAsia="Times New Roman"/>
                <w:sz w:val="16"/>
                <w:szCs w:val="16"/>
                <w:bdr w:val="none" w:sz="0" w:space="0" w:color="auto"/>
                <w:lang w:eastAsia="es-ES"/>
              </w:rPr>
              <w:t xml:space="preserve">218.238,98   </w:t>
            </w:r>
          </w:p>
        </w:tc>
      </w:tr>
      <w:tr w:rsidR="00585227" w:rsidRPr="007E7835" w14:paraId="0EB6090B" w14:textId="77777777" w:rsidTr="005644E5">
        <w:trPr>
          <w:trHeight w:val="283"/>
        </w:trPr>
        <w:tc>
          <w:tcPr>
            <w:tcW w:w="2212" w:type="pct"/>
            <w:tcBorders>
              <w:top w:val="nil"/>
              <w:left w:val="nil"/>
              <w:bottom w:val="nil"/>
              <w:right w:val="nil"/>
            </w:tcBorders>
            <w:shd w:val="clear" w:color="auto" w:fill="auto"/>
            <w:noWrap/>
            <w:vAlign w:val="center"/>
            <w:hideMark/>
          </w:tcPr>
          <w:p w14:paraId="191B168E" w14:textId="77777777" w:rsidR="00585227" w:rsidRPr="007E7835"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697" w:type="pct"/>
            <w:tcBorders>
              <w:top w:val="single" w:sz="4" w:space="0" w:color="auto"/>
              <w:left w:val="nil"/>
              <w:bottom w:val="single" w:sz="4" w:space="0" w:color="auto"/>
              <w:right w:val="nil"/>
            </w:tcBorders>
            <w:shd w:val="clear" w:color="auto" w:fill="auto"/>
            <w:noWrap/>
            <w:vAlign w:val="center"/>
            <w:hideMark/>
          </w:tcPr>
          <w:p w14:paraId="3F3D020E" w14:textId="62F7DBEB"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85227">
              <w:rPr>
                <w:rFonts w:eastAsia="Times New Roman"/>
                <w:b/>
                <w:bCs/>
                <w:sz w:val="16"/>
                <w:szCs w:val="16"/>
                <w:bdr w:val="none" w:sz="0" w:space="0" w:color="auto"/>
                <w:lang w:eastAsia="es-ES"/>
              </w:rPr>
              <w:t xml:space="preserve">223.981,85   </w:t>
            </w:r>
          </w:p>
        </w:tc>
        <w:tc>
          <w:tcPr>
            <w:tcW w:w="697" w:type="pct"/>
            <w:tcBorders>
              <w:top w:val="single" w:sz="4" w:space="0" w:color="auto"/>
              <w:left w:val="nil"/>
              <w:bottom w:val="single" w:sz="4" w:space="0" w:color="auto"/>
              <w:right w:val="nil"/>
            </w:tcBorders>
            <w:shd w:val="clear" w:color="auto" w:fill="auto"/>
            <w:noWrap/>
            <w:vAlign w:val="center"/>
          </w:tcPr>
          <w:p w14:paraId="22849CF8" w14:textId="478CC2FE"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w:t>
            </w:r>
          </w:p>
        </w:tc>
        <w:tc>
          <w:tcPr>
            <w:tcW w:w="697" w:type="pct"/>
            <w:tcBorders>
              <w:top w:val="single" w:sz="4" w:space="0" w:color="auto"/>
              <w:left w:val="nil"/>
              <w:bottom w:val="single" w:sz="4" w:space="0" w:color="auto"/>
              <w:right w:val="nil"/>
            </w:tcBorders>
            <w:shd w:val="clear" w:color="auto" w:fill="auto"/>
            <w:noWrap/>
            <w:vAlign w:val="center"/>
          </w:tcPr>
          <w:p w14:paraId="54868D51" w14:textId="6EF8A22B"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w:t>
            </w:r>
          </w:p>
        </w:tc>
        <w:tc>
          <w:tcPr>
            <w:tcW w:w="697" w:type="pct"/>
            <w:tcBorders>
              <w:top w:val="single" w:sz="4" w:space="0" w:color="auto"/>
              <w:left w:val="nil"/>
              <w:bottom w:val="single" w:sz="4" w:space="0" w:color="auto"/>
              <w:right w:val="nil"/>
            </w:tcBorders>
            <w:shd w:val="clear" w:color="auto" w:fill="auto"/>
            <w:noWrap/>
            <w:vAlign w:val="center"/>
          </w:tcPr>
          <w:p w14:paraId="48E8313F" w14:textId="50D8E7A6"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85227">
              <w:rPr>
                <w:rFonts w:eastAsia="Times New Roman"/>
                <w:b/>
                <w:bCs/>
                <w:sz w:val="16"/>
                <w:szCs w:val="16"/>
                <w:bdr w:val="none" w:sz="0" w:space="0" w:color="auto"/>
                <w:lang w:eastAsia="es-ES"/>
              </w:rPr>
              <w:t xml:space="preserve">223.981,85   </w:t>
            </w:r>
          </w:p>
        </w:tc>
      </w:tr>
      <w:tr w:rsidR="006E5A24" w:rsidRPr="007E7835" w14:paraId="61EDAB56" w14:textId="77777777" w:rsidTr="006E5A24">
        <w:trPr>
          <w:trHeight w:val="138"/>
        </w:trPr>
        <w:tc>
          <w:tcPr>
            <w:tcW w:w="2212" w:type="pct"/>
            <w:tcBorders>
              <w:top w:val="nil"/>
              <w:left w:val="nil"/>
              <w:bottom w:val="nil"/>
              <w:right w:val="nil"/>
            </w:tcBorders>
            <w:shd w:val="clear" w:color="auto" w:fill="auto"/>
            <w:noWrap/>
            <w:vAlign w:val="center"/>
            <w:hideMark/>
          </w:tcPr>
          <w:p w14:paraId="7885A596" w14:textId="77777777" w:rsidR="006E5A24" w:rsidRPr="007E7835" w:rsidRDefault="006E5A24" w:rsidP="006E5A2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Amortización</w:t>
            </w:r>
          </w:p>
        </w:tc>
        <w:tc>
          <w:tcPr>
            <w:tcW w:w="697" w:type="pct"/>
            <w:tcBorders>
              <w:top w:val="nil"/>
              <w:left w:val="nil"/>
              <w:bottom w:val="nil"/>
              <w:right w:val="nil"/>
            </w:tcBorders>
            <w:shd w:val="clear" w:color="auto" w:fill="auto"/>
            <w:noWrap/>
            <w:vAlign w:val="center"/>
            <w:hideMark/>
          </w:tcPr>
          <w:p w14:paraId="3A2E6D58" w14:textId="77777777" w:rsidR="006E5A24" w:rsidRPr="00585227" w:rsidRDefault="006E5A24" w:rsidP="006E5A2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nil"/>
              <w:right w:val="nil"/>
            </w:tcBorders>
            <w:shd w:val="clear" w:color="auto" w:fill="auto"/>
            <w:noWrap/>
            <w:vAlign w:val="center"/>
          </w:tcPr>
          <w:p w14:paraId="22259A91" w14:textId="77777777" w:rsidR="006E5A24" w:rsidRPr="00585227" w:rsidRDefault="006E5A24" w:rsidP="006E5A2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tcPr>
          <w:p w14:paraId="17A77F1A" w14:textId="77777777" w:rsidR="006E5A24" w:rsidRPr="00585227" w:rsidRDefault="006E5A24" w:rsidP="006E5A2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tcPr>
          <w:p w14:paraId="0FC3B46E" w14:textId="77777777" w:rsidR="006E5A24" w:rsidRPr="00585227" w:rsidRDefault="006E5A24" w:rsidP="006E5A2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585227" w:rsidRPr="007E7835" w14:paraId="7BDCDF74" w14:textId="77777777" w:rsidTr="005644E5">
        <w:trPr>
          <w:trHeight w:val="283"/>
        </w:trPr>
        <w:tc>
          <w:tcPr>
            <w:tcW w:w="2212" w:type="pct"/>
            <w:tcBorders>
              <w:top w:val="nil"/>
              <w:left w:val="nil"/>
              <w:bottom w:val="nil"/>
              <w:right w:val="nil"/>
            </w:tcBorders>
            <w:shd w:val="clear" w:color="auto" w:fill="auto"/>
            <w:noWrap/>
            <w:vAlign w:val="center"/>
            <w:hideMark/>
          </w:tcPr>
          <w:p w14:paraId="75D2F81A" w14:textId="77777777" w:rsidR="00585227" w:rsidRPr="007E7835"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Concesiones, patentes, licencias, marcas y similares</w:t>
            </w:r>
          </w:p>
        </w:tc>
        <w:tc>
          <w:tcPr>
            <w:tcW w:w="697" w:type="pct"/>
            <w:tcBorders>
              <w:top w:val="nil"/>
              <w:left w:val="nil"/>
              <w:bottom w:val="nil"/>
              <w:right w:val="nil"/>
            </w:tcBorders>
            <w:shd w:val="clear" w:color="auto" w:fill="auto"/>
            <w:noWrap/>
            <w:vAlign w:val="center"/>
            <w:hideMark/>
          </w:tcPr>
          <w:p w14:paraId="3984F2EF" w14:textId="395D0F9C"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585227">
              <w:rPr>
                <w:rFonts w:eastAsia="Times New Roman"/>
                <w:color w:val="auto"/>
                <w:sz w:val="16"/>
                <w:szCs w:val="16"/>
                <w:bdr w:val="none" w:sz="0" w:space="0" w:color="auto"/>
                <w:lang w:eastAsia="es-ES"/>
              </w:rPr>
              <w:t>(5.742,87)</w:t>
            </w:r>
          </w:p>
        </w:tc>
        <w:tc>
          <w:tcPr>
            <w:tcW w:w="697" w:type="pct"/>
            <w:tcBorders>
              <w:top w:val="nil"/>
              <w:left w:val="nil"/>
              <w:bottom w:val="nil"/>
              <w:right w:val="nil"/>
            </w:tcBorders>
            <w:shd w:val="clear" w:color="auto" w:fill="auto"/>
            <w:noWrap/>
            <w:vAlign w:val="center"/>
          </w:tcPr>
          <w:p w14:paraId="3C688D78" w14:textId="0813CB01"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tcPr>
          <w:p w14:paraId="12081BD9" w14:textId="5372490D"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tcPr>
          <w:p w14:paraId="5C2112D8" w14:textId="7BEE835A"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585227">
              <w:rPr>
                <w:rFonts w:eastAsia="Times New Roman"/>
                <w:color w:val="auto"/>
                <w:sz w:val="16"/>
                <w:szCs w:val="16"/>
                <w:bdr w:val="none" w:sz="0" w:space="0" w:color="auto"/>
                <w:lang w:eastAsia="es-ES"/>
              </w:rPr>
              <w:t>(5.742,87)</w:t>
            </w:r>
          </w:p>
        </w:tc>
      </w:tr>
      <w:tr w:rsidR="00585227" w:rsidRPr="007E7835" w14:paraId="1676056B" w14:textId="77777777" w:rsidTr="005644E5">
        <w:trPr>
          <w:trHeight w:val="283"/>
        </w:trPr>
        <w:tc>
          <w:tcPr>
            <w:tcW w:w="2212" w:type="pct"/>
            <w:tcBorders>
              <w:top w:val="nil"/>
              <w:left w:val="nil"/>
              <w:bottom w:val="nil"/>
              <w:right w:val="nil"/>
            </w:tcBorders>
            <w:shd w:val="clear" w:color="auto" w:fill="auto"/>
            <w:noWrap/>
            <w:vAlign w:val="center"/>
            <w:hideMark/>
          </w:tcPr>
          <w:p w14:paraId="63755010" w14:textId="77777777" w:rsidR="00585227" w:rsidRPr="007E7835"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Aplicaciones informáticas</w:t>
            </w:r>
          </w:p>
        </w:tc>
        <w:tc>
          <w:tcPr>
            <w:tcW w:w="697" w:type="pct"/>
            <w:tcBorders>
              <w:top w:val="nil"/>
              <w:left w:val="nil"/>
              <w:bottom w:val="single" w:sz="4" w:space="0" w:color="auto"/>
              <w:right w:val="nil"/>
            </w:tcBorders>
            <w:shd w:val="clear" w:color="auto" w:fill="auto"/>
            <w:noWrap/>
            <w:vAlign w:val="center"/>
            <w:hideMark/>
          </w:tcPr>
          <w:p w14:paraId="268D5772" w14:textId="477C4717"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585227">
              <w:rPr>
                <w:rFonts w:eastAsia="Times New Roman"/>
                <w:color w:val="auto"/>
                <w:sz w:val="16"/>
                <w:szCs w:val="16"/>
                <w:bdr w:val="none" w:sz="0" w:space="0" w:color="auto"/>
                <w:lang w:eastAsia="es-ES"/>
              </w:rPr>
              <w:t>(177.176,65)</w:t>
            </w:r>
          </w:p>
        </w:tc>
        <w:tc>
          <w:tcPr>
            <w:tcW w:w="697" w:type="pct"/>
            <w:tcBorders>
              <w:top w:val="nil"/>
              <w:left w:val="nil"/>
              <w:bottom w:val="single" w:sz="4" w:space="0" w:color="auto"/>
              <w:right w:val="nil"/>
            </w:tcBorders>
            <w:shd w:val="clear" w:color="auto" w:fill="auto"/>
            <w:noWrap/>
            <w:vAlign w:val="center"/>
          </w:tcPr>
          <w:p w14:paraId="17607DE5" w14:textId="6E49103A"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585227">
              <w:rPr>
                <w:sz w:val="16"/>
                <w:szCs w:val="16"/>
              </w:rPr>
              <w:t>(21.284,99)</w:t>
            </w:r>
          </w:p>
        </w:tc>
        <w:tc>
          <w:tcPr>
            <w:tcW w:w="697" w:type="pct"/>
            <w:tcBorders>
              <w:top w:val="nil"/>
              <w:left w:val="nil"/>
              <w:bottom w:val="single" w:sz="4" w:space="0" w:color="auto"/>
              <w:right w:val="nil"/>
            </w:tcBorders>
            <w:shd w:val="clear" w:color="auto" w:fill="auto"/>
            <w:noWrap/>
            <w:vAlign w:val="center"/>
          </w:tcPr>
          <w:p w14:paraId="6BCA669F" w14:textId="62695442"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tcPr>
          <w:p w14:paraId="4ECFD6F3" w14:textId="4BF7653E"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5227">
              <w:rPr>
                <w:sz w:val="16"/>
                <w:szCs w:val="16"/>
              </w:rPr>
              <w:t>(198.461,64)</w:t>
            </w:r>
          </w:p>
        </w:tc>
      </w:tr>
      <w:tr w:rsidR="00585227" w:rsidRPr="007E7835" w14:paraId="6838A3F8" w14:textId="77777777" w:rsidTr="005644E5">
        <w:trPr>
          <w:trHeight w:val="283"/>
        </w:trPr>
        <w:tc>
          <w:tcPr>
            <w:tcW w:w="2212" w:type="pct"/>
            <w:tcBorders>
              <w:top w:val="nil"/>
              <w:left w:val="nil"/>
              <w:bottom w:val="nil"/>
              <w:right w:val="nil"/>
            </w:tcBorders>
            <w:shd w:val="clear" w:color="auto" w:fill="auto"/>
            <w:noWrap/>
            <w:vAlign w:val="center"/>
            <w:hideMark/>
          </w:tcPr>
          <w:p w14:paraId="48BA84E1" w14:textId="77777777" w:rsidR="00585227" w:rsidRPr="007E7835"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97" w:type="pct"/>
            <w:tcBorders>
              <w:top w:val="nil"/>
              <w:left w:val="nil"/>
              <w:bottom w:val="single" w:sz="4" w:space="0" w:color="auto"/>
              <w:right w:val="nil"/>
            </w:tcBorders>
            <w:shd w:val="clear" w:color="auto" w:fill="auto"/>
            <w:noWrap/>
            <w:vAlign w:val="center"/>
            <w:hideMark/>
          </w:tcPr>
          <w:p w14:paraId="36888F9E" w14:textId="33807F45"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585227">
              <w:rPr>
                <w:rFonts w:eastAsia="Times New Roman"/>
                <w:b/>
                <w:bCs/>
                <w:color w:val="auto"/>
                <w:sz w:val="16"/>
                <w:szCs w:val="16"/>
                <w:bdr w:val="none" w:sz="0" w:space="0" w:color="auto"/>
                <w:lang w:eastAsia="es-ES"/>
              </w:rPr>
              <w:t>(182.919,52)</w:t>
            </w:r>
          </w:p>
        </w:tc>
        <w:tc>
          <w:tcPr>
            <w:tcW w:w="697" w:type="pct"/>
            <w:tcBorders>
              <w:top w:val="nil"/>
              <w:left w:val="nil"/>
              <w:bottom w:val="single" w:sz="4" w:space="0" w:color="auto"/>
              <w:right w:val="nil"/>
            </w:tcBorders>
            <w:shd w:val="clear" w:color="auto" w:fill="auto"/>
            <w:noWrap/>
            <w:vAlign w:val="center"/>
          </w:tcPr>
          <w:p w14:paraId="2FFA7F1C" w14:textId="040060D5"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585227">
              <w:rPr>
                <w:b/>
                <w:bCs/>
                <w:sz w:val="16"/>
                <w:szCs w:val="16"/>
              </w:rPr>
              <w:t>(21.284,99)</w:t>
            </w:r>
          </w:p>
        </w:tc>
        <w:tc>
          <w:tcPr>
            <w:tcW w:w="697" w:type="pct"/>
            <w:tcBorders>
              <w:top w:val="nil"/>
              <w:left w:val="nil"/>
              <w:bottom w:val="nil"/>
              <w:right w:val="nil"/>
            </w:tcBorders>
            <w:shd w:val="clear" w:color="auto" w:fill="auto"/>
            <w:noWrap/>
            <w:vAlign w:val="center"/>
          </w:tcPr>
          <w:p w14:paraId="37EB1F6D" w14:textId="7DD24E53"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tcPr>
          <w:p w14:paraId="522172A9" w14:textId="1A0AE8E2"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85227">
              <w:rPr>
                <w:b/>
                <w:bCs/>
                <w:sz w:val="16"/>
                <w:szCs w:val="16"/>
              </w:rPr>
              <w:t>(204.204,51)</w:t>
            </w:r>
          </w:p>
        </w:tc>
      </w:tr>
      <w:tr w:rsidR="00585227" w:rsidRPr="007E7835" w14:paraId="722E275C" w14:textId="77777777" w:rsidTr="005644E5">
        <w:trPr>
          <w:trHeight w:val="283"/>
        </w:trPr>
        <w:tc>
          <w:tcPr>
            <w:tcW w:w="2212" w:type="pct"/>
            <w:tcBorders>
              <w:top w:val="single" w:sz="4" w:space="0" w:color="auto"/>
              <w:left w:val="nil"/>
              <w:bottom w:val="single" w:sz="4" w:space="0" w:color="auto"/>
              <w:right w:val="nil"/>
            </w:tcBorders>
            <w:shd w:val="clear" w:color="auto" w:fill="auto"/>
            <w:noWrap/>
            <w:vAlign w:val="center"/>
            <w:hideMark/>
          </w:tcPr>
          <w:p w14:paraId="5FF7547B" w14:textId="77777777" w:rsidR="00585227" w:rsidRPr="007E7835"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u w:val="single"/>
                <w:bdr w:val="none" w:sz="0" w:space="0" w:color="auto"/>
                <w:lang w:eastAsia="es-ES"/>
              </w:rPr>
            </w:pPr>
            <w:r w:rsidRPr="007E7835">
              <w:rPr>
                <w:rFonts w:eastAsia="Times New Roman"/>
                <w:b/>
                <w:bCs/>
                <w:sz w:val="16"/>
                <w:szCs w:val="16"/>
                <w:u w:val="single"/>
                <w:bdr w:val="none" w:sz="0" w:space="0" w:color="auto"/>
                <w:lang w:eastAsia="es-ES"/>
              </w:rPr>
              <w:t>Valor neto contable</w:t>
            </w:r>
          </w:p>
        </w:tc>
        <w:tc>
          <w:tcPr>
            <w:tcW w:w="697" w:type="pct"/>
            <w:tcBorders>
              <w:top w:val="nil"/>
              <w:left w:val="nil"/>
              <w:bottom w:val="single" w:sz="4" w:space="0" w:color="auto"/>
              <w:right w:val="nil"/>
            </w:tcBorders>
            <w:shd w:val="clear" w:color="auto" w:fill="auto"/>
            <w:noWrap/>
            <w:vAlign w:val="center"/>
            <w:hideMark/>
          </w:tcPr>
          <w:p w14:paraId="2E70E866" w14:textId="72293F89"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85227">
              <w:rPr>
                <w:rFonts w:eastAsia="Times New Roman"/>
                <w:b/>
                <w:bCs/>
                <w:sz w:val="16"/>
                <w:szCs w:val="16"/>
                <w:bdr w:val="none" w:sz="0" w:space="0" w:color="auto"/>
                <w:lang w:eastAsia="es-ES"/>
              </w:rPr>
              <w:t xml:space="preserve">41.062,33   </w:t>
            </w:r>
          </w:p>
        </w:tc>
        <w:tc>
          <w:tcPr>
            <w:tcW w:w="697" w:type="pct"/>
            <w:tcBorders>
              <w:top w:val="nil"/>
              <w:left w:val="nil"/>
              <w:bottom w:val="single" w:sz="4" w:space="0" w:color="auto"/>
              <w:right w:val="nil"/>
            </w:tcBorders>
            <w:shd w:val="clear" w:color="auto" w:fill="auto"/>
            <w:noWrap/>
            <w:vAlign w:val="center"/>
          </w:tcPr>
          <w:p w14:paraId="3C90523E" w14:textId="77777777"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single" w:sz="4" w:space="0" w:color="auto"/>
              <w:left w:val="nil"/>
              <w:bottom w:val="single" w:sz="4" w:space="0" w:color="auto"/>
              <w:right w:val="nil"/>
            </w:tcBorders>
            <w:shd w:val="clear" w:color="auto" w:fill="auto"/>
            <w:noWrap/>
            <w:vAlign w:val="center"/>
          </w:tcPr>
          <w:p w14:paraId="07AFEF6A" w14:textId="77777777"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single" w:sz="4" w:space="0" w:color="auto"/>
              <w:right w:val="nil"/>
            </w:tcBorders>
            <w:shd w:val="clear" w:color="auto" w:fill="auto"/>
            <w:noWrap/>
            <w:vAlign w:val="center"/>
          </w:tcPr>
          <w:p w14:paraId="038075A7" w14:textId="7FA65B94"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85227">
              <w:rPr>
                <w:b/>
                <w:bCs/>
                <w:sz w:val="16"/>
                <w:szCs w:val="16"/>
              </w:rPr>
              <w:t>19.777,34</w:t>
            </w:r>
          </w:p>
        </w:tc>
      </w:tr>
    </w:tbl>
    <w:p w14:paraId="6FA8EE41" w14:textId="0A860996" w:rsidR="006220A2"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El detalle y movimiento de</w:t>
      </w:r>
      <w:r w:rsidR="007E7835" w:rsidRPr="005644E5">
        <w:rPr>
          <w:snapToGrid w:val="0"/>
          <w:sz w:val="20"/>
          <w:szCs w:val="22"/>
        </w:rPr>
        <w:t>l</w:t>
      </w:r>
      <w:r w:rsidRPr="005644E5">
        <w:rPr>
          <w:snapToGrid w:val="0"/>
          <w:sz w:val="20"/>
          <w:szCs w:val="22"/>
        </w:rPr>
        <w:t xml:space="preserve"> “Inmovilizado intangible” en el ejercicio 20</w:t>
      </w:r>
      <w:r w:rsidR="006E5A24" w:rsidRPr="005644E5">
        <w:rPr>
          <w:snapToGrid w:val="0"/>
          <w:sz w:val="20"/>
          <w:szCs w:val="22"/>
        </w:rPr>
        <w:t>20</w:t>
      </w:r>
      <w:r w:rsidRPr="005644E5">
        <w:rPr>
          <w:snapToGrid w:val="0"/>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3885"/>
        <w:gridCol w:w="1224"/>
        <w:gridCol w:w="1224"/>
        <w:gridCol w:w="1224"/>
        <w:gridCol w:w="1224"/>
      </w:tblGrid>
      <w:tr w:rsidR="006E5A24" w:rsidRPr="007E7835" w14:paraId="64710A59" w14:textId="77777777" w:rsidTr="004772D1">
        <w:trPr>
          <w:trHeight w:val="208"/>
        </w:trPr>
        <w:tc>
          <w:tcPr>
            <w:tcW w:w="2212" w:type="pct"/>
            <w:tcBorders>
              <w:top w:val="single" w:sz="4" w:space="0" w:color="auto"/>
              <w:left w:val="nil"/>
              <w:bottom w:val="nil"/>
              <w:right w:val="nil"/>
            </w:tcBorders>
            <w:shd w:val="clear" w:color="auto" w:fill="auto"/>
            <w:noWrap/>
            <w:vAlign w:val="center"/>
            <w:hideMark/>
          </w:tcPr>
          <w:p w14:paraId="45166329"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2788" w:type="pct"/>
            <w:gridSpan w:val="4"/>
            <w:tcBorders>
              <w:top w:val="single" w:sz="4" w:space="0" w:color="auto"/>
              <w:left w:val="nil"/>
              <w:bottom w:val="nil"/>
              <w:right w:val="nil"/>
            </w:tcBorders>
            <w:shd w:val="clear" w:color="auto" w:fill="auto"/>
            <w:vAlign w:val="bottom"/>
            <w:hideMark/>
          </w:tcPr>
          <w:p w14:paraId="06E6EF25"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6E5A24" w:rsidRPr="007E7835" w14:paraId="5D53E898" w14:textId="77777777" w:rsidTr="004772D1">
        <w:trPr>
          <w:trHeight w:val="418"/>
        </w:trPr>
        <w:tc>
          <w:tcPr>
            <w:tcW w:w="2212" w:type="pct"/>
            <w:tcBorders>
              <w:top w:val="nil"/>
              <w:left w:val="nil"/>
              <w:bottom w:val="single" w:sz="4" w:space="0" w:color="auto"/>
              <w:right w:val="nil"/>
            </w:tcBorders>
            <w:shd w:val="clear" w:color="auto" w:fill="auto"/>
            <w:noWrap/>
            <w:vAlign w:val="center"/>
            <w:hideMark/>
          </w:tcPr>
          <w:p w14:paraId="5FA6E31A"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697" w:type="pct"/>
            <w:tcBorders>
              <w:top w:val="single" w:sz="4" w:space="0" w:color="auto"/>
              <w:left w:val="nil"/>
              <w:bottom w:val="single" w:sz="4" w:space="0" w:color="auto"/>
              <w:right w:val="nil"/>
            </w:tcBorders>
            <w:shd w:val="clear" w:color="auto" w:fill="auto"/>
            <w:vAlign w:val="bottom"/>
            <w:hideMark/>
          </w:tcPr>
          <w:p w14:paraId="2063566E" w14:textId="48DC8438" w:rsidR="0022661E" w:rsidRPr="007E7835" w:rsidRDefault="006E5A24" w:rsidP="0022661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Saldo al </w:t>
            </w:r>
            <w:r w:rsidR="005644E5">
              <w:rPr>
                <w:rFonts w:eastAsia="Times New Roman"/>
                <w:b/>
                <w:bCs/>
                <w:sz w:val="16"/>
                <w:szCs w:val="16"/>
                <w:bdr w:val="none" w:sz="0" w:space="0" w:color="auto"/>
                <w:lang w:eastAsia="es-ES"/>
              </w:rPr>
              <w:t>01/01/2020</w:t>
            </w:r>
          </w:p>
        </w:tc>
        <w:tc>
          <w:tcPr>
            <w:tcW w:w="697" w:type="pct"/>
            <w:tcBorders>
              <w:top w:val="single" w:sz="4" w:space="0" w:color="auto"/>
              <w:left w:val="nil"/>
              <w:bottom w:val="single" w:sz="4" w:space="0" w:color="auto"/>
              <w:right w:val="nil"/>
            </w:tcBorders>
            <w:shd w:val="clear" w:color="auto" w:fill="auto"/>
            <w:vAlign w:val="bottom"/>
            <w:hideMark/>
          </w:tcPr>
          <w:p w14:paraId="1DF788B7"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Altas</w:t>
            </w:r>
          </w:p>
        </w:tc>
        <w:tc>
          <w:tcPr>
            <w:tcW w:w="697" w:type="pct"/>
            <w:tcBorders>
              <w:top w:val="single" w:sz="4" w:space="0" w:color="auto"/>
              <w:left w:val="nil"/>
              <w:bottom w:val="single" w:sz="4" w:space="0" w:color="auto"/>
              <w:right w:val="nil"/>
            </w:tcBorders>
            <w:shd w:val="clear" w:color="auto" w:fill="auto"/>
            <w:vAlign w:val="bottom"/>
            <w:hideMark/>
          </w:tcPr>
          <w:p w14:paraId="3C448449"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Traspasos</w:t>
            </w:r>
          </w:p>
        </w:tc>
        <w:tc>
          <w:tcPr>
            <w:tcW w:w="697" w:type="pct"/>
            <w:tcBorders>
              <w:top w:val="single" w:sz="4" w:space="0" w:color="auto"/>
              <w:left w:val="nil"/>
              <w:bottom w:val="single" w:sz="4" w:space="0" w:color="auto"/>
              <w:right w:val="nil"/>
            </w:tcBorders>
            <w:shd w:val="clear" w:color="auto" w:fill="auto"/>
            <w:vAlign w:val="bottom"/>
            <w:hideMark/>
          </w:tcPr>
          <w:p w14:paraId="2B93BA04"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Saldo al 31/12/2020</w:t>
            </w:r>
          </w:p>
        </w:tc>
      </w:tr>
      <w:tr w:rsidR="006E5A24" w:rsidRPr="007E7835" w14:paraId="73D8A1D1" w14:textId="77777777" w:rsidTr="004772D1">
        <w:trPr>
          <w:trHeight w:val="274"/>
        </w:trPr>
        <w:tc>
          <w:tcPr>
            <w:tcW w:w="2212" w:type="pct"/>
            <w:tcBorders>
              <w:top w:val="nil"/>
              <w:left w:val="nil"/>
              <w:bottom w:val="nil"/>
              <w:right w:val="nil"/>
            </w:tcBorders>
            <w:shd w:val="clear" w:color="auto" w:fill="auto"/>
            <w:noWrap/>
            <w:vAlign w:val="center"/>
            <w:hideMark/>
          </w:tcPr>
          <w:p w14:paraId="770EF172"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Coste</w:t>
            </w:r>
          </w:p>
        </w:tc>
        <w:tc>
          <w:tcPr>
            <w:tcW w:w="697" w:type="pct"/>
            <w:tcBorders>
              <w:top w:val="nil"/>
              <w:left w:val="nil"/>
              <w:bottom w:val="nil"/>
              <w:right w:val="nil"/>
            </w:tcBorders>
            <w:shd w:val="clear" w:color="auto" w:fill="auto"/>
            <w:vAlign w:val="center"/>
            <w:hideMark/>
          </w:tcPr>
          <w:p w14:paraId="1351A7A4"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nil"/>
              <w:right w:val="nil"/>
            </w:tcBorders>
            <w:shd w:val="clear" w:color="auto" w:fill="auto"/>
            <w:vAlign w:val="center"/>
            <w:hideMark/>
          </w:tcPr>
          <w:p w14:paraId="3E98F08E"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vAlign w:val="center"/>
            <w:hideMark/>
          </w:tcPr>
          <w:p w14:paraId="0C515759"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2790AA0E"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6E5A24" w:rsidRPr="007E7835" w14:paraId="5713B35F" w14:textId="77777777" w:rsidTr="005644E5">
        <w:trPr>
          <w:trHeight w:val="283"/>
        </w:trPr>
        <w:tc>
          <w:tcPr>
            <w:tcW w:w="2212" w:type="pct"/>
            <w:tcBorders>
              <w:top w:val="nil"/>
              <w:left w:val="nil"/>
              <w:bottom w:val="nil"/>
              <w:right w:val="nil"/>
            </w:tcBorders>
            <w:shd w:val="clear" w:color="auto" w:fill="auto"/>
            <w:noWrap/>
            <w:vAlign w:val="center"/>
            <w:hideMark/>
          </w:tcPr>
          <w:p w14:paraId="58C4BABF"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Concesiones, patentes, licencias, marcas y similares</w:t>
            </w:r>
          </w:p>
        </w:tc>
        <w:tc>
          <w:tcPr>
            <w:tcW w:w="697" w:type="pct"/>
            <w:tcBorders>
              <w:top w:val="nil"/>
              <w:left w:val="nil"/>
              <w:right w:val="nil"/>
            </w:tcBorders>
            <w:shd w:val="clear" w:color="auto" w:fill="auto"/>
            <w:noWrap/>
            <w:vAlign w:val="center"/>
            <w:hideMark/>
          </w:tcPr>
          <w:p w14:paraId="0E3D19EA"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5.742,87   </w:t>
            </w:r>
          </w:p>
        </w:tc>
        <w:tc>
          <w:tcPr>
            <w:tcW w:w="697" w:type="pct"/>
            <w:tcBorders>
              <w:top w:val="nil"/>
              <w:left w:val="nil"/>
              <w:right w:val="nil"/>
            </w:tcBorders>
            <w:shd w:val="clear" w:color="auto" w:fill="auto"/>
            <w:noWrap/>
            <w:vAlign w:val="center"/>
            <w:hideMark/>
          </w:tcPr>
          <w:p w14:paraId="5917E865"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right w:val="nil"/>
            </w:tcBorders>
            <w:shd w:val="clear" w:color="auto" w:fill="auto"/>
            <w:noWrap/>
            <w:vAlign w:val="center"/>
            <w:hideMark/>
          </w:tcPr>
          <w:p w14:paraId="053B41FD"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right w:val="nil"/>
            </w:tcBorders>
            <w:shd w:val="clear" w:color="auto" w:fill="auto"/>
            <w:noWrap/>
            <w:vAlign w:val="center"/>
            <w:hideMark/>
          </w:tcPr>
          <w:p w14:paraId="4D5F2B7A"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5.742,87   </w:t>
            </w:r>
          </w:p>
        </w:tc>
      </w:tr>
      <w:tr w:rsidR="006E5A24" w:rsidRPr="007E7835" w14:paraId="491518FB" w14:textId="77777777" w:rsidTr="005644E5">
        <w:trPr>
          <w:trHeight w:val="283"/>
        </w:trPr>
        <w:tc>
          <w:tcPr>
            <w:tcW w:w="2212" w:type="pct"/>
            <w:tcBorders>
              <w:top w:val="nil"/>
              <w:left w:val="nil"/>
              <w:bottom w:val="nil"/>
              <w:right w:val="nil"/>
            </w:tcBorders>
            <w:shd w:val="clear" w:color="auto" w:fill="auto"/>
            <w:noWrap/>
            <w:vAlign w:val="center"/>
            <w:hideMark/>
          </w:tcPr>
          <w:p w14:paraId="29D52B5D"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Aplicaciones informáticas</w:t>
            </w:r>
          </w:p>
        </w:tc>
        <w:tc>
          <w:tcPr>
            <w:tcW w:w="697" w:type="pct"/>
            <w:tcBorders>
              <w:top w:val="nil"/>
              <w:left w:val="nil"/>
              <w:bottom w:val="single" w:sz="4" w:space="0" w:color="auto"/>
              <w:right w:val="nil"/>
            </w:tcBorders>
            <w:shd w:val="clear" w:color="auto" w:fill="auto"/>
            <w:noWrap/>
            <w:vAlign w:val="center"/>
            <w:hideMark/>
          </w:tcPr>
          <w:p w14:paraId="71ED5F2E"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218.238,98   </w:t>
            </w:r>
          </w:p>
        </w:tc>
        <w:tc>
          <w:tcPr>
            <w:tcW w:w="697" w:type="pct"/>
            <w:tcBorders>
              <w:top w:val="nil"/>
              <w:left w:val="nil"/>
              <w:bottom w:val="single" w:sz="4" w:space="0" w:color="auto"/>
              <w:right w:val="nil"/>
            </w:tcBorders>
            <w:shd w:val="clear" w:color="auto" w:fill="auto"/>
            <w:noWrap/>
            <w:vAlign w:val="center"/>
            <w:hideMark/>
          </w:tcPr>
          <w:p w14:paraId="3A696418"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hideMark/>
          </w:tcPr>
          <w:p w14:paraId="7831B446"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hideMark/>
          </w:tcPr>
          <w:p w14:paraId="25DDCD2E"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218.238,98   </w:t>
            </w:r>
          </w:p>
        </w:tc>
      </w:tr>
      <w:tr w:rsidR="006E5A24" w:rsidRPr="007E7835" w14:paraId="1B39A5DF" w14:textId="77777777" w:rsidTr="005644E5">
        <w:trPr>
          <w:trHeight w:val="283"/>
        </w:trPr>
        <w:tc>
          <w:tcPr>
            <w:tcW w:w="2212" w:type="pct"/>
            <w:tcBorders>
              <w:top w:val="nil"/>
              <w:left w:val="nil"/>
              <w:bottom w:val="nil"/>
              <w:right w:val="nil"/>
            </w:tcBorders>
            <w:shd w:val="clear" w:color="auto" w:fill="auto"/>
            <w:noWrap/>
            <w:vAlign w:val="center"/>
            <w:hideMark/>
          </w:tcPr>
          <w:p w14:paraId="496C22A9"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697" w:type="pct"/>
            <w:tcBorders>
              <w:top w:val="single" w:sz="4" w:space="0" w:color="auto"/>
              <w:left w:val="nil"/>
              <w:bottom w:val="single" w:sz="4" w:space="0" w:color="auto"/>
              <w:right w:val="nil"/>
            </w:tcBorders>
            <w:shd w:val="clear" w:color="auto" w:fill="auto"/>
            <w:noWrap/>
            <w:vAlign w:val="center"/>
            <w:hideMark/>
          </w:tcPr>
          <w:p w14:paraId="547A8030"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223.981,85   </w:t>
            </w:r>
          </w:p>
        </w:tc>
        <w:tc>
          <w:tcPr>
            <w:tcW w:w="697" w:type="pct"/>
            <w:tcBorders>
              <w:top w:val="single" w:sz="4" w:space="0" w:color="auto"/>
              <w:left w:val="nil"/>
              <w:bottom w:val="single" w:sz="4" w:space="0" w:color="auto"/>
              <w:right w:val="nil"/>
            </w:tcBorders>
            <w:shd w:val="clear" w:color="auto" w:fill="auto"/>
            <w:noWrap/>
            <w:vAlign w:val="center"/>
            <w:hideMark/>
          </w:tcPr>
          <w:p w14:paraId="7A94A69F"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697" w:type="pct"/>
            <w:tcBorders>
              <w:top w:val="single" w:sz="4" w:space="0" w:color="auto"/>
              <w:left w:val="nil"/>
              <w:bottom w:val="single" w:sz="4" w:space="0" w:color="auto"/>
              <w:right w:val="nil"/>
            </w:tcBorders>
            <w:shd w:val="clear" w:color="auto" w:fill="auto"/>
            <w:noWrap/>
            <w:vAlign w:val="center"/>
            <w:hideMark/>
          </w:tcPr>
          <w:p w14:paraId="33C92543"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697" w:type="pct"/>
            <w:tcBorders>
              <w:top w:val="single" w:sz="4" w:space="0" w:color="auto"/>
              <w:left w:val="nil"/>
              <w:bottom w:val="single" w:sz="4" w:space="0" w:color="auto"/>
              <w:right w:val="nil"/>
            </w:tcBorders>
            <w:shd w:val="clear" w:color="auto" w:fill="auto"/>
            <w:noWrap/>
            <w:vAlign w:val="center"/>
            <w:hideMark/>
          </w:tcPr>
          <w:p w14:paraId="46A74CC9"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223.981,85   </w:t>
            </w:r>
          </w:p>
        </w:tc>
      </w:tr>
      <w:tr w:rsidR="006E5A24" w:rsidRPr="007E7835" w14:paraId="6717B4CA" w14:textId="77777777" w:rsidTr="004772D1">
        <w:trPr>
          <w:trHeight w:val="138"/>
        </w:trPr>
        <w:tc>
          <w:tcPr>
            <w:tcW w:w="2212" w:type="pct"/>
            <w:tcBorders>
              <w:top w:val="nil"/>
              <w:left w:val="nil"/>
              <w:bottom w:val="nil"/>
              <w:right w:val="nil"/>
            </w:tcBorders>
            <w:shd w:val="clear" w:color="auto" w:fill="auto"/>
            <w:noWrap/>
            <w:vAlign w:val="center"/>
            <w:hideMark/>
          </w:tcPr>
          <w:p w14:paraId="0D9D103D"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Amortización</w:t>
            </w:r>
          </w:p>
        </w:tc>
        <w:tc>
          <w:tcPr>
            <w:tcW w:w="697" w:type="pct"/>
            <w:tcBorders>
              <w:top w:val="nil"/>
              <w:left w:val="nil"/>
              <w:bottom w:val="nil"/>
              <w:right w:val="nil"/>
            </w:tcBorders>
            <w:shd w:val="clear" w:color="auto" w:fill="auto"/>
            <w:noWrap/>
            <w:vAlign w:val="center"/>
            <w:hideMark/>
          </w:tcPr>
          <w:p w14:paraId="5D84BECA"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489821ED"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0F5A5313"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1731A871"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6E5A24" w:rsidRPr="007E7835" w14:paraId="01EE3498" w14:textId="77777777" w:rsidTr="005644E5">
        <w:trPr>
          <w:trHeight w:val="283"/>
        </w:trPr>
        <w:tc>
          <w:tcPr>
            <w:tcW w:w="2212" w:type="pct"/>
            <w:tcBorders>
              <w:top w:val="nil"/>
              <w:left w:val="nil"/>
              <w:bottom w:val="nil"/>
              <w:right w:val="nil"/>
            </w:tcBorders>
            <w:shd w:val="clear" w:color="auto" w:fill="auto"/>
            <w:noWrap/>
            <w:vAlign w:val="center"/>
            <w:hideMark/>
          </w:tcPr>
          <w:p w14:paraId="137F9D00"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Concesiones, patentes, licencias, marcas y similares</w:t>
            </w:r>
          </w:p>
        </w:tc>
        <w:tc>
          <w:tcPr>
            <w:tcW w:w="697" w:type="pct"/>
            <w:tcBorders>
              <w:top w:val="nil"/>
              <w:left w:val="nil"/>
              <w:bottom w:val="nil"/>
              <w:right w:val="nil"/>
            </w:tcBorders>
            <w:shd w:val="clear" w:color="auto" w:fill="auto"/>
            <w:noWrap/>
            <w:vAlign w:val="center"/>
            <w:hideMark/>
          </w:tcPr>
          <w:p w14:paraId="21B6C6E5"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(5.742,87)</w:t>
            </w:r>
          </w:p>
        </w:tc>
        <w:tc>
          <w:tcPr>
            <w:tcW w:w="697" w:type="pct"/>
            <w:tcBorders>
              <w:top w:val="nil"/>
              <w:left w:val="nil"/>
              <w:bottom w:val="nil"/>
              <w:right w:val="nil"/>
            </w:tcBorders>
            <w:shd w:val="clear" w:color="auto" w:fill="auto"/>
            <w:noWrap/>
            <w:vAlign w:val="center"/>
            <w:hideMark/>
          </w:tcPr>
          <w:p w14:paraId="7BF8F403"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hideMark/>
          </w:tcPr>
          <w:p w14:paraId="18B61978"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hideMark/>
          </w:tcPr>
          <w:p w14:paraId="1CFBC62C"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(5.742,87)</w:t>
            </w:r>
          </w:p>
        </w:tc>
      </w:tr>
      <w:tr w:rsidR="006E5A24" w:rsidRPr="007E7835" w14:paraId="0153E8FC" w14:textId="77777777" w:rsidTr="005644E5">
        <w:trPr>
          <w:trHeight w:val="283"/>
        </w:trPr>
        <w:tc>
          <w:tcPr>
            <w:tcW w:w="2212" w:type="pct"/>
            <w:tcBorders>
              <w:top w:val="nil"/>
              <w:left w:val="nil"/>
              <w:bottom w:val="nil"/>
              <w:right w:val="nil"/>
            </w:tcBorders>
            <w:shd w:val="clear" w:color="auto" w:fill="auto"/>
            <w:noWrap/>
            <w:vAlign w:val="center"/>
            <w:hideMark/>
          </w:tcPr>
          <w:p w14:paraId="2A645DF2"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Aplicaciones informáticas</w:t>
            </w:r>
          </w:p>
        </w:tc>
        <w:tc>
          <w:tcPr>
            <w:tcW w:w="697" w:type="pct"/>
            <w:tcBorders>
              <w:top w:val="nil"/>
              <w:left w:val="nil"/>
              <w:bottom w:val="single" w:sz="4" w:space="0" w:color="auto"/>
              <w:right w:val="nil"/>
            </w:tcBorders>
            <w:shd w:val="clear" w:color="auto" w:fill="auto"/>
            <w:noWrap/>
            <w:vAlign w:val="center"/>
            <w:hideMark/>
          </w:tcPr>
          <w:p w14:paraId="6774E5A1"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(154.435,78)</w:t>
            </w:r>
          </w:p>
        </w:tc>
        <w:tc>
          <w:tcPr>
            <w:tcW w:w="697" w:type="pct"/>
            <w:tcBorders>
              <w:top w:val="nil"/>
              <w:left w:val="nil"/>
              <w:bottom w:val="single" w:sz="4" w:space="0" w:color="auto"/>
              <w:right w:val="nil"/>
            </w:tcBorders>
            <w:shd w:val="clear" w:color="auto" w:fill="auto"/>
            <w:noWrap/>
            <w:vAlign w:val="center"/>
            <w:hideMark/>
          </w:tcPr>
          <w:p w14:paraId="0A9A44BB"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(22.740,87)</w:t>
            </w:r>
          </w:p>
        </w:tc>
        <w:tc>
          <w:tcPr>
            <w:tcW w:w="697" w:type="pct"/>
            <w:tcBorders>
              <w:top w:val="nil"/>
              <w:left w:val="nil"/>
              <w:bottom w:val="single" w:sz="4" w:space="0" w:color="auto"/>
              <w:right w:val="nil"/>
            </w:tcBorders>
            <w:shd w:val="clear" w:color="auto" w:fill="auto"/>
            <w:noWrap/>
            <w:vAlign w:val="center"/>
            <w:hideMark/>
          </w:tcPr>
          <w:p w14:paraId="5B4B7B58"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hideMark/>
          </w:tcPr>
          <w:p w14:paraId="79C7CEC2"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(177.176,65)</w:t>
            </w:r>
          </w:p>
        </w:tc>
      </w:tr>
      <w:tr w:rsidR="006E5A24" w:rsidRPr="007E7835" w14:paraId="73720BF3" w14:textId="77777777" w:rsidTr="005644E5">
        <w:trPr>
          <w:trHeight w:val="283"/>
        </w:trPr>
        <w:tc>
          <w:tcPr>
            <w:tcW w:w="2212" w:type="pct"/>
            <w:tcBorders>
              <w:top w:val="nil"/>
              <w:left w:val="nil"/>
              <w:bottom w:val="nil"/>
              <w:right w:val="nil"/>
            </w:tcBorders>
            <w:shd w:val="clear" w:color="auto" w:fill="auto"/>
            <w:noWrap/>
            <w:vAlign w:val="center"/>
            <w:hideMark/>
          </w:tcPr>
          <w:p w14:paraId="0B1DAC72"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97" w:type="pct"/>
            <w:tcBorders>
              <w:top w:val="nil"/>
              <w:left w:val="nil"/>
              <w:bottom w:val="single" w:sz="4" w:space="0" w:color="auto"/>
              <w:right w:val="nil"/>
            </w:tcBorders>
            <w:shd w:val="clear" w:color="auto" w:fill="auto"/>
            <w:noWrap/>
            <w:vAlign w:val="center"/>
            <w:hideMark/>
          </w:tcPr>
          <w:p w14:paraId="0C6D3AEE"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7E7835">
              <w:rPr>
                <w:rFonts w:eastAsia="Times New Roman"/>
                <w:b/>
                <w:bCs/>
                <w:color w:val="auto"/>
                <w:sz w:val="16"/>
                <w:szCs w:val="16"/>
                <w:bdr w:val="none" w:sz="0" w:space="0" w:color="auto"/>
                <w:lang w:eastAsia="es-ES"/>
              </w:rPr>
              <w:t>(160.178,65)</w:t>
            </w:r>
          </w:p>
        </w:tc>
        <w:tc>
          <w:tcPr>
            <w:tcW w:w="697" w:type="pct"/>
            <w:tcBorders>
              <w:top w:val="nil"/>
              <w:left w:val="nil"/>
              <w:bottom w:val="single" w:sz="4" w:space="0" w:color="auto"/>
              <w:right w:val="nil"/>
            </w:tcBorders>
            <w:shd w:val="clear" w:color="auto" w:fill="auto"/>
            <w:noWrap/>
            <w:vAlign w:val="center"/>
            <w:hideMark/>
          </w:tcPr>
          <w:p w14:paraId="557A6D33"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7E7835">
              <w:rPr>
                <w:rFonts w:eastAsia="Times New Roman"/>
                <w:b/>
                <w:bCs/>
                <w:color w:val="auto"/>
                <w:sz w:val="16"/>
                <w:szCs w:val="16"/>
                <w:bdr w:val="none" w:sz="0" w:space="0" w:color="auto"/>
                <w:lang w:eastAsia="es-ES"/>
              </w:rPr>
              <w:t>(22.740,87)</w:t>
            </w:r>
          </w:p>
        </w:tc>
        <w:tc>
          <w:tcPr>
            <w:tcW w:w="697" w:type="pct"/>
            <w:tcBorders>
              <w:top w:val="nil"/>
              <w:left w:val="nil"/>
              <w:bottom w:val="nil"/>
              <w:right w:val="nil"/>
            </w:tcBorders>
            <w:shd w:val="clear" w:color="auto" w:fill="auto"/>
            <w:noWrap/>
            <w:vAlign w:val="center"/>
            <w:hideMark/>
          </w:tcPr>
          <w:p w14:paraId="54BC3094"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hideMark/>
          </w:tcPr>
          <w:p w14:paraId="52A08744"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7E7835">
              <w:rPr>
                <w:rFonts w:eastAsia="Times New Roman"/>
                <w:b/>
                <w:bCs/>
                <w:color w:val="auto"/>
                <w:sz w:val="16"/>
                <w:szCs w:val="16"/>
                <w:bdr w:val="none" w:sz="0" w:space="0" w:color="auto"/>
                <w:lang w:eastAsia="es-ES"/>
              </w:rPr>
              <w:t>(182.919,52)</w:t>
            </w:r>
          </w:p>
        </w:tc>
      </w:tr>
      <w:tr w:rsidR="006E5A24" w:rsidRPr="007E7835" w14:paraId="1EDCFDFE" w14:textId="77777777" w:rsidTr="005644E5">
        <w:trPr>
          <w:trHeight w:val="283"/>
        </w:trPr>
        <w:tc>
          <w:tcPr>
            <w:tcW w:w="2212" w:type="pct"/>
            <w:tcBorders>
              <w:top w:val="single" w:sz="4" w:space="0" w:color="auto"/>
              <w:left w:val="nil"/>
              <w:bottom w:val="single" w:sz="4" w:space="0" w:color="auto"/>
              <w:right w:val="nil"/>
            </w:tcBorders>
            <w:shd w:val="clear" w:color="auto" w:fill="auto"/>
            <w:noWrap/>
            <w:vAlign w:val="center"/>
            <w:hideMark/>
          </w:tcPr>
          <w:p w14:paraId="794157B8"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u w:val="single"/>
                <w:bdr w:val="none" w:sz="0" w:space="0" w:color="auto"/>
                <w:lang w:eastAsia="es-ES"/>
              </w:rPr>
            </w:pPr>
            <w:r w:rsidRPr="007E7835">
              <w:rPr>
                <w:rFonts w:eastAsia="Times New Roman"/>
                <w:b/>
                <w:bCs/>
                <w:sz w:val="16"/>
                <w:szCs w:val="16"/>
                <w:u w:val="single"/>
                <w:bdr w:val="none" w:sz="0" w:space="0" w:color="auto"/>
                <w:lang w:eastAsia="es-ES"/>
              </w:rPr>
              <w:t>Valor neto contable</w:t>
            </w:r>
          </w:p>
        </w:tc>
        <w:tc>
          <w:tcPr>
            <w:tcW w:w="697" w:type="pct"/>
            <w:tcBorders>
              <w:top w:val="nil"/>
              <w:left w:val="nil"/>
              <w:bottom w:val="single" w:sz="4" w:space="0" w:color="auto"/>
              <w:right w:val="nil"/>
            </w:tcBorders>
            <w:shd w:val="clear" w:color="auto" w:fill="auto"/>
            <w:noWrap/>
            <w:vAlign w:val="center"/>
            <w:hideMark/>
          </w:tcPr>
          <w:p w14:paraId="5ACF2427"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63.803,20   </w:t>
            </w:r>
          </w:p>
        </w:tc>
        <w:tc>
          <w:tcPr>
            <w:tcW w:w="697" w:type="pct"/>
            <w:tcBorders>
              <w:top w:val="nil"/>
              <w:left w:val="nil"/>
              <w:bottom w:val="single" w:sz="4" w:space="0" w:color="auto"/>
              <w:right w:val="nil"/>
            </w:tcBorders>
            <w:shd w:val="clear" w:color="auto" w:fill="auto"/>
            <w:noWrap/>
            <w:vAlign w:val="center"/>
            <w:hideMark/>
          </w:tcPr>
          <w:p w14:paraId="57AAE52D"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single" w:sz="4" w:space="0" w:color="auto"/>
              <w:left w:val="nil"/>
              <w:bottom w:val="single" w:sz="4" w:space="0" w:color="auto"/>
              <w:right w:val="nil"/>
            </w:tcBorders>
            <w:shd w:val="clear" w:color="auto" w:fill="auto"/>
            <w:noWrap/>
            <w:vAlign w:val="center"/>
            <w:hideMark/>
          </w:tcPr>
          <w:p w14:paraId="5226D699"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single" w:sz="4" w:space="0" w:color="auto"/>
              <w:right w:val="nil"/>
            </w:tcBorders>
            <w:shd w:val="clear" w:color="auto" w:fill="auto"/>
            <w:noWrap/>
            <w:vAlign w:val="center"/>
            <w:hideMark/>
          </w:tcPr>
          <w:p w14:paraId="370390F6"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41.062,33   </w:t>
            </w:r>
          </w:p>
        </w:tc>
      </w:tr>
    </w:tbl>
    <w:p w14:paraId="2616242E" w14:textId="77777777" w:rsidR="006220A2" w:rsidRPr="0083433F" w:rsidRDefault="008B575B" w:rsidP="006220A2">
      <w:pPr>
        <w:keepNext/>
        <w:keepLines/>
        <w:widowControl w:val="0"/>
        <w:tabs>
          <w:tab w:val="left" w:pos="284"/>
        </w:tabs>
        <w:spacing w:before="200"/>
        <w:rPr>
          <w:sz w:val="20"/>
          <w:szCs w:val="22"/>
        </w:rPr>
      </w:pPr>
      <w:r>
        <w:rPr>
          <w:snapToGrid w:val="0"/>
          <w:sz w:val="20"/>
          <w:szCs w:val="22"/>
        </w:rPr>
        <w:t>a)</w:t>
      </w:r>
      <w:r w:rsidR="006220A2" w:rsidRPr="0083433F">
        <w:rPr>
          <w:snapToGrid w:val="0"/>
          <w:sz w:val="20"/>
          <w:szCs w:val="22"/>
        </w:rPr>
        <w:tab/>
      </w:r>
      <w:r w:rsidR="006220A2" w:rsidRPr="0083433F">
        <w:rPr>
          <w:snapToGrid w:val="0"/>
          <w:sz w:val="20"/>
          <w:szCs w:val="22"/>
          <w:u w:val="single"/>
        </w:rPr>
        <w:t>Inmovilizado intangible totalmente amortizado</w:t>
      </w:r>
    </w:p>
    <w:p w14:paraId="3A76CF8E" w14:textId="08B3683B" w:rsidR="006220A2" w:rsidRPr="0083433F" w:rsidRDefault="006220A2" w:rsidP="005644E5">
      <w:pPr>
        <w:widowControl w:val="0"/>
        <w:spacing w:before="120" w:after="120" w:line="260" w:lineRule="exact"/>
        <w:ind w:left="284"/>
        <w:jc w:val="both"/>
        <w:outlineLvl w:val="9"/>
        <w:rPr>
          <w:snapToGrid w:val="0"/>
          <w:sz w:val="20"/>
          <w:szCs w:val="22"/>
        </w:rPr>
      </w:pPr>
      <w:r w:rsidRPr="0083433F">
        <w:rPr>
          <w:snapToGrid w:val="0"/>
          <w:sz w:val="20"/>
          <w:szCs w:val="22"/>
        </w:rPr>
        <w:t>A 31 de diciembre de 20</w:t>
      </w:r>
      <w:r w:rsidR="007F2865">
        <w:rPr>
          <w:snapToGrid w:val="0"/>
          <w:sz w:val="20"/>
          <w:szCs w:val="22"/>
        </w:rPr>
        <w:t>2</w:t>
      </w:r>
      <w:r w:rsidR="00590594">
        <w:rPr>
          <w:snapToGrid w:val="0"/>
          <w:sz w:val="20"/>
          <w:szCs w:val="22"/>
        </w:rPr>
        <w:t>1</w:t>
      </w:r>
      <w:r w:rsidRPr="0083433F">
        <w:rPr>
          <w:snapToGrid w:val="0"/>
          <w:sz w:val="20"/>
          <w:szCs w:val="22"/>
        </w:rPr>
        <w:t xml:space="preserve"> dentro del epígrafe de aplicaciones informáticas existen con un coste </w:t>
      </w:r>
      <w:r w:rsidRPr="00A76DB8">
        <w:rPr>
          <w:snapToGrid w:val="0"/>
          <w:sz w:val="20"/>
          <w:szCs w:val="22"/>
        </w:rPr>
        <w:t>original de</w:t>
      </w:r>
      <w:r w:rsidR="00D57DCF" w:rsidRPr="005644E5">
        <w:rPr>
          <w:snapToGrid w:val="0"/>
          <w:sz w:val="20"/>
          <w:szCs w:val="22"/>
        </w:rPr>
        <w:t xml:space="preserve"> </w:t>
      </w:r>
      <w:r w:rsidR="00CB003A" w:rsidRPr="005644E5">
        <w:rPr>
          <w:snapToGrid w:val="0"/>
          <w:sz w:val="20"/>
          <w:szCs w:val="22"/>
        </w:rPr>
        <w:t>153.739,03</w:t>
      </w:r>
      <w:r w:rsidR="00D57DCF" w:rsidRPr="005644E5">
        <w:rPr>
          <w:snapToGrid w:val="0"/>
          <w:sz w:val="20"/>
          <w:szCs w:val="22"/>
        </w:rPr>
        <w:t xml:space="preserve"> </w:t>
      </w:r>
      <w:r w:rsidRPr="0083433F">
        <w:rPr>
          <w:snapToGrid w:val="0"/>
          <w:sz w:val="20"/>
          <w:szCs w:val="22"/>
        </w:rPr>
        <w:t>euros (</w:t>
      </w:r>
      <w:r w:rsidR="00A063E7" w:rsidRPr="005644E5">
        <w:rPr>
          <w:snapToGrid w:val="0"/>
          <w:sz w:val="20"/>
          <w:szCs w:val="22"/>
        </w:rPr>
        <w:t xml:space="preserve">mismo importe </w:t>
      </w:r>
      <w:r w:rsidRPr="005644E5">
        <w:rPr>
          <w:snapToGrid w:val="0"/>
          <w:sz w:val="20"/>
          <w:szCs w:val="22"/>
        </w:rPr>
        <w:t xml:space="preserve">en </w:t>
      </w:r>
      <w:r w:rsidR="005644E5">
        <w:rPr>
          <w:snapToGrid w:val="0"/>
          <w:sz w:val="20"/>
          <w:szCs w:val="22"/>
        </w:rPr>
        <w:t>el ejercicio anterior</w:t>
      </w:r>
      <w:r w:rsidRPr="005644E5">
        <w:rPr>
          <w:snapToGrid w:val="0"/>
          <w:sz w:val="20"/>
          <w:szCs w:val="22"/>
        </w:rPr>
        <w:t xml:space="preserve">) elementos </w:t>
      </w:r>
      <w:r w:rsidRPr="0083433F">
        <w:rPr>
          <w:snapToGrid w:val="0"/>
          <w:sz w:val="20"/>
          <w:szCs w:val="22"/>
        </w:rPr>
        <w:t>que están totalmente amortizados y que todavía están en uso y en propiedad industrial 5.742,87 euros (</w:t>
      </w:r>
      <w:r w:rsidR="00A063E7" w:rsidRPr="005644E5">
        <w:rPr>
          <w:snapToGrid w:val="0"/>
          <w:sz w:val="20"/>
          <w:szCs w:val="22"/>
        </w:rPr>
        <w:t xml:space="preserve">mismo importe </w:t>
      </w:r>
      <w:r w:rsidRPr="0083433F">
        <w:rPr>
          <w:snapToGrid w:val="0"/>
          <w:sz w:val="20"/>
          <w:szCs w:val="22"/>
        </w:rPr>
        <w:t xml:space="preserve">en </w:t>
      </w:r>
      <w:r w:rsidR="005644E5">
        <w:rPr>
          <w:snapToGrid w:val="0"/>
          <w:sz w:val="20"/>
          <w:szCs w:val="22"/>
        </w:rPr>
        <w:t>el ejercicio anterior</w:t>
      </w:r>
      <w:r w:rsidRPr="0083433F">
        <w:rPr>
          <w:snapToGrid w:val="0"/>
          <w:sz w:val="20"/>
          <w:szCs w:val="22"/>
        </w:rPr>
        <w:t xml:space="preserve">). </w:t>
      </w:r>
    </w:p>
    <w:p w14:paraId="7B054210" w14:textId="77777777" w:rsidR="006220A2" w:rsidRPr="0083433F" w:rsidRDefault="006220A2" w:rsidP="00F5041C">
      <w:pPr>
        <w:widowControl w:val="0"/>
        <w:tabs>
          <w:tab w:val="left" w:pos="284"/>
        </w:tabs>
        <w:spacing w:before="200" w:line="276" w:lineRule="auto"/>
        <w:rPr>
          <w:sz w:val="20"/>
          <w:szCs w:val="22"/>
        </w:rPr>
      </w:pPr>
      <w:r w:rsidRPr="0083433F">
        <w:rPr>
          <w:snapToGrid w:val="0"/>
          <w:sz w:val="20"/>
          <w:szCs w:val="22"/>
        </w:rPr>
        <w:t>b)</w:t>
      </w:r>
      <w:r w:rsidRPr="0083433F">
        <w:rPr>
          <w:snapToGrid w:val="0"/>
          <w:sz w:val="20"/>
          <w:szCs w:val="22"/>
        </w:rPr>
        <w:tab/>
      </w:r>
      <w:r w:rsidRPr="0083433F">
        <w:rPr>
          <w:snapToGrid w:val="0"/>
          <w:sz w:val="20"/>
          <w:szCs w:val="22"/>
          <w:u w:val="single"/>
        </w:rPr>
        <w:t>Seguros</w:t>
      </w:r>
    </w:p>
    <w:p w14:paraId="13C46AF5" w14:textId="5F706D9A" w:rsidR="005644E5" w:rsidRDefault="006220A2" w:rsidP="005644E5">
      <w:pPr>
        <w:widowControl w:val="0"/>
        <w:spacing w:before="120" w:after="120" w:line="260" w:lineRule="exact"/>
        <w:ind w:left="284"/>
        <w:jc w:val="both"/>
        <w:outlineLvl w:val="9"/>
        <w:rPr>
          <w:snapToGrid w:val="0"/>
          <w:sz w:val="20"/>
          <w:szCs w:val="22"/>
        </w:rPr>
      </w:pPr>
      <w:r w:rsidRPr="0083433F">
        <w:rPr>
          <w:snapToGrid w:val="0"/>
          <w:sz w:val="20"/>
          <w:szCs w:val="22"/>
        </w:rPr>
        <w:t>La Sociedad tiene contratadas varias pólizas de seguro para cubrir los riesgos a que están sujetos los bienes del inmovilizado intangible. La cobertura de estas pólizas se considera suficiente.</w:t>
      </w:r>
    </w:p>
    <w:p w14:paraId="7729855C" w14:textId="77777777" w:rsidR="005644E5" w:rsidRDefault="005644E5">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710E27EB" w14:textId="01C364EC" w:rsidR="006220A2" w:rsidRPr="00F5041C" w:rsidRDefault="00F5041C"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Pr>
          <w:b/>
          <w:snapToGrid w:val="0"/>
          <w:sz w:val="22"/>
          <w:szCs w:val="22"/>
        </w:rPr>
        <w:lastRenderedPageBreak/>
        <w:t xml:space="preserve"> </w:t>
      </w:r>
      <w:r w:rsidR="006220A2" w:rsidRPr="00F5041C">
        <w:rPr>
          <w:b/>
          <w:snapToGrid w:val="0"/>
          <w:sz w:val="22"/>
          <w:szCs w:val="22"/>
        </w:rPr>
        <w:t>Inmovilizado material</w:t>
      </w:r>
    </w:p>
    <w:p w14:paraId="471E632C" w14:textId="6CAF9CE3" w:rsidR="006220A2"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El detalle y movimiento de</w:t>
      </w:r>
      <w:r w:rsidR="005644E5">
        <w:rPr>
          <w:snapToGrid w:val="0"/>
          <w:sz w:val="20"/>
          <w:szCs w:val="22"/>
        </w:rPr>
        <w:t>l</w:t>
      </w:r>
      <w:r w:rsidRPr="005644E5">
        <w:rPr>
          <w:snapToGrid w:val="0"/>
          <w:sz w:val="20"/>
          <w:szCs w:val="22"/>
        </w:rPr>
        <w:t xml:space="preserve"> “Inmovilizado material” </w:t>
      </w:r>
      <w:r w:rsidR="00AD73A0" w:rsidRPr="005644E5">
        <w:rPr>
          <w:snapToGrid w:val="0"/>
          <w:sz w:val="20"/>
          <w:szCs w:val="22"/>
        </w:rPr>
        <w:t>en el ejercicio 20</w:t>
      </w:r>
      <w:r w:rsidR="008B575B" w:rsidRPr="005644E5">
        <w:rPr>
          <w:snapToGrid w:val="0"/>
          <w:sz w:val="20"/>
          <w:szCs w:val="22"/>
        </w:rPr>
        <w:t>2</w:t>
      </w:r>
      <w:r w:rsidR="00814174" w:rsidRPr="005644E5">
        <w:rPr>
          <w:snapToGrid w:val="0"/>
          <w:sz w:val="20"/>
          <w:szCs w:val="22"/>
        </w:rPr>
        <w:t>1</w:t>
      </w:r>
      <w:r w:rsidRPr="005644E5">
        <w:rPr>
          <w:snapToGrid w:val="0"/>
          <w:sz w:val="20"/>
          <w:szCs w:val="22"/>
        </w:rPr>
        <w:t xml:space="preserve"> es el siguiente:</w:t>
      </w:r>
    </w:p>
    <w:tbl>
      <w:tblPr>
        <w:tblW w:w="8722" w:type="dxa"/>
        <w:tblCellMar>
          <w:left w:w="70" w:type="dxa"/>
          <w:right w:w="70" w:type="dxa"/>
        </w:tblCellMar>
        <w:tblLook w:val="04A0" w:firstRow="1" w:lastRow="0" w:firstColumn="1" w:lastColumn="0" w:noHBand="0" w:noVBand="1"/>
      </w:tblPr>
      <w:tblGrid>
        <w:gridCol w:w="2436"/>
        <w:gridCol w:w="1279"/>
        <w:gridCol w:w="1246"/>
        <w:gridCol w:w="1237"/>
        <w:gridCol w:w="1243"/>
        <w:gridCol w:w="1281"/>
      </w:tblGrid>
      <w:tr w:rsidR="00D57DCF" w:rsidRPr="007E7835" w14:paraId="2299EC23" w14:textId="77777777" w:rsidTr="00D57DCF">
        <w:trPr>
          <w:trHeight w:val="195"/>
        </w:trPr>
        <w:tc>
          <w:tcPr>
            <w:tcW w:w="2436" w:type="dxa"/>
            <w:tcBorders>
              <w:top w:val="single" w:sz="4" w:space="0" w:color="auto"/>
              <w:left w:val="nil"/>
              <w:bottom w:val="nil"/>
              <w:right w:val="nil"/>
            </w:tcBorders>
            <w:shd w:val="clear" w:color="auto" w:fill="auto"/>
            <w:vAlign w:val="center"/>
            <w:hideMark/>
          </w:tcPr>
          <w:p w14:paraId="73CF721D"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6286" w:type="dxa"/>
            <w:gridSpan w:val="5"/>
            <w:tcBorders>
              <w:top w:val="single" w:sz="4" w:space="0" w:color="auto"/>
              <w:left w:val="nil"/>
              <w:bottom w:val="single" w:sz="4" w:space="0" w:color="auto"/>
              <w:right w:val="nil"/>
            </w:tcBorders>
            <w:shd w:val="clear" w:color="auto" w:fill="auto"/>
            <w:vAlign w:val="center"/>
            <w:hideMark/>
          </w:tcPr>
          <w:p w14:paraId="7859A849"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D57DCF" w:rsidRPr="007E7835" w14:paraId="6DEA40DB" w14:textId="77777777" w:rsidTr="00785864">
        <w:trPr>
          <w:trHeight w:val="390"/>
        </w:trPr>
        <w:tc>
          <w:tcPr>
            <w:tcW w:w="2436" w:type="dxa"/>
            <w:tcBorders>
              <w:top w:val="nil"/>
              <w:left w:val="nil"/>
              <w:bottom w:val="single" w:sz="4" w:space="0" w:color="auto"/>
              <w:right w:val="nil"/>
            </w:tcBorders>
            <w:shd w:val="clear" w:color="auto" w:fill="auto"/>
            <w:vAlign w:val="center"/>
            <w:hideMark/>
          </w:tcPr>
          <w:p w14:paraId="0604B8AF"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1279" w:type="dxa"/>
            <w:tcBorders>
              <w:top w:val="nil"/>
              <w:left w:val="nil"/>
              <w:bottom w:val="single" w:sz="4" w:space="0" w:color="auto"/>
              <w:right w:val="nil"/>
            </w:tcBorders>
            <w:shd w:val="clear" w:color="auto" w:fill="auto"/>
            <w:vAlign w:val="bottom"/>
            <w:hideMark/>
          </w:tcPr>
          <w:p w14:paraId="7E2DCD5D" w14:textId="3CF7FD44" w:rsidR="00D57DCF" w:rsidRPr="007639B1"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Saldo al 31/12/20</w:t>
            </w:r>
            <w:r w:rsidR="00005631" w:rsidRPr="007639B1">
              <w:rPr>
                <w:rFonts w:eastAsia="Times New Roman"/>
                <w:b/>
                <w:bCs/>
                <w:sz w:val="16"/>
                <w:szCs w:val="16"/>
                <w:bdr w:val="none" w:sz="0" w:space="0" w:color="auto"/>
                <w:lang w:eastAsia="es-ES"/>
              </w:rPr>
              <w:t>20</w:t>
            </w:r>
          </w:p>
        </w:tc>
        <w:tc>
          <w:tcPr>
            <w:tcW w:w="1246" w:type="dxa"/>
            <w:tcBorders>
              <w:top w:val="nil"/>
              <w:left w:val="nil"/>
              <w:bottom w:val="single" w:sz="4" w:space="0" w:color="auto"/>
              <w:right w:val="nil"/>
            </w:tcBorders>
            <w:shd w:val="clear" w:color="auto" w:fill="auto"/>
            <w:vAlign w:val="bottom"/>
            <w:hideMark/>
          </w:tcPr>
          <w:p w14:paraId="3E2C670A" w14:textId="77777777" w:rsidR="00D57DCF" w:rsidRPr="007639B1"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Altas</w:t>
            </w:r>
          </w:p>
        </w:tc>
        <w:tc>
          <w:tcPr>
            <w:tcW w:w="1237" w:type="dxa"/>
            <w:tcBorders>
              <w:top w:val="nil"/>
              <w:left w:val="nil"/>
              <w:bottom w:val="single" w:sz="4" w:space="0" w:color="auto"/>
              <w:right w:val="nil"/>
            </w:tcBorders>
            <w:shd w:val="clear" w:color="auto" w:fill="auto"/>
            <w:vAlign w:val="bottom"/>
            <w:hideMark/>
          </w:tcPr>
          <w:p w14:paraId="4879C705" w14:textId="77777777" w:rsidR="00D57DCF" w:rsidRPr="007639B1"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Bajas</w:t>
            </w:r>
          </w:p>
        </w:tc>
        <w:tc>
          <w:tcPr>
            <w:tcW w:w="1243" w:type="dxa"/>
            <w:tcBorders>
              <w:top w:val="nil"/>
              <w:left w:val="nil"/>
              <w:bottom w:val="single" w:sz="4" w:space="0" w:color="auto"/>
              <w:right w:val="nil"/>
            </w:tcBorders>
            <w:shd w:val="clear" w:color="auto" w:fill="auto"/>
            <w:vAlign w:val="bottom"/>
            <w:hideMark/>
          </w:tcPr>
          <w:p w14:paraId="02D4E33C" w14:textId="77777777" w:rsidR="00D57DCF" w:rsidRPr="007639B1"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Traspasos</w:t>
            </w:r>
          </w:p>
        </w:tc>
        <w:tc>
          <w:tcPr>
            <w:tcW w:w="1281" w:type="dxa"/>
            <w:tcBorders>
              <w:top w:val="nil"/>
              <w:left w:val="nil"/>
              <w:bottom w:val="single" w:sz="4" w:space="0" w:color="auto"/>
              <w:right w:val="nil"/>
            </w:tcBorders>
            <w:shd w:val="clear" w:color="auto" w:fill="auto"/>
            <w:vAlign w:val="bottom"/>
            <w:hideMark/>
          </w:tcPr>
          <w:p w14:paraId="3C1E3529" w14:textId="175AF793" w:rsidR="00D57DCF" w:rsidRPr="007639B1"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Saldo al 31/12/202</w:t>
            </w:r>
            <w:r w:rsidR="00005631" w:rsidRPr="007639B1">
              <w:rPr>
                <w:rFonts w:eastAsia="Times New Roman"/>
                <w:b/>
                <w:bCs/>
                <w:sz w:val="16"/>
                <w:szCs w:val="16"/>
                <w:bdr w:val="none" w:sz="0" w:space="0" w:color="auto"/>
                <w:lang w:eastAsia="es-ES"/>
              </w:rPr>
              <w:t>1</w:t>
            </w:r>
          </w:p>
        </w:tc>
      </w:tr>
      <w:tr w:rsidR="00D57DCF" w:rsidRPr="007E7835" w14:paraId="219FFD18" w14:textId="77777777" w:rsidTr="00352C5B">
        <w:trPr>
          <w:trHeight w:val="255"/>
        </w:trPr>
        <w:tc>
          <w:tcPr>
            <w:tcW w:w="2436" w:type="dxa"/>
            <w:tcBorders>
              <w:top w:val="nil"/>
              <w:left w:val="nil"/>
              <w:bottom w:val="nil"/>
              <w:right w:val="nil"/>
            </w:tcBorders>
            <w:shd w:val="clear" w:color="auto" w:fill="auto"/>
            <w:vAlign w:val="center"/>
            <w:hideMark/>
          </w:tcPr>
          <w:p w14:paraId="4EC71608"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Coste</w:t>
            </w:r>
          </w:p>
        </w:tc>
        <w:tc>
          <w:tcPr>
            <w:tcW w:w="1279" w:type="dxa"/>
            <w:tcBorders>
              <w:top w:val="nil"/>
              <w:left w:val="nil"/>
              <w:bottom w:val="nil"/>
              <w:right w:val="nil"/>
            </w:tcBorders>
            <w:shd w:val="clear" w:color="auto" w:fill="auto"/>
            <w:vAlign w:val="center"/>
            <w:hideMark/>
          </w:tcPr>
          <w:p w14:paraId="46A51024" w14:textId="77777777" w:rsidR="00D57DCF" w:rsidRPr="007639B1"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1246" w:type="dxa"/>
            <w:tcBorders>
              <w:top w:val="nil"/>
              <w:left w:val="nil"/>
              <w:bottom w:val="nil"/>
              <w:right w:val="nil"/>
            </w:tcBorders>
            <w:shd w:val="clear" w:color="auto" w:fill="auto"/>
            <w:vAlign w:val="center"/>
            <w:hideMark/>
          </w:tcPr>
          <w:p w14:paraId="456909BF" w14:textId="77777777" w:rsidR="00D57DCF" w:rsidRPr="007639B1"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37" w:type="dxa"/>
            <w:tcBorders>
              <w:top w:val="nil"/>
              <w:left w:val="nil"/>
              <w:bottom w:val="nil"/>
              <w:right w:val="nil"/>
            </w:tcBorders>
            <w:shd w:val="clear" w:color="auto" w:fill="auto"/>
            <w:vAlign w:val="center"/>
            <w:hideMark/>
          </w:tcPr>
          <w:p w14:paraId="69A7C7F7" w14:textId="77777777" w:rsidR="00D57DCF" w:rsidRPr="007639B1"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43" w:type="dxa"/>
            <w:tcBorders>
              <w:top w:val="nil"/>
              <w:left w:val="nil"/>
              <w:bottom w:val="nil"/>
              <w:right w:val="nil"/>
            </w:tcBorders>
            <w:shd w:val="clear" w:color="auto" w:fill="auto"/>
            <w:vAlign w:val="center"/>
            <w:hideMark/>
          </w:tcPr>
          <w:p w14:paraId="64AF37EE" w14:textId="77777777" w:rsidR="00D57DCF" w:rsidRPr="007639B1"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81" w:type="dxa"/>
            <w:tcBorders>
              <w:top w:val="nil"/>
              <w:left w:val="nil"/>
              <w:bottom w:val="nil"/>
              <w:right w:val="nil"/>
            </w:tcBorders>
            <w:shd w:val="clear" w:color="auto" w:fill="auto"/>
            <w:vAlign w:val="center"/>
            <w:hideMark/>
          </w:tcPr>
          <w:p w14:paraId="31018033" w14:textId="77777777" w:rsidR="00D57DCF" w:rsidRPr="007639B1"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r>
      <w:tr w:rsidR="00851B1B" w:rsidRPr="007E7835" w14:paraId="3C84916D" w14:textId="77777777" w:rsidTr="005644E5">
        <w:trPr>
          <w:trHeight w:val="283"/>
        </w:trPr>
        <w:tc>
          <w:tcPr>
            <w:tcW w:w="2436" w:type="dxa"/>
            <w:tcBorders>
              <w:top w:val="nil"/>
              <w:left w:val="nil"/>
              <w:bottom w:val="nil"/>
              <w:right w:val="nil"/>
            </w:tcBorders>
            <w:shd w:val="clear" w:color="auto" w:fill="auto"/>
            <w:vAlign w:val="center"/>
            <w:hideMark/>
          </w:tcPr>
          <w:p w14:paraId="11BD5006" w14:textId="77777777" w:rsidR="00851B1B" w:rsidRPr="007E7835"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Construcciones</w:t>
            </w:r>
          </w:p>
        </w:tc>
        <w:tc>
          <w:tcPr>
            <w:tcW w:w="1279" w:type="dxa"/>
            <w:tcBorders>
              <w:top w:val="nil"/>
              <w:left w:val="nil"/>
              <w:bottom w:val="nil"/>
              <w:right w:val="nil"/>
            </w:tcBorders>
            <w:shd w:val="clear" w:color="auto" w:fill="auto"/>
            <w:vAlign w:val="center"/>
            <w:hideMark/>
          </w:tcPr>
          <w:p w14:paraId="26B3A28A" w14:textId="2BAB37F8"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367.644,54</w:t>
            </w:r>
          </w:p>
        </w:tc>
        <w:tc>
          <w:tcPr>
            <w:tcW w:w="1246" w:type="dxa"/>
            <w:tcBorders>
              <w:top w:val="nil"/>
              <w:left w:val="nil"/>
              <w:bottom w:val="nil"/>
              <w:right w:val="nil"/>
            </w:tcBorders>
            <w:shd w:val="clear" w:color="auto" w:fill="auto"/>
            <w:vAlign w:val="center"/>
          </w:tcPr>
          <w:p w14:paraId="546F4FFD" w14:textId="0182C668"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37.609,97</w:t>
            </w:r>
          </w:p>
        </w:tc>
        <w:tc>
          <w:tcPr>
            <w:tcW w:w="1237" w:type="dxa"/>
            <w:tcBorders>
              <w:top w:val="nil"/>
              <w:left w:val="nil"/>
              <w:bottom w:val="nil"/>
              <w:right w:val="nil"/>
            </w:tcBorders>
            <w:shd w:val="clear" w:color="auto" w:fill="auto"/>
            <w:vAlign w:val="center"/>
          </w:tcPr>
          <w:p w14:paraId="4D5C7E2B" w14:textId="70EA584A"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 xml:space="preserve"> -</w:t>
            </w:r>
          </w:p>
        </w:tc>
        <w:tc>
          <w:tcPr>
            <w:tcW w:w="1243" w:type="dxa"/>
            <w:tcBorders>
              <w:top w:val="nil"/>
              <w:left w:val="nil"/>
              <w:bottom w:val="nil"/>
              <w:right w:val="nil"/>
            </w:tcBorders>
            <w:shd w:val="clear" w:color="auto" w:fill="auto"/>
            <w:vAlign w:val="center"/>
          </w:tcPr>
          <w:p w14:paraId="7061089E" w14:textId="204C0836"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vAlign w:val="center"/>
          </w:tcPr>
          <w:p w14:paraId="55947CCC" w14:textId="6203422D"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405.254,51</w:t>
            </w:r>
          </w:p>
        </w:tc>
      </w:tr>
      <w:tr w:rsidR="00851B1B" w:rsidRPr="007E7835" w14:paraId="4723AB32" w14:textId="77777777" w:rsidTr="005644E5">
        <w:trPr>
          <w:trHeight w:val="283"/>
        </w:trPr>
        <w:tc>
          <w:tcPr>
            <w:tcW w:w="2436" w:type="dxa"/>
            <w:tcBorders>
              <w:top w:val="nil"/>
              <w:left w:val="nil"/>
              <w:bottom w:val="nil"/>
              <w:right w:val="nil"/>
            </w:tcBorders>
            <w:shd w:val="clear" w:color="auto" w:fill="auto"/>
            <w:vAlign w:val="center"/>
            <w:hideMark/>
          </w:tcPr>
          <w:p w14:paraId="44CBCAFA" w14:textId="77777777" w:rsidR="00851B1B" w:rsidRPr="007E7835"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Instalaciones técnicas</w:t>
            </w:r>
          </w:p>
        </w:tc>
        <w:tc>
          <w:tcPr>
            <w:tcW w:w="1279" w:type="dxa"/>
            <w:tcBorders>
              <w:top w:val="nil"/>
              <w:left w:val="nil"/>
              <w:bottom w:val="nil"/>
              <w:right w:val="nil"/>
            </w:tcBorders>
            <w:shd w:val="clear" w:color="auto" w:fill="auto"/>
            <w:vAlign w:val="center"/>
            <w:hideMark/>
          </w:tcPr>
          <w:p w14:paraId="5936C47E" w14:textId="21C2F4EA"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31.551,32</w:t>
            </w:r>
          </w:p>
        </w:tc>
        <w:tc>
          <w:tcPr>
            <w:tcW w:w="1246" w:type="dxa"/>
            <w:tcBorders>
              <w:top w:val="nil"/>
              <w:left w:val="nil"/>
              <w:bottom w:val="nil"/>
              <w:right w:val="nil"/>
            </w:tcBorders>
            <w:shd w:val="clear" w:color="auto" w:fill="auto"/>
            <w:vAlign w:val="center"/>
          </w:tcPr>
          <w:p w14:paraId="251CF04A" w14:textId="11022281"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 xml:space="preserve"> -</w:t>
            </w:r>
          </w:p>
        </w:tc>
        <w:tc>
          <w:tcPr>
            <w:tcW w:w="1237" w:type="dxa"/>
            <w:tcBorders>
              <w:top w:val="nil"/>
              <w:left w:val="nil"/>
              <w:bottom w:val="nil"/>
              <w:right w:val="nil"/>
            </w:tcBorders>
            <w:shd w:val="clear" w:color="auto" w:fill="auto"/>
            <w:vAlign w:val="center"/>
          </w:tcPr>
          <w:p w14:paraId="623B0A8B" w14:textId="694A1214"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 xml:space="preserve"> -</w:t>
            </w:r>
          </w:p>
        </w:tc>
        <w:tc>
          <w:tcPr>
            <w:tcW w:w="1243" w:type="dxa"/>
            <w:tcBorders>
              <w:top w:val="nil"/>
              <w:left w:val="nil"/>
              <w:bottom w:val="nil"/>
              <w:right w:val="nil"/>
            </w:tcBorders>
            <w:shd w:val="clear" w:color="auto" w:fill="auto"/>
            <w:vAlign w:val="center"/>
          </w:tcPr>
          <w:p w14:paraId="0E10512A" w14:textId="1FE3B831"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vAlign w:val="center"/>
          </w:tcPr>
          <w:p w14:paraId="2306637E" w14:textId="320E9842"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31.551,32</w:t>
            </w:r>
          </w:p>
        </w:tc>
      </w:tr>
      <w:tr w:rsidR="00851B1B" w:rsidRPr="007E7835" w14:paraId="206C67E6" w14:textId="77777777" w:rsidTr="005644E5">
        <w:trPr>
          <w:trHeight w:val="283"/>
        </w:trPr>
        <w:tc>
          <w:tcPr>
            <w:tcW w:w="2436" w:type="dxa"/>
            <w:tcBorders>
              <w:top w:val="nil"/>
              <w:left w:val="nil"/>
              <w:bottom w:val="nil"/>
              <w:right w:val="nil"/>
            </w:tcBorders>
            <w:shd w:val="clear" w:color="auto" w:fill="auto"/>
            <w:vAlign w:val="center"/>
            <w:hideMark/>
          </w:tcPr>
          <w:p w14:paraId="3E6B6F83" w14:textId="77777777" w:rsidR="00851B1B" w:rsidRPr="007E7835"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Mobiliario</w:t>
            </w:r>
          </w:p>
        </w:tc>
        <w:tc>
          <w:tcPr>
            <w:tcW w:w="1279" w:type="dxa"/>
            <w:tcBorders>
              <w:top w:val="nil"/>
              <w:left w:val="nil"/>
              <w:bottom w:val="nil"/>
              <w:right w:val="nil"/>
            </w:tcBorders>
            <w:shd w:val="clear" w:color="auto" w:fill="auto"/>
            <w:vAlign w:val="center"/>
            <w:hideMark/>
          </w:tcPr>
          <w:p w14:paraId="3AA1BFF8" w14:textId="1081DACE"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418.196,14</w:t>
            </w:r>
          </w:p>
        </w:tc>
        <w:tc>
          <w:tcPr>
            <w:tcW w:w="1246" w:type="dxa"/>
            <w:tcBorders>
              <w:top w:val="nil"/>
              <w:left w:val="nil"/>
              <w:bottom w:val="nil"/>
              <w:right w:val="nil"/>
            </w:tcBorders>
            <w:shd w:val="clear" w:color="auto" w:fill="auto"/>
            <w:vAlign w:val="center"/>
          </w:tcPr>
          <w:p w14:paraId="6A4E5C97" w14:textId="19F2747A"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26.445,87</w:t>
            </w:r>
          </w:p>
        </w:tc>
        <w:tc>
          <w:tcPr>
            <w:tcW w:w="1237" w:type="dxa"/>
            <w:tcBorders>
              <w:top w:val="nil"/>
              <w:left w:val="nil"/>
              <w:bottom w:val="nil"/>
              <w:right w:val="nil"/>
            </w:tcBorders>
            <w:shd w:val="clear" w:color="auto" w:fill="auto"/>
            <w:vAlign w:val="center"/>
          </w:tcPr>
          <w:p w14:paraId="5B430257" w14:textId="59A48B91"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 xml:space="preserve"> -</w:t>
            </w:r>
          </w:p>
        </w:tc>
        <w:tc>
          <w:tcPr>
            <w:tcW w:w="1243" w:type="dxa"/>
            <w:tcBorders>
              <w:top w:val="nil"/>
              <w:left w:val="nil"/>
              <w:bottom w:val="nil"/>
              <w:right w:val="nil"/>
            </w:tcBorders>
            <w:shd w:val="clear" w:color="auto" w:fill="auto"/>
            <w:vAlign w:val="center"/>
          </w:tcPr>
          <w:p w14:paraId="34BDBC9E" w14:textId="7E1DE898"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vAlign w:val="center"/>
          </w:tcPr>
          <w:p w14:paraId="6DF9BA49" w14:textId="74F3E2A2"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444.642,01</w:t>
            </w:r>
          </w:p>
        </w:tc>
      </w:tr>
      <w:tr w:rsidR="00851B1B" w:rsidRPr="007E7835" w14:paraId="5C63BF0C" w14:textId="77777777" w:rsidTr="005644E5">
        <w:trPr>
          <w:trHeight w:val="283"/>
        </w:trPr>
        <w:tc>
          <w:tcPr>
            <w:tcW w:w="2436" w:type="dxa"/>
            <w:tcBorders>
              <w:top w:val="nil"/>
              <w:left w:val="nil"/>
              <w:bottom w:val="nil"/>
              <w:right w:val="nil"/>
            </w:tcBorders>
            <w:shd w:val="clear" w:color="auto" w:fill="auto"/>
            <w:vAlign w:val="center"/>
            <w:hideMark/>
          </w:tcPr>
          <w:p w14:paraId="79DAB340" w14:textId="77777777" w:rsidR="00851B1B" w:rsidRPr="007E7835"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Otro inmovilizado</w:t>
            </w:r>
          </w:p>
        </w:tc>
        <w:tc>
          <w:tcPr>
            <w:tcW w:w="1279" w:type="dxa"/>
            <w:tcBorders>
              <w:top w:val="nil"/>
              <w:left w:val="nil"/>
              <w:bottom w:val="nil"/>
              <w:right w:val="nil"/>
            </w:tcBorders>
            <w:shd w:val="clear" w:color="auto" w:fill="auto"/>
            <w:vAlign w:val="center"/>
            <w:hideMark/>
          </w:tcPr>
          <w:p w14:paraId="561B9024" w14:textId="6E0E653F"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328.149,50</w:t>
            </w:r>
          </w:p>
        </w:tc>
        <w:tc>
          <w:tcPr>
            <w:tcW w:w="1246" w:type="dxa"/>
            <w:tcBorders>
              <w:top w:val="nil"/>
              <w:left w:val="nil"/>
              <w:bottom w:val="nil"/>
              <w:right w:val="nil"/>
            </w:tcBorders>
            <w:shd w:val="clear" w:color="auto" w:fill="auto"/>
            <w:vAlign w:val="center"/>
          </w:tcPr>
          <w:p w14:paraId="7A759283" w14:textId="056B217C"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31.340,76</w:t>
            </w:r>
          </w:p>
        </w:tc>
        <w:tc>
          <w:tcPr>
            <w:tcW w:w="1237" w:type="dxa"/>
            <w:tcBorders>
              <w:top w:val="nil"/>
              <w:left w:val="nil"/>
              <w:bottom w:val="nil"/>
              <w:right w:val="nil"/>
            </w:tcBorders>
            <w:shd w:val="clear" w:color="auto" w:fill="auto"/>
            <w:vAlign w:val="center"/>
          </w:tcPr>
          <w:p w14:paraId="0B8298D7" w14:textId="188B0EA6"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(891,79)</w:t>
            </w:r>
          </w:p>
        </w:tc>
        <w:tc>
          <w:tcPr>
            <w:tcW w:w="1243" w:type="dxa"/>
            <w:tcBorders>
              <w:top w:val="nil"/>
              <w:left w:val="nil"/>
              <w:bottom w:val="nil"/>
              <w:right w:val="nil"/>
            </w:tcBorders>
            <w:shd w:val="clear" w:color="auto" w:fill="auto"/>
            <w:vAlign w:val="center"/>
          </w:tcPr>
          <w:p w14:paraId="2C2E1D4A" w14:textId="5C710348"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vAlign w:val="center"/>
          </w:tcPr>
          <w:p w14:paraId="002667AB" w14:textId="4B4A45B4" w:rsidR="00851B1B" w:rsidRPr="007639B1" w:rsidRDefault="00851B1B" w:rsidP="00851B1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358.598,47</w:t>
            </w:r>
          </w:p>
        </w:tc>
      </w:tr>
      <w:tr w:rsidR="00E95C1B" w:rsidRPr="007E7835" w14:paraId="45366F15" w14:textId="77777777" w:rsidTr="005644E5">
        <w:trPr>
          <w:trHeight w:val="283"/>
        </w:trPr>
        <w:tc>
          <w:tcPr>
            <w:tcW w:w="2436" w:type="dxa"/>
            <w:tcBorders>
              <w:top w:val="nil"/>
              <w:left w:val="nil"/>
              <w:bottom w:val="nil"/>
              <w:right w:val="nil"/>
            </w:tcBorders>
            <w:shd w:val="clear" w:color="auto" w:fill="auto"/>
            <w:vAlign w:val="center"/>
          </w:tcPr>
          <w:p w14:paraId="042190CE" w14:textId="47102293" w:rsidR="00E95C1B" w:rsidRPr="007E7835" w:rsidRDefault="00E95C1B" w:rsidP="0000563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rFonts w:eastAsia="Times New Roman"/>
                <w:sz w:val="16"/>
                <w:szCs w:val="16"/>
                <w:bdr w:val="none" w:sz="0" w:space="0" w:color="auto"/>
                <w:lang w:eastAsia="es-ES"/>
              </w:rPr>
              <w:t xml:space="preserve">Anticipos </w:t>
            </w:r>
            <w:proofErr w:type="spellStart"/>
            <w:r>
              <w:rPr>
                <w:rFonts w:eastAsia="Times New Roman"/>
                <w:sz w:val="16"/>
                <w:szCs w:val="16"/>
                <w:bdr w:val="none" w:sz="0" w:space="0" w:color="auto"/>
                <w:lang w:eastAsia="es-ES"/>
              </w:rPr>
              <w:t>inmov</w:t>
            </w:r>
            <w:proofErr w:type="spellEnd"/>
            <w:r>
              <w:rPr>
                <w:rFonts w:eastAsia="Times New Roman"/>
                <w:sz w:val="16"/>
                <w:szCs w:val="16"/>
                <w:bdr w:val="none" w:sz="0" w:space="0" w:color="auto"/>
                <w:lang w:eastAsia="es-ES"/>
              </w:rPr>
              <w:t xml:space="preserve"> materiales</w:t>
            </w:r>
          </w:p>
        </w:tc>
        <w:tc>
          <w:tcPr>
            <w:tcW w:w="1279" w:type="dxa"/>
            <w:tcBorders>
              <w:top w:val="nil"/>
              <w:left w:val="nil"/>
              <w:bottom w:val="nil"/>
              <w:right w:val="nil"/>
            </w:tcBorders>
            <w:shd w:val="clear" w:color="auto" w:fill="auto"/>
            <w:vAlign w:val="center"/>
          </w:tcPr>
          <w:p w14:paraId="16BCE0F8" w14:textId="510B34A6" w:rsidR="00E95C1B" w:rsidRPr="007639B1" w:rsidRDefault="00E95C1B" w:rsidP="0000563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w:t>
            </w:r>
          </w:p>
        </w:tc>
        <w:tc>
          <w:tcPr>
            <w:tcW w:w="1246" w:type="dxa"/>
            <w:tcBorders>
              <w:top w:val="nil"/>
              <w:left w:val="nil"/>
              <w:bottom w:val="nil"/>
              <w:right w:val="nil"/>
            </w:tcBorders>
            <w:shd w:val="clear" w:color="auto" w:fill="auto"/>
            <w:vAlign w:val="center"/>
          </w:tcPr>
          <w:p w14:paraId="670F420E" w14:textId="0EAE07ED" w:rsidR="00E95C1B" w:rsidRPr="007639B1" w:rsidRDefault="00E95C1B" w:rsidP="00E95C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19.720,76</w:t>
            </w:r>
          </w:p>
        </w:tc>
        <w:tc>
          <w:tcPr>
            <w:tcW w:w="1237" w:type="dxa"/>
            <w:tcBorders>
              <w:top w:val="nil"/>
              <w:left w:val="nil"/>
              <w:bottom w:val="nil"/>
              <w:right w:val="nil"/>
            </w:tcBorders>
            <w:shd w:val="clear" w:color="auto" w:fill="auto"/>
            <w:vAlign w:val="center"/>
          </w:tcPr>
          <w:p w14:paraId="4F65F7FA" w14:textId="27A15911" w:rsidR="00E95C1B" w:rsidRPr="007639B1" w:rsidRDefault="002D4285" w:rsidP="0000563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tcPr>
          <w:p w14:paraId="15E70EBC" w14:textId="7697C8EE" w:rsidR="00E95C1B" w:rsidRPr="007639B1" w:rsidRDefault="00851B1B" w:rsidP="0000563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vAlign w:val="center"/>
          </w:tcPr>
          <w:p w14:paraId="5C2CFEC3" w14:textId="336BA19E" w:rsidR="00E95C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19.720,76</w:t>
            </w:r>
          </w:p>
        </w:tc>
      </w:tr>
      <w:tr w:rsidR="00E95C1B" w:rsidRPr="007E7835" w14:paraId="75ADEDAE" w14:textId="77777777" w:rsidTr="005644E5">
        <w:trPr>
          <w:trHeight w:val="283"/>
        </w:trPr>
        <w:tc>
          <w:tcPr>
            <w:tcW w:w="2436" w:type="dxa"/>
            <w:tcBorders>
              <w:top w:val="nil"/>
              <w:left w:val="nil"/>
              <w:bottom w:val="nil"/>
              <w:right w:val="nil"/>
            </w:tcBorders>
            <w:shd w:val="clear" w:color="auto" w:fill="auto"/>
            <w:vAlign w:val="center"/>
            <w:hideMark/>
          </w:tcPr>
          <w:p w14:paraId="79A5047A" w14:textId="77777777" w:rsidR="00E95C1B" w:rsidRPr="007E7835" w:rsidRDefault="00E95C1B" w:rsidP="00E95C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p>
        </w:tc>
        <w:tc>
          <w:tcPr>
            <w:tcW w:w="1279" w:type="dxa"/>
            <w:tcBorders>
              <w:top w:val="single" w:sz="4" w:space="0" w:color="auto"/>
              <w:left w:val="nil"/>
              <w:bottom w:val="single" w:sz="4" w:space="0" w:color="auto"/>
              <w:right w:val="nil"/>
            </w:tcBorders>
            <w:shd w:val="clear" w:color="auto" w:fill="auto"/>
            <w:vAlign w:val="center"/>
            <w:hideMark/>
          </w:tcPr>
          <w:p w14:paraId="4AA9B1BC" w14:textId="28F5FF78" w:rsidR="00E95C1B" w:rsidRPr="007639B1" w:rsidRDefault="00E95C1B" w:rsidP="00E95C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1.145.541,50</w:t>
            </w:r>
          </w:p>
        </w:tc>
        <w:tc>
          <w:tcPr>
            <w:tcW w:w="1246" w:type="dxa"/>
            <w:tcBorders>
              <w:top w:val="single" w:sz="4" w:space="0" w:color="auto"/>
              <w:left w:val="nil"/>
              <w:bottom w:val="single" w:sz="4" w:space="0" w:color="auto"/>
              <w:right w:val="nil"/>
            </w:tcBorders>
            <w:shd w:val="clear" w:color="auto" w:fill="auto"/>
            <w:vAlign w:val="center"/>
          </w:tcPr>
          <w:p w14:paraId="6B14450C" w14:textId="70AF3C83" w:rsidR="00E95C1B" w:rsidRPr="007639B1" w:rsidRDefault="00E95C1B" w:rsidP="00E95C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639B1">
              <w:rPr>
                <w:b/>
                <w:bCs/>
                <w:sz w:val="16"/>
                <w:szCs w:val="16"/>
              </w:rPr>
              <w:t>115.117,36</w:t>
            </w:r>
          </w:p>
        </w:tc>
        <w:tc>
          <w:tcPr>
            <w:tcW w:w="1237" w:type="dxa"/>
            <w:tcBorders>
              <w:top w:val="single" w:sz="4" w:space="0" w:color="auto"/>
              <w:left w:val="nil"/>
              <w:bottom w:val="single" w:sz="4" w:space="0" w:color="auto"/>
              <w:right w:val="nil"/>
            </w:tcBorders>
            <w:shd w:val="clear" w:color="auto" w:fill="auto"/>
            <w:vAlign w:val="center"/>
          </w:tcPr>
          <w:p w14:paraId="03A9CFB4" w14:textId="21D33179" w:rsidR="00E95C1B" w:rsidRPr="007639B1" w:rsidRDefault="00E95C1B" w:rsidP="00E95C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639B1">
              <w:rPr>
                <w:b/>
                <w:bCs/>
                <w:sz w:val="16"/>
                <w:szCs w:val="16"/>
              </w:rPr>
              <w:t>(891,79)</w:t>
            </w:r>
          </w:p>
        </w:tc>
        <w:tc>
          <w:tcPr>
            <w:tcW w:w="1243" w:type="dxa"/>
            <w:tcBorders>
              <w:top w:val="single" w:sz="4" w:space="0" w:color="auto"/>
              <w:left w:val="nil"/>
              <w:bottom w:val="single" w:sz="4" w:space="0" w:color="auto"/>
              <w:right w:val="nil"/>
            </w:tcBorders>
            <w:shd w:val="clear" w:color="auto" w:fill="auto"/>
            <w:vAlign w:val="center"/>
          </w:tcPr>
          <w:p w14:paraId="2491E710" w14:textId="61E2FF56" w:rsidR="00E95C1B" w:rsidRPr="007639B1" w:rsidRDefault="00E95C1B" w:rsidP="00E95C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w:t>
            </w:r>
          </w:p>
        </w:tc>
        <w:tc>
          <w:tcPr>
            <w:tcW w:w="1281" w:type="dxa"/>
            <w:tcBorders>
              <w:top w:val="single" w:sz="4" w:space="0" w:color="auto"/>
              <w:left w:val="nil"/>
              <w:bottom w:val="single" w:sz="4" w:space="0" w:color="auto"/>
              <w:right w:val="nil"/>
            </w:tcBorders>
            <w:shd w:val="clear" w:color="auto" w:fill="auto"/>
            <w:vAlign w:val="center"/>
          </w:tcPr>
          <w:p w14:paraId="0C5A0CE9" w14:textId="58083D57" w:rsidR="00E95C1B" w:rsidRPr="007639B1" w:rsidRDefault="00E95C1B" w:rsidP="00E95C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639B1">
              <w:rPr>
                <w:b/>
                <w:bCs/>
                <w:sz w:val="16"/>
                <w:szCs w:val="16"/>
              </w:rPr>
              <w:t>1.259.767,07</w:t>
            </w:r>
          </w:p>
        </w:tc>
      </w:tr>
      <w:tr w:rsidR="00005631" w:rsidRPr="007E7835" w14:paraId="0BBB21B8" w14:textId="77777777" w:rsidTr="00005631">
        <w:trPr>
          <w:trHeight w:val="108"/>
        </w:trPr>
        <w:tc>
          <w:tcPr>
            <w:tcW w:w="2436" w:type="dxa"/>
            <w:tcBorders>
              <w:top w:val="nil"/>
              <w:left w:val="nil"/>
              <w:bottom w:val="nil"/>
              <w:right w:val="nil"/>
            </w:tcBorders>
            <w:shd w:val="clear" w:color="auto" w:fill="auto"/>
            <w:vAlign w:val="center"/>
            <w:hideMark/>
          </w:tcPr>
          <w:p w14:paraId="2C841E67" w14:textId="77777777" w:rsidR="00005631" w:rsidRPr="007E7835" w:rsidRDefault="00005631" w:rsidP="0000563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Amortización</w:t>
            </w:r>
          </w:p>
        </w:tc>
        <w:tc>
          <w:tcPr>
            <w:tcW w:w="1279" w:type="dxa"/>
            <w:tcBorders>
              <w:top w:val="nil"/>
              <w:left w:val="nil"/>
              <w:bottom w:val="nil"/>
              <w:right w:val="nil"/>
            </w:tcBorders>
            <w:shd w:val="clear" w:color="auto" w:fill="auto"/>
            <w:vAlign w:val="center"/>
            <w:hideMark/>
          </w:tcPr>
          <w:p w14:paraId="638F285D" w14:textId="77777777" w:rsidR="00005631" w:rsidRPr="007639B1" w:rsidRDefault="00005631" w:rsidP="0000563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1246" w:type="dxa"/>
            <w:tcBorders>
              <w:top w:val="nil"/>
              <w:left w:val="nil"/>
              <w:bottom w:val="nil"/>
              <w:right w:val="nil"/>
            </w:tcBorders>
            <w:shd w:val="clear" w:color="auto" w:fill="auto"/>
            <w:vAlign w:val="center"/>
          </w:tcPr>
          <w:p w14:paraId="060C548D" w14:textId="77777777" w:rsidR="00005631" w:rsidRPr="007639B1" w:rsidRDefault="00005631" w:rsidP="0000563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37" w:type="dxa"/>
            <w:tcBorders>
              <w:top w:val="nil"/>
              <w:left w:val="nil"/>
              <w:bottom w:val="nil"/>
              <w:right w:val="nil"/>
            </w:tcBorders>
            <w:shd w:val="clear" w:color="auto" w:fill="auto"/>
            <w:vAlign w:val="center"/>
          </w:tcPr>
          <w:p w14:paraId="221453C1" w14:textId="77777777" w:rsidR="00005631" w:rsidRPr="007639B1" w:rsidRDefault="00005631" w:rsidP="0000563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43" w:type="dxa"/>
            <w:tcBorders>
              <w:top w:val="nil"/>
              <w:left w:val="nil"/>
              <w:bottom w:val="nil"/>
              <w:right w:val="nil"/>
            </w:tcBorders>
            <w:shd w:val="clear" w:color="auto" w:fill="auto"/>
            <w:vAlign w:val="center"/>
          </w:tcPr>
          <w:p w14:paraId="00DDE53D" w14:textId="77777777" w:rsidR="00005631" w:rsidRPr="007639B1" w:rsidRDefault="00005631" w:rsidP="0000563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81" w:type="dxa"/>
            <w:tcBorders>
              <w:top w:val="nil"/>
              <w:left w:val="nil"/>
              <w:bottom w:val="nil"/>
              <w:right w:val="nil"/>
            </w:tcBorders>
            <w:shd w:val="clear" w:color="auto" w:fill="auto"/>
            <w:vAlign w:val="center"/>
          </w:tcPr>
          <w:p w14:paraId="5BB00BA2" w14:textId="77777777" w:rsidR="00005631" w:rsidRPr="007639B1" w:rsidRDefault="00005631" w:rsidP="0000563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r>
      <w:tr w:rsidR="00851B1B" w:rsidRPr="007E7835" w14:paraId="28E5E460" w14:textId="77777777" w:rsidTr="005644E5">
        <w:trPr>
          <w:trHeight w:val="283"/>
        </w:trPr>
        <w:tc>
          <w:tcPr>
            <w:tcW w:w="2436" w:type="dxa"/>
            <w:tcBorders>
              <w:top w:val="nil"/>
              <w:left w:val="nil"/>
              <w:bottom w:val="nil"/>
              <w:right w:val="nil"/>
            </w:tcBorders>
            <w:shd w:val="clear" w:color="auto" w:fill="auto"/>
            <w:vAlign w:val="center"/>
            <w:hideMark/>
          </w:tcPr>
          <w:p w14:paraId="250942F2" w14:textId="77777777" w:rsidR="00851B1B" w:rsidRPr="007E7835"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Construcciones</w:t>
            </w:r>
          </w:p>
        </w:tc>
        <w:tc>
          <w:tcPr>
            <w:tcW w:w="1279" w:type="dxa"/>
            <w:tcBorders>
              <w:top w:val="nil"/>
              <w:left w:val="nil"/>
              <w:bottom w:val="nil"/>
              <w:right w:val="nil"/>
            </w:tcBorders>
            <w:shd w:val="clear" w:color="auto" w:fill="auto"/>
            <w:noWrap/>
            <w:vAlign w:val="center"/>
            <w:hideMark/>
          </w:tcPr>
          <w:p w14:paraId="6F5A131B" w14:textId="0FAD73A1"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639B1">
              <w:rPr>
                <w:rFonts w:eastAsia="Times New Roman"/>
                <w:color w:val="auto"/>
                <w:sz w:val="16"/>
                <w:szCs w:val="16"/>
                <w:bdr w:val="none" w:sz="0" w:space="0" w:color="auto"/>
                <w:lang w:eastAsia="es-ES"/>
              </w:rPr>
              <w:t>(117.093,33)</w:t>
            </w:r>
          </w:p>
        </w:tc>
        <w:tc>
          <w:tcPr>
            <w:tcW w:w="1246" w:type="dxa"/>
            <w:tcBorders>
              <w:top w:val="nil"/>
              <w:left w:val="nil"/>
              <w:bottom w:val="nil"/>
              <w:right w:val="nil"/>
            </w:tcBorders>
            <w:shd w:val="clear" w:color="auto" w:fill="auto"/>
            <w:noWrap/>
            <w:vAlign w:val="center"/>
          </w:tcPr>
          <w:p w14:paraId="6D9BE0CD" w14:textId="4E527B9A"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639B1">
              <w:rPr>
                <w:sz w:val="16"/>
                <w:szCs w:val="16"/>
              </w:rPr>
              <w:t>(62.268,74)</w:t>
            </w:r>
          </w:p>
        </w:tc>
        <w:tc>
          <w:tcPr>
            <w:tcW w:w="1237" w:type="dxa"/>
            <w:tcBorders>
              <w:top w:val="nil"/>
              <w:left w:val="nil"/>
              <w:bottom w:val="nil"/>
              <w:right w:val="nil"/>
            </w:tcBorders>
            <w:shd w:val="clear" w:color="auto" w:fill="auto"/>
            <w:vAlign w:val="center"/>
          </w:tcPr>
          <w:p w14:paraId="100C0B31" w14:textId="2DD3DB25"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tcPr>
          <w:p w14:paraId="39160DE0" w14:textId="48CEBF27"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noWrap/>
            <w:vAlign w:val="center"/>
          </w:tcPr>
          <w:p w14:paraId="1E1F1142" w14:textId="5134DFE9"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639B1">
              <w:rPr>
                <w:sz w:val="16"/>
                <w:szCs w:val="16"/>
              </w:rPr>
              <w:t>(179.362,07)</w:t>
            </w:r>
          </w:p>
        </w:tc>
      </w:tr>
      <w:tr w:rsidR="00851B1B" w:rsidRPr="007E7835" w14:paraId="475DE29C" w14:textId="77777777" w:rsidTr="005644E5">
        <w:trPr>
          <w:trHeight w:val="283"/>
        </w:trPr>
        <w:tc>
          <w:tcPr>
            <w:tcW w:w="2436" w:type="dxa"/>
            <w:tcBorders>
              <w:top w:val="nil"/>
              <w:left w:val="nil"/>
              <w:bottom w:val="nil"/>
              <w:right w:val="nil"/>
            </w:tcBorders>
            <w:shd w:val="clear" w:color="auto" w:fill="auto"/>
            <w:vAlign w:val="center"/>
            <w:hideMark/>
          </w:tcPr>
          <w:p w14:paraId="1676F0B9" w14:textId="77777777" w:rsidR="00851B1B" w:rsidRPr="007E7835"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Instalaciones técnicas</w:t>
            </w:r>
          </w:p>
        </w:tc>
        <w:tc>
          <w:tcPr>
            <w:tcW w:w="1279" w:type="dxa"/>
            <w:tcBorders>
              <w:top w:val="nil"/>
              <w:left w:val="nil"/>
              <w:bottom w:val="nil"/>
              <w:right w:val="nil"/>
            </w:tcBorders>
            <w:shd w:val="clear" w:color="auto" w:fill="auto"/>
            <w:noWrap/>
            <w:vAlign w:val="center"/>
            <w:hideMark/>
          </w:tcPr>
          <w:p w14:paraId="6BFDA55F" w14:textId="1ADAE02D"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639B1">
              <w:rPr>
                <w:rFonts w:eastAsia="Times New Roman"/>
                <w:color w:val="auto"/>
                <w:sz w:val="16"/>
                <w:szCs w:val="16"/>
                <w:bdr w:val="none" w:sz="0" w:space="0" w:color="auto"/>
                <w:lang w:eastAsia="es-ES"/>
              </w:rPr>
              <w:t>(31.551,32)</w:t>
            </w:r>
          </w:p>
        </w:tc>
        <w:tc>
          <w:tcPr>
            <w:tcW w:w="1246" w:type="dxa"/>
            <w:tcBorders>
              <w:top w:val="nil"/>
              <w:left w:val="nil"/>
              <w:bottom w:val="nil"/>
              <w:right w:val="nil"/>
            </w:tcBorders>
            <w:shd w:val="clear" w:color="auto" w:fill="auto"/>
            <w:noWrap/>
            <w:vAlign w:val="center"/>
          </w:tcPr>
          <w:p w14:paraId="7CBE283E" w14:textId="4D5CA361"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639B1">
              <w:rPr>
                <w:sz w:val="16"/>
                <w:szCs w:val="16"/>
              </w:rPr>
              <w:t xml:space="preserve"> -</w:t>
            </w:r>
          </w:p>
        </w:tc>
        <w:tc>
          <w:tcPr>
            <w:tcW w:w="1237" w:type="dxa"/>
            <w:tcBorders>
              <w:top w:val="nil"/>
              <w:left w:val="nil"/>
              <w:bottom w:val="nil"/>
              <w:right w:val="nil"/>
            </w:tcBorders>
            <w:shd w:val="clear" w:color="auto" w:fill="auto"/>
            <w:vAlign w:val="center"/>
          </w:tcPr>
          <w:p w14:paraId="261AC0BF" w14:textId="338AD9E8"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tcPr>
          <w:p w14:paraId="6B611A5A" w14:textId="0C5C37A0"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noWrap/>
            <w:vAlign w:val="center"/>
          </w:tcPr>
          <w:p w14:paraId="073CED07" w14:textId="747ED26C"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639B1">
              <w:rPr>
                <w:sz w:val="16"/>
                <w:szCs w:val="16"/>
              </w:rPr>
              <w:t>(31.551,32)</w:t>
            </w:r>
          </w:p>
        </w:tc>
      </w:tr>
      <w:tr w:rsidR="00D52E64" w:rsidRPr="007E7835" w14:paraId="0892D359" w14:textId="77777777" w:rsidTr="005644E5">
        <w:trPr>
          <w:trHeight w:val="283"/>
        </w:trPr>
        <w:tc>
          <w:tcPr>
            <w:tcW w:w="2436" w:type="dxa"/>
            <w:tcBorders>
              <w:top w:val="nil"/>
              <w:left w:val="nil"/>
              <w:bottom w:val="nil"/>
              <w:right w:val="nil"/>
            </w:tcBorders>
            <w:shd w:val="clear" w:color="auto" w:fill="auto"/>
            <w:vAlign w:val="center"/>
            <w:hideMark/>
          </w:tcPr>
          <w:p w14:paraId="77CB55EE" w14:textId="77777777" w:rsidR="00D52E64" w:rsidRPr="007E7835"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Mobiliario</w:t>
            </w:r>
          </w:p>
        </w:tc>
        <w:tc>
          <w:tcPr>
            <w:tcW w:w="1279" w:type="dxa"/>
            <w:tcBorders>
              <w:top w:val="nil"/>
              <w:left w:val="nil"/>
              <w:bottom w:val="nil"/>
              <w:right w:val="nil"/>
            </w:tcBorders>
            <w:shd w:val="clear" w:color="auto" w:fill="auto"/>
            <w:noWrap/>
            <w:vAlign w:val="center"/>
            <w:hideMark/>
          </w:tcPr>
          <w:p w14:paraId="4EAC94CE" w14:textId="21F95CD8" w:rsidR="00D52E64" w:rsidRPr="007639B1"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639B1">
              <w:rPr>
                <w:rFonts w:eastAsia="Times New Roman"/>
                <w:color w:val="auto"/>
                <w:sz w:val="16"/>
                <w:szCs w:val="16"/>
                <w:bdr w:val="none" w:sz="0" w:space="0" w:color="auto"/>
                <w:lang w:eastAsia="es-ES"/>
              </w:rPr>
              <w:t>(302.145,08)</w:t>
            </w:r>
          </w:p>
        </w:tc>
        <w:tc>
          <w:tcPr>
            <w:tcW w:w="1246" w:type="dxa"/>
            <w:tcBorders>
              <w:top w:val="nil"/>
              <w:left w:val="nil"/>
              <w:bottom w:val="nil"/>
              <w:right w:val="nil"/>
            </w:tcBorders>
            <w:shd w:val="clear" w:color="auto" w:fill="auto"/>
            <w:noWrap/>
            <w:vAlign w:val="center"/>
          </w:tcPr>
          <w:p w14:paraId="4DD57ABA" w14:textId="31A2F207" w:rsidR="00D52E64" w:rsidRPr="00D52E64"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D52E64">
              <w:rPr>
                <w:sz w:val="16"/>
                <w:szCs w:val="16"/>
              </w:rPr>
              <w:t>(21.103,60)</w:t>
            </w:r>
          </w:p>
        </w:tc>
        <w:tc>
          <w:tcPr>
            <w:tcW w:w="1237" w:type="dxa"/>
            <w:tcBorders>
              <w:top w:val="nil"/>
              <w:left w:val="nil"/>
              <w:bottom w:val="nil"/>
              <w:right w:val="nil"/>
            </w:tcBorders>
            <w:shd w:val="clear" w:color="auto" w:fill="auto"/>
            <w:vAlign w:val="center"/>
          </w:tcPr>
          <w:p w14:paraId="11D20DE3" w14:textId="503FAFCB" w:rsidR="00D52E64" w:rsidRPr="00D52E64"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D52E64">
              <w:rPr>
                <w:sz w:val="16"/>
                <w:szCs w:val="16"/>
              </w:rPr>
              <w:t xml:space="preserve">                      -     </w:t>
            </w:r>
          </w:p>
        </w:tc>
        <w:tc>
          <w:tcPr>
            <w:tcW w:w="1243" w:type="dxa"/>
            <w:tcBorders>
              <w:top w:val="nil"/>
              <w:left w:val="nil"/>
              <w:bottom w:val="nil"/>
              <w:right w:val="nil"/>
            </w:tcBorders>
            <w:shd w:val="clear" w:color="auto" w:fill="auto"/>
            <w:vAlign w:val="center"/>
          </w:tcPr>
          <w:p w14:paraId="426B688C" w14:textId="7F40EDA8" w:rsidR="00D52E64" w:rsidRPr="00D52E64"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D52E64">
              <w:rPr>
                <w:sz w:val="16"/>
                <w:szCs w:val="16"/>
              </w:rPr>
              <w:t xml:space="preserve">                      -     </w:t>
            </w:r>
          </w:p>
        </w:tc>
        <w:tc>
          <w:tcPr>
            <w:tcW w:w="1281" w:type="dxa"/>
            <w:tcBorders>
              <w:top w:val="nil"/>
              <w:left w:val="nil"/>
              <w:bottom w:val="nil"/>
              <w:right w:val="nil"/>
            </w:tcBorders>
            <w:shd w:val="clear" w:color="auto" w:fill="auto"/>
            <w:noWrap/>
            <w:vAlign w:val="center"/>
          </w:tcPr>
          <w:p w14:paraId="2D96ADB5" w14:textId="504A29E3" w:rsidR="00D52E64" w:rsidRPr="00D52E64"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D52E64">
              <w:rPr>
                <w:sz w:val="16"/>
                <w:szCs w:val="16"/>
              </w:rPr>
              <w:t>(323.248,68)</w:t>
            </w:r>
          </w:p>
        </w:tc>
      </w:tr>
      <w:tr w:rsidR="00D52E64" w:rsidRPr="007E7835" w14:paraId="6F951D1A" w14:textId="77777777" w:rsidTr="005644E5">
        <w:trPr>
          <w:trHeight w:val="283"/>
        </w:trPr>
        <w:tc>
          <w:tcPr>
            <w:tcW w:w="2436" w:type="dxa"/>
            <w:tcBorders>
              <w:top w:val="nil"/>
              <w:left w:val="nil"/>
              <w:bottom w:val="nil"/>
              <w:right w:val="nil"/>
            </w:tcBorders>
            <w:shd w:val="clear" w:color="auto" w:fill="auto"/>
            <w:vAlign w:val="center"/>
            <w:hideMark/>
          </w:tcPr>
          <w:p w14:paraId="03C2A19A" w14:textId="77777777" w:rsidR="00D52E64" w:rsidRPr="007E7835"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Otro inmovilizado</w:t>
            </w:r>
          </w:p>
        </w:tc>
        <w:tc>
          <w:tcPr>
            <w:tcW w:w="1279" w:type="dxa"/>
            <w:tcBorders>
              <w:top w:val="nil"/>
              <w:left w:val="nil"/>
              <w:bottom w:val="single" w:sz="4" w:space="0" w:color="auto"/>
              <w:right w:val="nil"/>
            </w:tcBorders>
            <w:shd w:val="clear" w:color="auto" w:fill="auto"/>
            <w:noWrap/>
            <w:vAlign w:val="center"/>
            <w:hideMark/>
          </w:tcPr>
          <w:p w14:paraId="5CBE411F" w14:textId="14A06087" w:rsidR="00D52E64" w:rsidRPr="007639B1"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639B1">
              <w:rPr>
                <w:rFonts w:eastAsia="Times New Roman"/>
                <w:color w:val="auto"/>
                <w:sz w:val="16"/>
                <w:szCs w:val="16"/>
                <w:bdr w:val="none" w:sz="0" w:space="0" w:color="auto"/>
                <w:lang w:eastAsia="es-ES"/>
              </w:rPr>
              <w:t>(272.557,42)</w:t>
            </w:r>
          </w:p>
        </w:tc>
        <w:tc>
          <w:tcPr>
            <w:tcW w:w="1246" w:type="dxa"/>
            <w:tcBorders>
              <w:top w:val="nil"/>
              <w:left w:val="nil"/>
              <w:bottom w:val="single" w:sz="4" w:space="0" w:color="auto"/>
              <w:right w:val="nil"/>
            </w:tcBorders>
            <w:shd w:val="clear" w:color="auto" w:fill="auto"/>
            <w:noWrap/>
            <w:vAlign w:val="center"/>
          </w:tcPr>
          <w:p w14:paraId="09D53A9A" w14:textId="50AC635A" w:rsidR="00D52E64" w:rsidRPr="00D52E64"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D52E64">
              <w:rPr>
                <w:sz w:val="16"/>
                <w:szCs w:val="16"/>
              </w:rPr>
              <w:t>(20.493,15)</w:t>
            </w:r>
          </w:p>
        </w:tc>
        <w:tc>
          <w:tcPr>
            <w:tcW w:w="1237" w:type="dxa"/>
            <w:tcBorders>
              <w:top w:val="nil"/>
              <w:left w:val="nil"/>
              <w:bottom w:val="nil"/>
              <w:right w:val="nil"/>
            </w:tcBorders>
            <w:shd w:val="clear" w:color="auto" w:fill="auto"/>
            <w:vAlign w:val="center"/>
          </w:tcPr>
          <w:p w14:paraId="5435CE7B" w14:textId="593FEBE7" w:rsidR="00D52E64" w:rsidRPr="00D52E64"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D52E64">
              <w:rPr>
                <w:sz w:val="16"/>
                <w:szCs w:val="16"/>
              </w:rPr>
              <w:t xml:space="preserve">             205,36   </w:t>
            </w:r>
          </w:p>
        </w:tc>
        <w:tc>
          <w:tcPr>
            <w:tcW w:w="1243" w:type="dxa"/>
            <w:tcBorders>
              <w:top w:val="nil"/>
              <w:left w:val="nil"/>
              <w:bottom w:val="nil"/>
              <w:right w:val="nil"/>
            </w:tcBorders>
            <w:shd w:val="clear" w:color="auto" w:fill="auto"/>
            <w:vAlign w:val="center"/>
          </w:tcPr>
          <w:p w14:paraId="2F3F28CA" w14:textId="1F9E2F2B" w:rsidR="00D52E64" w:rsidRPr="00D52E64"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D52E64">
              <w:rPr>
                <w:sz w:val="16"/>
                <w:szCs w:val="16"/>
              </w:rPr>
              <w:t xml:space="preserve">                      -     </w:t>
            </w:r>
          </w:p>
        </w:tc>
        <w:tc>
          <w:tcPr>
            <w:tcW w:w="1281" w:type="dxa"/>
            <w:tcBorders>
              <w:top w:val="nil"/>
              <w:left w:val="nil"/>
              <w:bottom w:val="single" w:sz="4" w:space="0" w:color="auto"/>
              <w:right w:val="nil"/>
            </w:tcBorders>
            <w:shd w:val="clear" w:color="auto" w:fill="auto"/>
            <w:noWrap/>
            <w:vAlign w:val="center"/>
          </w:tcPr>
          <w:p w14:paraId="250C9AA3" w14:textId="75CD8439" w:rsidR="00D52E64" w:rsidRPr="00D52E64"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D52E64">
              <w:rPr>
                <w:sz w:val="16"/>
                <w:szCs w:val="16"/>
              </w:rPr>
              <w:t>(292.845,21)</w:t>
            </w:r>
          </w:p>
        </w:tc>
      </w:tr>
      <w:tr w:rsidR="00D52E64" w:rsidRPr="007E7835" w14:paraId="2B9EFD0A" w14:textId="77777777" w:rsidTr="005644E5">
        <w:trPr>
          <w:trHeight w:val="283"/>
        </w:trPr>
        <w:tc>
          <w:tcPr>
            <w:tcW w:w="2436" w:type="dxa"/>
            <w:tcBorders>
              <w:top w:val="nil"/>
              <w:left w:val="nil"/>
              <w:bottom w:val="nil"/>
              <w:right w:val="nil"/>
            </w:tcBorders>
            <w:shd w:val="clear" w:color="auto" w:fill="auto"/>
            <w:vAlign w:val="center"/>
            <w:hideMark/>
          </w:tcPr>
          <w:p w14:paraId="468A6FFF" w14:textId="77777777" w:rsidR="00D52E64" w:rsidRPr="007E7835"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279" w:type="dxa"/>
            <w:tcBorders>
              <w:top w:val="nil"/>
              <w:left w:val="nil"/>
              <w:bottom w:val="nil"/>
              <w:right w:val="nil"/>
            </w:tcBorders>
            <w:shd w:val="clear" w:color="auto" w:fill="auto"/>
            <w:vAlign w:val="center"/>
            <w:hideMark/>
          </w:tcPr>
          <w:p w14:paraId="47F765B9" w14:textId="15ABEE29" w:rsidR="00D52E64" w:rsidRPr="007639B1"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(723.347,15)</w:t>
            </w:r>
          </w:p>
        </w:tc>
        <w:tc>
          <w:tcPr>
            <w:tcW w:w="1246" w:type="dxa"/>
            <w:tcBorders>
              <w:top w:val="nil"/>
              <w:left w:val="nil"/>
              <w:bottom w:val="nil"/>
              <w:right w:val="nil"/>
            </w:tcBorders>
            <w:shd w:val="clear" w:color="auto" w:fill="auto"/>
            <w:vAlign w:val="center"/>
          </w:tcPr>
          <w:p w14:paraId="79064D1C" w14:textId="5A9FD32F" w:rsidR="00D52E64" w:rsidRPr="00D52E64"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D52E64">
              <w:rPr>
                <w:b/>
                <w:bCs/>
                <w:sz w:val="16"/>
                <w:szCs w:val="16"/>
              </w:rPr>
              <w:t>(103.865,49)</w:t>
            </w:r>
          </w:p>
        </w:tc>
        <w:tc>
          <w:tcPr>
            <w:tcW w:w="1237" w:type="dxa"/>
            <w:tcBorders>
              <w:top w:val="single" w:sz="4" w:space="0" w:color="auto"/>
              <w:left w:val="nil"/>
              <w:bottom w:val="nil"/>
              <w:right w:val="nil"/>
            </w:tcBorders>
            <w:shd w:val="clear" w:color="auto" w:fill="auto"/>
            <w:vAlign w:val="center"/>
          </w:tcPr>
          <w:p w14:paraId="01C92263" w14:textId="7AEF65DF" w:rsidR="00D52E64" w:rsidRPr="00D52E64"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D52E64">
              <w:rPr>
                <w:b/>
                <w:bCs/>
                <w:sz w:val="16"/>
                <w:szCs w:val="16"/>
              </w:rPr>
              <w:t>205,36</w:t>
            </w:r>
          </w:p>
        </w:tc>
        <w:tc>
          <w:tcPr>
            <w:tcW w:w="1243" w:type="dxa"/>
            <w:tcBorders>
              <w:top w:val="single" w:sz="4" w:space="0" w:color="auto"/>
              <w:left w:val="nil"/>
              <w:bottom w:val="nil"/>
              <w:right w:val="nil"/>
            </w:tcBorders>
            <w:shd w:val="clear" w:color="auto" w:fill="auto"/>
            <w:vAlign w:val="center"/>
          </w:tcPr>
          <w:p w14:paraId="1C38E325" w14:textId="7CBD22C3" w:rsidR="00D52E64" w:rsidRPr="00D52E64"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D52E64">
              <w:rPr>
                <w:b/>
                <w:bCs/>
                <w:sz w:val="16"/>
                <w:szCs w:val="16"/>
              </w:rPr>
              <w:t xml:space="preserve"> -</w:t>
            </w:r>
          </w:p>
        </w:tc>
        <w:tc>
          <w:tcPr>
            <w:tcW w:w="1281" w:type="dxa"/>
            <w:tcBorders>
              <w:top w:val="nil"/>
              <w:left w:val="nil"/>
              <w:bottom w:val="nil"/>
              <w:right w:val="nil"/>
            </w:tcBorders>
            <w:shd w:val="clear" w:color="auto" w:fill="auto"/>
            <w:vAlign w:val="center"/>
          </w:tcPr>
          <w:p w14:paraId="4D6EB83E" w14:textId="2DDC85AC" w:rsidR="00D52E64" w:rsidRPr="00D52E64" w:rsidRDefault="00D52E64" w:rsidP="00D52E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D52E64">
              <w:rPr>
                <w:b/>
                <w:bCs/>
                <w:sz w:val="16"/>
                <w:szCs w:val="16"/>
              </w:rPr>
              <w:t>(827.007,28)</w:t>
            </w:r>
          </w:p>
        </w:tc>
      </w:tr>
      <w:tr w:rsidR="00851B1B" w:rsidRPr="007E7835" w14:paraId="3834F88C" w14:textId="77777777" w:rsidTr="005644E5">
        <w:trPr>
          <w:trHeight w:val="283"/>
        </w:trPr>
        <w:tc>
          <w:tcPr>
            <w:tcW w:w="2436" w:type="dxa"/>
            <w:tcBorders>
              <w:top w:val="single" w:sz="4" w:space="0" w:color="auto"/>
              <w:left w:val="nil"/>
              <w:bottom w:val="single" w:sz="4" w:space="0" w:color="auto"/>
              <w:right w:val="nil"/>
            </w:tcBorders>
            <w:shd w:val="clear" w:color="auto" w:fill="auto"/>
            <w:vAlign w:val="center"/>
            <w:hideMark/>
          </w:tcPr>
          <w:p w14:paraId="0D5E2C4C" w14:textId="77777777" w:rsidR="00851B1B" w:rsidRPr="007E7835"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Valor neto contable</w:t>
            </w:r>
          </w:p>
        </w:tc>
        <w:tc>
          <w:tcPr>
            <w:tcW w:w="1279" w:type="dxa"/>
            <w:tcBorders>
              <w:top w:val="single" w:sz="4" w:space="0" w:color="auto"/>
              <w:left w:val="nil"/>
              <w:bottom w:val="single" w:sz="4" w:space="0" w:color="auto"/>
              <w:right w:val="nil"/>
            </w:tcBorders>
            <w:shd w:val="clear" w:color="auto" w:fill="auto"/>
            <w:vAlign w:val="center"/>
            <w:hideMark/>
          </w:tcPr>
          <w:p w14:paraId="70D613E8" w14:textId="4127AAA6"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422.194,35</w:t>
            </w:r>
          </w:p>
        </w:tc>
        <w:tc>
          <w:tcPr>
            <w:tcW w:w="1246" w:type="dxa"/>
            <w:tcBorders>
              <w:top w:val="single" w:sz="4" w:space="0" w:color="auto"/>
              <w:left w:val="nil"/>
              <w:bottom w:val="single" w:sz="4" w:space="0" w:color="auto"/>
              <w:right w:val="nil"/>
            </w:tcBorders>
            <w:shd w:val="clear" w:color="auto" w:fill="auto"/>
            <w:vAlign w:val="center"/>
          </w:tcPr>
          <w:p w14:paraId="5FC6A33D" w14:textId="77777777"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237" w:type="dxa"/>
            <w:tcBorders>
              <w:top w:val="single" w:sz="4" w:space="0" w:color="auto"/>
              <w:left w:val="nil"/>
              <w:bottom w:val="single" w:sz="4" w:space="0" w:color="auto"/>
              <w:right w:val="nil"/>
            </w:tcBorders>
            <w:shd w:val="clear" w:color="auto" w:fill="auto"/>
            <w:vAlign w:val="center"/>
          </w:tcPr>
          <w:p w14:paraId="62715405" w14:textId="73EF5FDE"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243" w:type="dxa"/>
            <w:tcBorders>
              <w:top w:val="single" w:sz="4" w:space="0" w:color="auto"/>
              <w:left w:val="nil"/>
              <w:bottom w:val="single" w:sz="4" w:space="0" w:color="auto"/>
              <w:right w:val="nil"/>
            </w:tcBorders>
            <w:shd w:val="clear" w:color="auto" w:fill="auto"/>
            <w:vAlign w:val="center"/>
          </w:tcPr>
          <w:p w14:paraId="30B11D22" w14:textId="0ED3F1C9"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281" w:type="dxa"/>
            <w:tcBorders>
              <w:top w:val="single" w:sz="4" w:space="0" w:color="auto"/>
              <w:left w:val="nil"/>
              <w:bottom w:val="single" w:sz="4" w:space="0" w:color="auto"/>
              <w:right w:val="nil"/>
            </w:tcBorders>
            <w:shd w:val="clear" w:color="auto" w:fill="auto"/>
            <w:vAlign w:val="center"/>
          </w:tcPr>
          <w:p w14:paraId="15B7689C" w14:textId="5352E2CE" w:rsidR="00851B1B" w:rsidRPr="007639B1" w:rsidRDefault="00851B1B" w:rsidP="00851B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639B1">
              <w:rPr>
                <w:b/>
                <w:bCs/>
                <w:sz w:val="16"/>
                <w:szCs w:val="16"/>
              </w:rPr>
              <w:t>432.759,79</w:t>
            </w:r>
          </w:p>
        </w:tc>
      </w:tr>
    </w:tbl>
    <w:p w14:paraId="632FDE76" w14:textId="3F7BCBB9" w:rsidR="00AE6657" w:rsidRPr="005644E5" w:rsidRDefault="00AE6657" w:rsidP="005644E5">
      <w:pPr>
        <w:widowControl w:val="0"/>
        <w:spacing w:before="120" w:after="120" w:line="260" w:lineRule="exact"/>
        <w:ind w:left="284"/>
        <w:jc w:val="both"/>
        <w:outlineLvl w:val="9"/>
        <w:rPr>
          <w:snapToGrid w:val="0"/>
          <w:sz w:val="20"/>
          <w:szCs w:val="22"/>
        </w:rPr>
      </w:pPr>
      <w:r w:rsidRPr="005644E5">
        <w:rPr>
          <w:snapToGrid w:val="0"/>
          <w:sz w:val="20"/>
          <w:szCs w:val="22"/>
        </w:rPr>
        <w:t>Las altas del ejercicio 202</w:t>
      </w:r>
      <w:r w:rsidR="007579CC" w:rsidRPr="005644E5">
        <w:rPr>
          <w:snapToGrid w:val="0"/>
          <w:sz w:val="20"/>
          <w:szCs w:val="22"/>
        </w:rPr>
        <w:t>1</w:t>
      </w:r>
      <w:r w:rsidRPr="005644E5">
        <w:rPr>
          <w:snapToGrid w:val="0"/>
          <w:sz w:val="20"/>
          <w:szCs w:val="22"/>
        </w:rPr>
        <w:t xml:space="preserve"> se corresponden principalmente a la compra de equipos para procesos de información y mobiliario para sus oficinas.</w:t>
      </w:r>
    </w:p>
    <w:p w14:paraId="3E763946" w14:textId="087B212C" w:rsidR="006220A2"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El detalle y movimiento de</w:t>
      </w:r>
      <w:r w:rsidR="005644E5">
        <w:rPr>
          <w:snapToGrid w:val="0"/>
          <w:sz w:val="20"/>
          <w:szCs w:val="22"/>
        </w:rPr>
        <w:t>l</w:t>
      </w:r>
      <w:r w:rsidRPr="005644E5">
        <w:rPr>
          <w:snapToGrid w:val="0"/>
          <w:sz w:val="20"/>
          <w:szCs w:val="22"/>
        </w:rPr>
        <w:t xml:space="preserve"> “Inmovilizado material” en el ejercicio 20</w:t>
      </w:r>
      <w:r w:rsidR="00814174" w:rsidRPr="005644E5">
        <w:rPr>
          <w:snapToGrid w:val="0"/>
          <w:sz w:val="20"/>
          <w:szCs w:val="22"/>
        </w:rPr>
        <w:t>20</w:t>
      </w:r>
      <w:r w:rsidR="00BE5DE6" w:rsidRPr="005644E5">
        <w:rPr>
          <w:snapToGrid w:val="0"/>
          <w:sz w:val="20"/>
          <w:szCs w:val="22"/>
        </w:rPr>
        <w:t xml:space="preserve"> es el </w:t>
      </w:r>
      <w:r w:rsidRPr="005644E5">
        <w:rPr>
          <w:snapToGrid w:val="0"/>
          <w:sz w:val="20"/>
          <w:szCs w:val="22"/>
        </w:rPr>
        <w:t>siguiente:</w:t>
      </w:r>
    </w:p>
    <w:tbl>
      <w:tblPr>
        <w:tblW w:w="8722" w:type="dxa"/>
        <w:tblCellMar>
          <w:left w:w="70" w:type="dxa"/>
          <w:right w:w="70" w:type="dxa"/>
        </w:tblCellMar>
        <w:tblLook w:val="04A0" w:firstRow="1" w:lastRow="0" w:firstColumn="1" w:lastColumn="0" w:noHBand="0" w:noVBand="1"/>
      </w:tblPr>
      <w:tblGrid>
        <w:gridCol w:w="2436"/>
        <w:gridCol w:w="1279"/>
        <w:gridCol w:w="1246"/>
        <w:gridCol w:w="1237"/>
        <w:gridCol w:w="1243"/>
        <w:gridCol w:w="1281"/>
      </w:tblGrid>
      <w:tr w:rsidR="008F20A3" w:rsidRPr="007E7835" w14:paraId="2F0C4C2B" w14:textId="77777777" w:rsidTr="004772D1">
        <w:trPr>
          <w:trHeight w:val="195"/>
        </w:trPr>
        <w:tc>
          <w:tcPr>
            <w:tcW w:w="2436" w:type="dxa"/>
            <w:tcBorders>
              <w:top w:val="single" w:sz="4" w:space="0" w:color="auto"/>
              <w:left w:val="nil"/>
              <w:bottom w:val="nil"/>
              <w:right w:val="nil"/>
            </w:tcBorders>
            <w:shd w:val="clear" w:color="auto" w:fill="auto"/>
            <w:vAlign w:val="center"/>
            <w:hideMark/>
          </w:tcPr>
          <w:p w14:paraId="6A172E31"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6286" w:type="dxa"/>
            <w:gridSpan w:val="5"/>
            <w:tcBorders>
              <w:top w:val="single" w:sz="4" w:space="0" w:color="auto"/>
              <w:left w:val="nil"/>
              <w:bottom w:val="single" w:sz="4" w:space="0" w:color="auto"/>
              <w:right w:val="nil"/>
            </w:tcBorders>
            <w:shd w:val="clear" w:color="auto" w:fill="auto"/>
            <w:vAlign w:val="center"/>
            <w:hideMark/>
          </w:tcPr>
          <w:p w14:paraId="1653FC8C"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8F20A3" w:rsidRPr="007E7835" w14:paraId="23CAAE0D" w14:textId="77777777" w:rsidTr="004772D1">
        <w:trPr>
          <w:trHeight w:val="390"/>
        </w:trPr>
        <w:tc>
          <w:tcPr>
            <w:tcW w:w="2436" w:type="dxa"/>
            <w:tcBorders>
              <w:top w:val="nil"/>
              <w:left w:val="nil"/>
              <w:bottom w:val="single" w:sz="4" w:space="0" w:color="auto"/>
              <w:right w:val="nil"/>
            </w:tcBorders>
            <w:shd w:val="clear" w:color="auto" w:fill="auto"/>
            <w:vAlign w:val="center"/>
            <w:hideMark/>
          </w:tcPr>
          <w:p w14:paraId="05D2E823"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1279" w:type="dxa"/>
            <w:tcBorders>
              <w:top w:val="nil"/>
              <w:left w:val="nil"/>
              <w:bottom w:val="single" w:sz="4" w:space="0" w:color="auto"/>
              <w:right w:val="nil"/>
            </w:tcBorders>
            <w:shd w:val="clear" w:color="auto" w:fill="auto"/>
            <w:vAlign w:val="bottom"/>
            <w:hideMark/>
          </w:tcPr>
          <w:p w14:paraId="07204A61" w14:textId="5CE1B74B"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Saldo al </w:t>
            </w:r>
            <w:r w:rsidR="005644E5">
              <w:rPr>
                <w:rFonts w:eastAsia="Times New Roman"/>
                <w:b/>
                <w:bCs/>
                <w:sz w:val="16"/>
                <w:szCs w:val="16"/>
                <w:bdr w:val="none" w:sz="0" w:space="0" w:color="auto"/>
                <w:lang w:eastAsia="es-ES"/>
              </w:rPr>
              <w:t>01/01/2020</w:t>
            </w:r>
          </w:p>
        </w:tc>
        <w:tc>
          <w:tcPr>
            <w:tcW w:w="1246" w:type="dxa"/>
            <w:tcBorders>
              <w:top w:val="nil"/>
              <w:left w:val="nil"/>
              <w:bottom w:val="single" w:sz="4" w:space="0" w:color="auto"/>
              <w:right w:val="nil"/>
            </w:tcBorders>
            <w:shd w:val="clear" w:color="auto" w:fill="auto"/>
            <w:vAlign w:val="bottom"/>
            <w:hideMark/>
          </w:tcPr>
          <w:p w14:paraId="7CD21F89"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Altas</w:t>
            </w:r>
          </w:p>
        </w:tc>
        <w:tc>
          <w:tcPr>
            <w:tcW w:w="1237" w:type="dxa"/>
            <w:tcBorders>
              <w:top w:val="nil"/>
              <w:left w:val="nil"/>
              <w:bottom w:val="single" w:sz="4" w:space="0" w:color="auto"/>
              <w:right w:val="nil"/>
            </w:tcBorders>
            <w:shd w:val="clear" w:color="auto" w:fill="auto"/>
            <w:vAlign w:val="bottom"/>
            <w:hideMark/>
          </w:tcPr>
          <w:p w14:paraId="2410C2BB"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Bajas</w:t>
            </w:r>
          </w:p>
        </w:tc>
        <w:tc>
          <w:tcPr>
            <w:tcW w:w="1243" w:type="dxa"/>
            <w:tcBorders>
              <w:top w:val="nil"/>
              <w:left w:val="nil"/>
              <w:bottom w:val="single" w:sz="4" w:space="0" w:color="auto"/>
              <w:right w:val="nil"/>
            </w:tcBorders>
            <w:shd w:val="clear" w:color="auto" w:fill="auto"/>
            <w:vAlign w:val="bottom"/>
            <w:hideMark/>
          </w:tcPr>
          <w:p w14:paraId="320B526E"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Traspasos</w:t>
            </w:r>
          </w:p>
        </w:tc>
        <w:tc>
          <w:tcPr>
            <w:tcW w:w="1281" w:type="dxa"/>
            <w:tcBorders>
              <w:top w:val="nil"/>
              <w:left w:val="nil"/>
              <w:bottom w:val="single" w:sz="4" w:space="0" w:color="auto"/>
              <w:right w:val="nil"/>
            </w:tcBorders>
            <w:shd w:val="clear" w:color="auto" w:fill="auto"/>
            <w:vAlign w:val="bottom"/>
            <w:hideMark/>
          </w:tcPr>
          <w:p w14:paraId="77661F46"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Saldo al 31/12/2020</w:t>
            </w:r>
          </w:p>
        </w:tc>
      </w:tr>
      <w:tr w:rsidR="008F20A3" w:rsidRPr="007E7835" w14:paraId="61E933EB" w14:textId="77777777" w:rsidTr="004772D1">
        <w:trPr>
          <w:trHeight w:val="255"/>
        </w:trPr>
        <w:tc>
          <w:tcPr>
            <w:tcW w:w="2436" w:type="dxa"/>
            <w:tcBorders>
              <w:top w:val="nil"/>
              <w:left w:val="nil"/>
              <w:bottom w:val="nil"/>
              <w:right w:val="nil"/>
            </w:tcBorders>
            <w:shd w:val="clear" w:color="auto" w:fill="auto"/>
            <w:vAlign w:val="center"/>
            <w:hideMark/>
          </w:tcPr>
          <w:p w14:paraId="3183F8AC"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Coste</w:t>
            </w:r>
          </w:p>
        </w:tc>
        <w:tc>
          <w:tcPr>
            <w:tcW w:w="1279" w:type="dxa"/>
            <w:tcBorders>
              <w:top w:val="nil"/>
              <w:left w:val="nil"/>
              <w:bottom w:val="nil"/>
              <w:right w:val="nil"/>
            </w:tcBorders>
            <w:shd w:val="clear" w:color="auto" w:fill="auto"/>
            <w:vAlign w:val="center"/>
            <w:hideMark/>
          </w:tcPr>
          <w:p w14:paraId="2EE7B10F"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1246" w:type="dxa"/>
            <w:tcBorders>
              <w:top w:val="nil"/>
              <w:left w:val="nil"/>
              <w:bottom w:val="nil"/>
              <w:right w:val="nil"/>
            </w:tcBorders>
            <w:shd w:val="clear" w:color="auto" w:fill="auto"/>
            <w:vAlign w:val="center"/>
            <w:hideMark/>
          </w:tcPr>
          <w:p w14:paraId="0980465F"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237" w:type="dxa"/>
            <w:tcBorders>
              <w:top w:val="nil"/>
              <w:left w:val="nil"/>
              <w:bottom w:val="nil"/>
              <w:right w:val="nil"/>
            </w:tcBorders>
            <w:shd w:val="clear" w:color="auto" w:fill="auto"/>
            <w:vAlign w:val="center"/>
            <w:hideMark/>
          </w:tcPr>
          <w:p w14:paraId="19186DA6"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243" w:type="dxa"/>
            <w:tcBorders>
              <w:top w:val="nil"/>
              <w:left w:val="nil"/>
              <w:bottom w:val="nil"/>
              <w:right w:val="nil"/>
            </w:tcBorders>
            <w:shd w:val="clear" w:color="auto" w:fill="auto"/>
            <w:vAlign w:val="center"/>
            <w:hideMark/>
          </w:tcPr>
          <w:p w14:paraId="5933498D"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281" w:type="dxa"/>
            <w:tcBorders>
              <w:top w:val="nil"/>
              <w:left w:val="nil"/>
              <w:bottom w:val="nil"/>
              <w:right w:val="nil"/>
            </w:tcBorders>
            <w:shd w:val="clear" w:color="auto" w:fill="auto"/>
            <w:vAlign w:val="center"/>
            <w:hideMark/>
          </w:tcPr>
          <w:p w14:paraId="1F9994AB"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r>
      <w:tr w:rsidR="008F20A3" w:rsidRPr="007E7835" w14:paraId="72FCA8F6" w14:textId="77777777" w:rsidTr="005644E5">
        <w:trPr>
          <w:trHeight w:val="283"/>
        </w:trPr>
        <w:tc>
          <w:tcPr>
            <w:tcW w:w="2436" w:type="dxa"/>
            <w:tcBorders>
              <w:top w:val="nil"/>
              <w:left w:val="nil"/>
              <w:bottom w:val="nil"/>
              <w:right w:val="nil"/>
            </w:tcBorders>
            <w:shd w:val="clear" w:color="auto" w:fill="auto"/>
            <w:vAlign w:val="center"/>
            <w:hideMark/>
          </w:tcPr>
          <w:p w14:paraId="4A79A95E"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Construcciones</w:t>
            </w:r>
          </w:p>
        </w:tc>
        <w:tc>
          <w:tcPr>
            <w:tcW w:w="1279" w:type="dxa"/>
            <w:tcBorders>
              <w:top w:val="nil"/>
              <w:left w:val="nil"/>
              <w:bottom w:val="nil"/>
              <w:right w:val="nil"/>
            </w:tcBorders>
            <w:shd w:val="clear" w:color="auto" w:fill="auto"/>
            <w:vAlign w:val="center"/>
            <w:hideMark/>
          </w:tcPr>
          <w:p w14:paraId="386363AD"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367.644,54</w:t>
            </w:r>
          </w:p>
        </w:tc>
        <w:tc>
          <w:tcPr>
            <w:tcW w:w="1246" w:type="dxa"/>
            <w:tcBorders>
              <w:top w:val="nil"/>
              <w:left w:val="nil"/>
              <w:bottom w:val="nil"/>
              <w:right w:val="nil"/>
            </w:tcBorders>
            <w:shd w:val="clear" w:color="auto" w:fill="auto"/>
            <w:vAlign w:val="center"/>
            <w:hideMark/>
          </w:tcPr>
          <w:p w14:paraId="57F3A63C"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xml:space="preserve">-     </w:t>
            </w:r>
          </w:p>
        </w:tc>
        <w:tc>
          <w:tcPr>
            <w:tcW w:w="1237" w:type="dxa"/>
            <w:tcBorders>
              <w:top w:val="nil"/>
              <w:left w:val="nil"/>
              <w:bottom w:val="nil"/>
              <w:right w:val="nil"/>
            </w:tcBorders>
            <w:shd w:val="clear" w:color="auto" w:fill="auto"/>
            <w:vAlign w:val="center"/>
            <w:hideMark/>
          </w:tcPr>
          <w:p w14:paraId="393D2317"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7977F448"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vAlign w:val="center"/>
            <w:hideMark/>
          </w:tcPr>
          <w:p w14:paraId="09E36093"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367.644,54</w:t>
            </w:r>
          </w:p>
        </w:tc>
      </w:tr>
      <w:tr w:rsidR="008F20A3" w:rsidRPr="007E7835" w14:paraId="6643D438" w14:textId="77777777" w:rsidTr="005644E5">
        <w:trPr>
          <w:trHeight w:val="283"/>
        </w:trPr>
        <w:tc>
          <w:tcPr>
            <w:tcW w:w="2436" w:type="dxa"/>
            <w:tcBorders>
              <w:top w:val="nil"/>
              <w:left w:val="nil"/>
              <w:bottom w:val="nil"/>
              <w:right w:val="nil"/>
            </w:tcBorders>
            <w:shd w:val="clear" w:color="auto" w:fill="auto"/>
            <w:vAlign w:val="center"/>
            <w:hideMark/>
          </w:tcPr>
          <w:p w14:paraId="61EAE318"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Instalaciones técnicas</w:t>
            </w:r>
          </w:p>
        </w:tc>
        <w:tc>
          <w:tcPr>
            <w:tcW w:w="1279" w:type="dxa"/>
            <w:tcBorders>
              <w:top w:val="nil"/>
              <w:left w:val="nil"/>
              <w:bottom w:val="nil"/>
              <w:right w:val="nil"/>
            </w:tcBorders>
            <w:shd w:val="clear" w:color="auto" w:fill="auto"/>
            <w:vAlign w:val="center"/>
            <w:hideMark/>
          </w:tcPr>
          <w:p w14:paraId="0B170822"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31.551,32</w:t>
            </w:r>
          </w:p>
        </w:tc>
        <w:tc>
          <w:tcPr>
            <w:tcW w:w="1246" w:type="dxa"/>
            <w:tcBorders>
              <w:top w:val="nil"/>
              <w:left w:val="nil"/>
              <w:bottom w:val="nil"/>
              <w:right w:val="nil"/>
            </w:tcBorders>
            <w:shd w:val="clear" w:color="auto" w:fill="auto"/>
            <w:vAlign w:val="center"/>
            <w:hideMark/>
          </w:tcPr>
          <w:p w14:paraId="0D9FAFDC"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37" w:type="dxa"/>
            <w:tcBorders>
              <w:top w:val="nil"/>
              <w:left w:val="nil"/>
              <w:bottom w:val="nil"/>
              <w:right w:val="nil"/>
            </w:tcBorders>
            <w:shd w:val="clear" w:color="auto" w:fill="auto"/>
            <w:vAlign w:val="center"/>
            <w:hideMark/>
          </w:tcPr>
          <w:p w14:paraId="422A448B"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6A94561F"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vAlign w:val="center"/>
            <w:hideMark/>
          </w:tcPr>
          <w:p w14:paraId="57B8C3FE"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31.551,32</w:t>
            </w:r>
          </w:p>
        </w:tc>
      </w:tr>
      <w:tr w:rsidR="008F20A3" w:rsidRPr="007E7835" w14:paraId="1E34372E" w14:textId="77777777" w:rsidTr="005644E5">
        <w:trPr>
          <w:trHeight w:val="283"/>
        </w:trPr>
        <w:tc>
          <w:tcPr>
            <w:tcW w:w="2436" w:type="dxa"/>
            <w:tcBorders>
              <w:top w:val="nil"/>
              <w:left w:val="nil"/>
              <w:bottom w:val="nil"/>
              <w:right w:val="nil"/>
            </w:tcBorders>
            <w:shd w:val="clear" w:color="auto" w:fill="auto"/>
            <w:vAlign w:val="center"/>
            <w:hideMark/>
          </w:tcPr>
          <w:p w14:paraId="5331463A"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Mobiliario</w:t>
            </w:r>
          </w:p>
        </w:tc>
        <w:tc>
          <w:tcPr>
            <w:tcW w:w="1279" w:type="dxa"/>
            <w:tcBorders>
              <w:top w:val="nil"/>
              <w:left w:val="nil"/>
              <w:bottom w:val="nil"/>
              <w:right w:val="nil"/>
            </w:tcBorders>
            <w:shd w:val="clear" w:color="auto" w:fill="auto"/>
            <w:vAlign w:val="center"/>
            <w:hideMark/>
          </w:tcPr>
          <w:p w14:paraId="24600FC4"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392.451,40</w:t>
            </w:r>
          </w:p>
        </w:tc>
        <w:tc>
          <w:tcPr>
            <w:tcW w:w="1246" w:type="dxa"/>
            <w:tcBorders>
              <w:top w:val="nil"/>
              <w:left w:val="nil"/>
              <w:bottom w:val="nil"/>
              <w:right w:val="nil"/>
            </w:tcBorders>
            <w:shd w:val="clear" w:color="auto" w:fill="auto"/>
            <w:vAlign w:val="center"/>
            <w:hideMark/>
          </w:tcPr>
          <w:p w14:paraId="14498CE0"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25.744,74</w:t>
            </w:r>
          </w:p>
        </w:tc>
        <w:tc>
          <w:tcPr>
            <w:tcW w:w="1237" w:type="dxa"/>
            <w:tcBorders>
              <w:top w:val="nil"/>
              <w:left w:val="nil"/>
              <w:bottom w:val="nil"/>
              <w:right w:val="nil"/>
            </w:tcBorders>
            <w:shd w:val="clear" w:color="auto" w:fill="auto"/>
            <w:vAlign w:val="center"/>
            <w:hideMark/>
          </w:tcPr>
          <w:p w14:paraId="64AE2977"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0879AE00"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vAlign w:val="center"/>
            <w:hideMark/>
          </w:tcPr>
          <w:p w14:paraId="3F14DB77"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418.196,14</w:t>
            </w:r>
          </w:p>
        </w:tc>
      </w:tr>
      <w:tr w:rsidR="008F20A3" w:rsidRPr="007E7835" w14:paraId="64BEAE08" w14:textId="77777777" w:rsidTr="005644E5">
        <w:trPr>
          <w:trHeight w:val="283"/>
        </w:trPr>
        <w:tc>
          <w:tcPr>
            <w:tcW w:w="2436" w:type="dxa"/>
            <w:tcBorders>
              <w:top w:val="nil"/>
              <w:left w:val="nil"/>
              <w:bottom w:val="nil"/>
              <w:right w:val="nil"/>
            </w:tcBorders>
            <w:shd w:val="clear" w:color="auto" w:fill="auto"/>
            <w:vAlign w:val="center"/>
            <w:hideMark/>
          </w:tcPr>
          <w:p w14:paraId="5435961C"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Otro inmovilizado</w:t>
            </w:r>
          </w:p>
        </w:tc>
        <w:tc>
          <w:tcPr>
            <w:tcW w:w="1279" w:type="dxa"/>
            <w:tcBorders>
              <w:top w:val="nil"/>
              <w:left w:val="nil"/>
              <w:bottom w:val="nil"/>
              <w:right w:val="nil"/>
            </w:tcBorders>
            <w:shd w:val="clear" w:color="auto" w:fill="auto"/>
            <w:vAlign w:val="center"/>
            <w:hideMark/>
          </w:tcPr>
          <w:p w14:paraId="26CC8511"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299.920,65</w:t>
            </w:r>
          </w:p>
        </w:tc>
        <w:tc>
          <w:tcPr>
            <w:tcW w:w="1246" w:type="dxa"/>
            <w:tcBorders>
              <w:top w:val="nil"/>
              <w:left w:val="nil"/>
              <w:bottom w:val="nil"/>
              <w:right w:val="nil"/>
            </w:tcBorders>
            <w:shd w:val="clear" w:color="auto" w:fill="auto"/>
            <w:vAlign w:val="center"/>
            <w:hideMark/>
          </w:tcPr>
          <w:p w14:paraId="0F19AF4D"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28.228,85</w:t>
            </w:r>
          </w:p>
        </w:tc>
        <w:tc>
          <w:tcPr>
            <w:tcW w:w="1237" w:type="dxa"/>
            <w:tcBorders>
              <w:top w:val="nil"/>
              <w:left w:val="nil"/>
              <w:bottom w:val="nil"/>
              <w:right w:val="nil"/>
            </w:tcBorders>
            <w:shd w:val="clear" w:color="auto" w:fill="auto"/>
            <w:vAlign w:val="center"/>
            <w:hideMark/>
          </w:tcPr>
          <w:p w14:paraId="6766D372"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6ECA9846"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vAlign w:val="center"/>
            <w:hideMark/>
          </w:tcPr>
          <w:p w14:paraId="6D40A9CA" w14:textId="77777777" w:rsidR="008F20A3" w:rsidRPr="007E7835" w:rsidRDefault="008F20A3" w:rsidP="004772D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328.149,50</w:t>
            </w:r>
          </w:p>
        </w:tc>
      </w:tr>
      <w:tr w:rsidR="008F20A3" w:rsidRPr="007E7835" w14:paraId="1FEBC057" w14:textId="77777777" w:rsidTr="005644E5">
        <w:trPr>
          <w:trHeight w:val="283"/>
        </w:trPr>
        <w:tc>
          <w:tcPr>
            <w:tcW w:w="2436" w:type="dxa"/>
            <w:tcBorders>
              <w:top w:val="nil"/>
              <w:left w:val="nil"/>
              <w:bottom w:val="nil"/>
              <w:right w:val="nil"/>
            </w:tcBorders>
            <w:shd w:val="clear" w:color="auto" w:fill="auto"/>
            <w:vAlign w:val="center"/>
            <w:hideMark/>
          </w:tcPr>
          <w:p w14:paraId="0227484B"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p>
        </w:tc>
        <w:tc>
          <w:tcPr>
            <w:tcW w:w="1279" w:type="dxa"/>
            <w:tcBorders>
              <w:top w:val="single" w:sz="4" w:space="0" w:color="auto"/>
              <w:left w:val="nil"/>
              <w:bottom w:val="single" w:sz="4" w:space="0" w:color="auto"/>
              <w:right w:val="nil"/>
            </w:tcBorders>
            <w:shd w:val="clear" w:color="auto" w:fill="auto"/>
            <w:vAlign w:val="center"/>
            <w:hideMark/>
          </w:tcPr>
          <w:p w14:paraId="380D217D"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1.091.567,91</w:t>
            </w:r>
          </w:p>
        </w:tc>
        <w:tc>
          <w:tcPr>
            <w:tcW w:w="1246" w:type="dxa"/>
            <w:tcBorders>
              <w:top w:val="single" w:sz="4" w:space="0" w:color="auto"/>
              <w:left w:val="nil"/>
              <w:bottom w:val="single" w:sz="4" w:space="0" w:color="auto"/>
              <w:right w:val="nil"/>
            </w:tcBorders>
            <w:shd w:val="clear" w:color="auto" w:fill="auto"/>
            <w:vAlign w:val="center"/>
            <w:hideMark/>
          </w:tcPr>
          <w:p w14:paraId="6ACA93BF"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53.973,59</w:t>
            </w:r>
          </w:p>
        </w:tc>
        <w:tc>
          <w:tcPr>
            <w:tcW w:w="1237" w:type="dxa"/>
            <w:tcBorders>
              <w:top w:val="single" w:sz="4" w:space="0" w:color="auto"/>
              <w:left w:val="nil"/>
              <w:bottom w:val="single" w:sz="4" w:space="0" w:color="auto"/>
              <w:right w:val="nil"/>
            </w:tcBorders>
            <w:shd w:val="clear" w:color="auto" w:fill="auto"/>
            <w:vAlign w:val="center"/>
            <w:hideMark/>
          </w:tcPr>
          <w:p w14:paraId="78930756"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1243" w:type="dxa"/>
            <w:tcBorders>
              <w:top w:val="single" w:sz="4" w:space="0" w:color="auto"/>
              <w:left w:val="nil"/>
              <w:bottom w:val="single" w:sz="4" w:space="0" w:color="auto"/>
              <w:right w:val="nil"/>
            </w:tcBorders>
            <w:shd w:val="clear" w:color="auto" w:fill="auto"/>
            <w:vAlign w:val="center"/>
            <w:hideMark/>
          </w:tcPr>
          <w:p w14:paraId="3B8D5F4F"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1281" w:type="dxa"/>
            <w:tcBorders>
              <w:top w:val="single" w:sz="4" w:space="0" w:color="auto"/>
              <w:left w:val="nil"/>
              <w:bottom w:val="single" w:sz="4" w:space="0" w:color="auto"/>
              <w:right w:val="nil"/>
            </w:tcBorders>
            <w:shd w:val="clear" w:color="auto" w:fill="auto"/>
            <w:vAlign w:val="center"/>
            <w:hideMark/>
          </w:tcPr>
          <w:p w14:paraId="398E3749"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1.145.541,50</w:t>
            </w:r>
          </w:p>
        </w:tc>
      </w:tr>
      <w:tr w:rsidR="008F20A3" w:rsidRPr="007E7835" w14:paraId="7F14801A" w14:textId="77777777" w:rsidTr="004772D1">
        <w:trPr>
          <w:trHeight w:val="108"/>
        </w:trPr>
        <w:tc>
          <w:tcPr>
            <w:tcW w:w="2436" w:type="dxa"/>
            <w:tcBorders>
              <w:top w:val="nil"/>
              <w:left w:val="nil"/>
              <w:bottom w:val="nil"/>
              <w:right w:val="nil"/>
            </w:tcBorders>
            <w:shd w:val="clear" w:color="auto" w:fill="auto"/>
            <w:vAlign w:val="center"/>
            <w:hideMark/>
          </w:tcPr>
          <w:p w14:paraId="323E94C2"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Amortización</w:t>
            </w:r>
          </w:p>
        </w:tc>
        <w:tc>
          <w:tcPr>
            <w:tcW w:w="1279" w:type="dxa"/>
            <w:tcBorders>
              <w:top w:val="nil"/>
              <w:left w:val="nil"/>
              <w:bottom w:val="nil"/>
              <w:right w:val="nil"/>
            </w:tcBorders>
            <w:shd w:val="clear" w:color="auto" w:fill="auto"/>
            <w:vAlign w:val="center"/>
            <w:hideMark/>
          </w:tcPr>
          <w:p w14:paraId="25DDB770"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1246" w:type="dxa"/>
            <w:tcBorders>
              <w:top w:val="nil"/>
              <w:left w:val="nil"/>
              <w:bottom w:val="nil"/>
              <w:right w:val="nil"/>
            </w:tcBorders>
            <w:shd w:val="clear" w:color="auto" w:fill="auto"/>
            <w:vAlign w:val="center"/>
            <w:hideMark/>
          </w:tcPr>
          <w:p w14:paraId="45D2F8D0"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237" w:type="dxa"/>
            <w:tcBorders>
              <w:top w:val="nil"/>
              <w:left w:val="nil"/>
              <w:bottom w:val="nil"/>
              <w:right w:val="nil"/>
            </w:tcBorders>
            <w:shd w:val="clear" w:color="auto" w:fill="auto"/>
            <w:vAlign w:val="center"/>
            <w:hideMark/>
          </w:tcPr>
          <w:p w14:paraId="49A01516"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243" w:type="dxa"/>
            <w:tcBorders>
              <w:top w:val="nil"/>
              <w:left w:val="nil"/>
              <w:bottom w:val="nil"/>
              <w:right w:val="nil"/>
            </w:tcBorders>
            <w:shd w:val="clear" w:color="auto" w:fill="auto"/>
            <w:vAlign w:val="center"/>
            <w:hideMark/>
          </w:tcPr>
          <w:p w14:paraId="1D55B873"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281" w:type="dxa"/>
            <w:tcBorders>
              <w:top w:val="nil"/>
              <w:left w:val="nil"/>
              <w:bottom w:val="nil"/>
              <w:right w:val="nil"/>
            </w:tcBorders>
            <w:shd w:val="clear" w:color="auto" w:fill="auto"/>
            <w:vAlign w:val="center"/>
            <w:hideMark/>
          </w:tcPr>
          <w:p w14:paraId="7C91C3E1"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r>
      <w:tr w:rsidR="008F20A3" w:rsidRPr="007E7835" w14:paraId="65978A76" w14:textId="77777777" w:rsidTr="005644E5">
        <w:trPr>
          <w:trHeight w:val="283"/>
        </w:trPr>
        <w:tc>
          <w:tcPr>
            <w:tcW w:w="2436" w:type="dxa"/>
            <w:tcBorders>
              <w:top w:val="nil"/>
              <w:left w:val="nil"/>
              <w:bottom w:val="nil"/>
              <w:right w:val="nil"/>
            </w:tcBorders>
            <w:shd w:val="clear" w:color="auto" w:fill="auto"/>
            <w:vAlign w:val="center"/>
            <w:hideMark/>
          </w:tcPr>
          <w:p w14:paraId="50835EE7"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Construcciones</w:t>
            </w:r>
          </w:p>
        </w:tc>
        <w:tc>
          <w:tcPr>
            <w:tcW w:w="1279" w:type="dxa"/>
            <w:tcBorders>
              <w:top w:val="nil"/>
              <w:left w:val="nil"/>
              <w:bottom w:val="nil"/>
              <w:right w:val="nil"/>
            </w:tcBorders>
            <w:shd w:val="clear" w:color="auto" w:fill="auto"/>
            <w:noWrap/>
            <w:vAlign w:val="center"/>
            <w:hideMark/>
          </w:tcPr>
          <w:p w14:paraId="5ADCAEB1"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(58.850,09)</w:t>
            </w:r>
          </w:p>
        </w:tc>
        <w:tc>
          <w:tcPr>
            <w:tcW w:w="1246" w:type="dxa"/>
            <w:tcBorders>
              <w:top w:val="nil"/>
              <w:left w:val="nil"/>
              <w:bottom w:val="nil"/>
              <w:right w:val="nil"/>
            </w:tcBorders>
            <w:shd w:val="clear" w:color="auto" w:fill="auto"/>
            <w:noWrap/>
            <w:vAlign w:val="center"/>
            <w:hideMark/>
          </w:tcPr>
          <w:p w14:paraId="5F268FEB"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(58.243,24)</w:t>
            </w:r>
          </w:p>
        </w:tc>
        <w:tc>
          <w:tcPr>
            <w:tcW w:w="1237" w:type="dxa"/>
            <w:tcBorders>
              <w:top w:val="nil"/>
              <w:left w:val="nil"/>
              <w:bottom w:val="nil"/>
              <w:right w:val="nil"/>
            </w:tcBorders>
            <w:shd w:val="clear" w:color="auto" w:fill="auto"/>
            <w:vAlign w:val="center"/>
            <w:hideMark/>
          </w:tcPr>
          <w:p w14:paraId="656C1F7B"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0000AE38"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noWrap/>
            <w:vAlign w:val="center"/>
            <w:hideMark/>
          </w:tcPr>
          <w:p w14:paraId="3528497A"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(117.093,33)</w:t>
            </w:r>
          </w:p>
        </w:tc>
      </w:tr>
      <w:tr w:rsidR="008F20A3" w:rsidRPr="007E7835" w14:paraId="4F0BD3D2" w14:textId="77777777" w:rsidTr="005644E5">
        <w:trPr>
          <w:trHeight w:val="283"/>
        </w:trPr>
        <w:tc>
          <w:tcPr>
            <w:tcW w:w="2436" w:type="dxa"/>
            <w:tcBorders>
              <w:top w:val="nil"/>
              <w:left w:val="nil"/>
              <w:bottom w:val="nil"/>
              <w:right w:val="nil"/>
            </w:tcBorders>
            <w:shd w:val="clear" w:color="auto" w:fill="auto"/>
            <w:vAlign w:val="center"/>
            <w:hideMark/>
          </w:tcPr>
          <w:p w14:paraId="01A7C0E4"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Instalaciones técnicas</w:t>
            </w:r>
          </w:p>
        </w:tc>
        <w:tc>
          <w:tcPr>
            <w:tcW w:w="1279" w:type="dxa"/>
            <w:tcBorders>
              <w:top w:val="nil"/>
              <w:left w:val="nil"/>
              <w:bottom w:val="nil"/>
              <w:right w:val="nil"/>
            </w:tcBorders>
            <w:shd w:val="clear" w:color="auto" w:fill="auto"/>
            <w:noWrap/>
            <w:vAlign w:val="center"/>
            <w:hideMark/>
          </w:tcPr>
          <w:p w14:paraId="1B9F8D26"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(29.027,04)</w:t>
            </w:r>
          </w:p>
        </w:tc>
        <w:tc>
          <w:tcPr>
            <w:tcW w:w="1246" w:type="dxa"/>
            <w:tcBorders>
              <w:top w:val="nil"/>
              <w:left w:val="nil"/>
              <w:bottom w:val="nil"/>
              <w:right w:val="nil"/>
            </w:tcBorders>
            <w:shd w:val="clear" w:color="auto" w:fill="auto"/>
            <w:noWrap/>
            <w:vAlign w:val="center"/>
            <w:hideMark/>
          </w:tcPr>
          <w:p w14:paraId="52F6A5A0"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(2.524,28)</w:t>
            </w:r>
          </w:p>
        </w:tc>
        <w:tc>
          <w:tcPr>
            <w:tcW w:w="1237" w:type="dxa"/>
            <w:tcBorders>
              <w:top w:val="nil"/>
              <w:left w:val="nil"/>
              <w:bottom w:val="nil"/>
              <w:right w:val="nil"/>
            </w:tcBorders>
            <w:shd w:val="clear" w:color="auto" w:fill="auto"/>
            <w:vAlign w:val="center"/>
            <w:hideMark/>
          </w:tcPr>
          <w:p w14:paraId="5B3CC0A8"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44B7C0CD"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noWrap/>
            <w:vAlign w:val="center"/>
            <w:hideMark/>
          </w:tcPr>
          <w:p w14:paraId="586C5528"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(31.551,32)</w:t>
            </w:r>
          </w:p>
        </w:tc>
      </w:tr>
      <w:tr w:rsidR="008F20A3" w:rsidRPr="007E7835" w14:paraId="5B38250E" w14:textId="77777777" w:rsidTr="005644E5">
        <w:trPr>
          <w:trHeight w:val="283"/>
        </w:trPr>
        <w:tc>
          <w:tcPr>
            <w:tcW w:w="2436" w:type="dxa"/>
            <w:tcBorders>
              <w:top w:val="nil"/>
              <w:left w:val="nil"/>
              <w:bottom w:val="nil"/>
              <w:right w:val="nil"/>
            </w:tcBorders>
            <w:shd w:val="clear" w:color="auto" w:fill="auto"/>
            <w:vAlign w:val="center"/>
            <w:hideMark/>
          </w:tcPr>
          <w:p w14:paraId="13C9F589"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Mobiliario</w:t>
            </w:r>
          </w:p>
        </w:tc>
        <w:tc>
          <w:tcPr>
            <w:tcW w:w="1279" w:type="dxa"/>
            <w:tcBorders>
              <w:top w:val="nil"/>
              <w:left w:val="nil"/>
              <w:bottom w:val="nil"/>
              <w:right w:val="nil"/>
            </w:tcBorders>
            <w:shd w:val="clear" w:color="auto" w:fill="auto"/>
            <w:noWrap/>
            <w:vAlign w:val="center"/>
            <w:hideMark/>
          </w:tcPr>
          <w:p w14:paraId="45DD3EDE"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(285.468,97)</w:t>
            </w:r>
          </w:p>
        </w:tc>
        <w:tc>
          <w:tcPr>
            <w:tcW w:w="1246" w:type="dxa"/>
            <w:tcBorders>
              <w:top w:val="nil"/>
              <w:left w:val="nil"/>
              <w:bottom w:val="nil"/>
              <w:right w:val="nil"/>
            </w:tcBorders>
            <w:shd w:val="clear" w:color="auto" w:fill="auto"/>
            <w:noWrap/>
            <w:vAlign w:val="center"/>
            <w:hideMark/>
          </w:tcPr>
          <w:p w14:paraId="53C1AA08"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(16.676,11)</w:t>
            </w:r>
          </w:p>
        </w:tc>
        <w:tc>
          <w:tcPr>
            <w:tcW w:w="1237" w:type="dxa"/>
            <w:tcBorders>
              <w:top w:val="nil"/>
              <w:left w:val="nil"/>
              <w:bottom w:val="nil"/>
              <w:right w:val="nil"/>
            </w:tcBorders>
            <w:shd w:val="clear" w:color="auto" w:fill="auto"/>
            <w:vAlign w:val="center"/>
            <w:hideMark/>
          </w:tcPr>
          <w:p w14:paraId="47A4D783"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19EC97EE"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noWrap/>
            <w:vAlign w:val="center"/>
            <w:hideMark/>
          </w:tcPr>
          <w:p w14:paraId="248D490C"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(302.145,08)</w:t>
            </w:r>
          </w:p>
        </w:tc>
      </w:tr>
      <w:tr w:rsidR="008F20A3" w:rsidRPr="007E7835" w14:paraId="52A17BC9" w14:textId="77777777" w:rsidTr="005644E5">
        <w:trPr>
          <w:trHeight w:val="283"/>
        </w:trPr>
        <w:tc>
          <w:tcPr>
            <w:tcW w:w="2436" w:type="dxa"/>
            <w:tcBorders>
              <w:top w:val="nil"/>
              <w:left w:val="nil"/>
              <w:bottom w:val="nil"/>
              <w:right w:val="nil"/>
            </w:tcBorders>
            <w:shd w:val="clear" w:color="auto" w:fill="auto"/>
            <w:vAlign w:val="center"/>
            <w:hideMark/>
          </w:tcPr>
          <w:p w14:paraId="13F25FCF"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Otro inmovilizado</w:t>
            </w:r>
          </w:p>
        </w:tc>
        <w:tc>
          <w:tcPr>
            <w:tcW w:w="1279" w:type="dxa"/>
            <w:tcBorders>
              <w:top w:val="nil"/>
              <w:left w:val="nil"/>
              <w:bottom w:val="single" w:sz="4" w:space="0" w:color="auto"/>
              <w:right w:val="nil"/>
            </w:tcBorders>
            <w:shd w:val="clear" w:color="auto" w:fill="auto"/>
            <w:noWrap/>
            <w:vAlign w:val="center"/>
            <w:hideMark/>
          </w:tcPr>
          <w:p w14:paraId="545233E2"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(256.865,50)</w:t>
            </w:r>
          </w:p>
        </w:tc>
        <w:tc>
          <w:tcPr>
            <w:tcW w:w="1246" w:type="dxa"/>
            <w:tcBorders>
              <w:top w:val="nil"/>
              <w:left w:val="nil"/>
              <w:bottom w:val="single" w:sz="4" w:space="0" w:color="auto"/>
              <w:right w:val="nil"/>
            </w:tcBorders>
            <w:shd w:val="clear" w:color="auto" w:fill="auto"/>
            <w:noWrap/>
            <w:vAlign w:val="center"/>
            <w:hideMark/>
          </w:tcPr>
          <w:p w14:paraId="709D3AF7"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(15.691,92)</w:t>
            </w:r>
          </w:p>
        </w:tc>
        <w:tc>
          <w:tcPr>
            <w:tcW w:w="1237" w:type="dxa"/>
            <w:tcBorders>
              <w:top w:val="nil"/>
              <w:left w:val="nil"/>
              <w:bottom w:val="nil"/>
              <w:right w:val="nil"/>
            </w:tcBorders>
            <w:shd w:val="clear" w:color="auto" w:fill="auto"/>
            <w:vAlign w:val="center"/>
            <w:hideMark/>
          </w:tcPr>
          <w:p w14:paraId="5AEC1C13"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hideMark/>
          </w:tcPr>
          <w:p w14:paraId="2EFDF8F8"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w:t>
            </w:r>
          </w:p>
        </w:tc>
        <w:tc>
          <w:tcPr>
            <w:tcW w:w="1281" w:type="dxa"/>
            <w:tcBorders>
              <w:top w:val="nil"/>
              <w:left w:val="nil"/>
              <w:bottom w:val="single" w:sz="4" w:space="0" w:color="auto"/>
              <w:right w:val="nil"/>
            </w:tcBorders>
            <w:shd w:val="clear" w:color="auto" w:fill="auto"/>
            <w:noWrap/>
            <w:vAlign w:val="center"/>
            <w:hideMark/>
          </w:tcPr>
          <w:p w14:paraId="6045036E"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7E7835">
              <w:rPr>
                <w:rFonts w:eastAsia="Times New Roman"/>
                <w:color w:val="auto"/>
                <w:sz w:val="16"/>
                <w:szCs w:val="16"/>
                <w:bdr w:val="none" w:sz="0" w:space="0" w:color="auto"/>
                <w:lang w:eastAsia="es-ES"/>
              </w:rPr>
              <w:t>(272.557,42)</w:t>
            </w:r>
          </w:p>
        </w:tc>
      </w:tr>
      <w:tr w:rsidR="008F20A3" w:rsidRPr="007E7835" w14:paraId="3FC9BFAE" w14:textId="77777777" w:rsidTr="005644E5">
        <w:trPr>
          <w:trHeight w:val="283"/>
        </w:trPr>
        <w:tc>
          <w:tcPr>
            <w:tcW w:w="2436" w:type="dxa"/>
            <w:tcBorders>
              <w:top w:val="nil"/>
              <w:left w:val="nil"/>
              <w:bottom w:val="nil"/>
              <w:right w:val="nil"/>
            </w:tcBorders>
            <w:shd w:val="clear" w:color="auto" w:fill="auto"/>
            <w:vAlign w:val="center"/>
            <w:hideMark/>
          </w:tcPr>
          <w:p w14:paraId="1816AC48"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279" w:type="dxa"/>
            <w:tcBorders>
              <w:top w:val="nil"/>
              <w:left w:val="nil"/>
              <w:bottom w:val="nil"/>
              <w:right w:val="nil"/>
            </w:tcBorders>
            <w:shd w:val="clear" w:color="auto" w:fill="auto"/>
            <w:vAlign w:val="center"/>
            <w:hideMark/>
          </w:tcPr>
          <w:p w14:paraId="38DC0CF7"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(630.211,60)</w:t>
            </w:r>
          </w:p>
        </w:tc>
        <w:tc>
          <w:tcPr>
            <w:tcW w:w="1246" w:type="dxa"/>
            <w:tcBorders>
              <w:top w:val="nil"/>
              <w:left w:val="nil"/>
              <w:bottom w:val="nil"/>
              <w:right w:val="nil"/>
            </w:tcBorders>
            <w:shd w:val="clear" w:color="auto" w:fill="auto"/>
            <w:vAlign w:val="center"/>
            <w:hideMark/>
          </w:tcPr>
          <w:p w14:paraId="6CEA2C28"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(93.135,55)</w:t>
            </w:r>
          </w:p>
        </w:tc>
        <w:tc>
          <w:tcPr>
            <w:tcW w:w="1237" w:type="dxa"/>
            <w:tcBorders>
              <w:top w:val="single" w:sz="4" w:space="0" w:color="auto"/>
              <w:left w:val="nil"/>
              <w:bottom w:val="nil"/>
              <w:right w:val="nil"/>
            </w:tcBorders>
            <w:shd w:val="clear" w:color="auto" w:fill="auto"/>
            <w:vAlign w:val="center"/>
            <w:hideMark/>
          </w:tcPr>
          <w:p w14:paraId="6EACDEDC"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1243" w:type="dxa"/>
            <w:tcBorders>
              <w:top w:val="single" w:sz="4" w:space="0" w:color="auto"/>
              <w:left w:val="nil"/>
              <w:bottom w:val="nil"/>
              <w:right w:val="nil"/>
            </w:tcBorders>
            <w:shd w:val="clear" w:color="auto" w:fill="auto"/>
            <w:vAlign w:val="center"/>
            <w:hideMark/>
          </w:tcPr>
          <w:p w14:paraId="78EE8026"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1281" w:type="dxa"/>
            <w:tcBorders>
              <w:top w:val="nil"/>
              <w:left w:val="nil"/>
              <w:bottom w:val="nil"/>
              <w:right w:val="nil"/>
            </w:tcBorders>
            <w:shd w:val="clear" w:color="auto" w:fill="auto"/>
            <w:vAlign w:val="center"/>
            <w:hideMark/>
          </w:tcPr>
          <w:p w14:paraId="70B73719"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(723.347,15)</w:t>
            </w:r>
          </w:p>
        </w:tc>
      </w:tr>
      <w:tr w:rsidR="008F20A3" w:rsidRPr="007E7835" w14:paraId="44AF6D2C" w14:textId="77777777" w:rsidTr="005644E5">
        <w:trPr>
          <w:trHeight w:val="283"/>
        </w:trPr>
        <w:tc>
          <w:tcPr>
            <w:tcW w:w="2436" w:type="dxa"/>
            <w:tcBorders>
              <w:top w:val="single" w:sz="4" w:space="0" w:color="auto"/>
              <w:left w:val="nil"/>
              <w:bottom w:val="single" w:sz="4" w:space="0" w:color="auto"/>
              <w:right w:val="nil"/>
            </w:tcBorders>
            <w:shd w:val="clear" w:color="auto" w:fill="auto"/>
            <w:vAlign w:val="center"/>
            <w:hideMark/>
          </w:tcPr>
          <w:p w14:paraId="39CB4AF5"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Valor neto contable</w:t>
            </w:r>
          </w:p>
        </w:tc>
        <w:tc>
          <w:tcPr>
            <w:tcW w:w="1279" w:type="dxa"/>
            <w:tcBorders>
              <w:top w:val="single" w:sz="4" w:space="0" w:color="auto"/>
              <w:left w:val="nil"/>
              <w:bottom w:val="single" w:sz="4" w:space="0" w:color="auto"/>
              <w:right w:val="nil"/>
            </w:tcBorders>
            <w:shd w:val="clear" w:color="auto" w:fill="auto"/>
            <w:vAlign w:val="center"/>
            <w:hideMark/>
          </w:tcPr>
          <w:p w14:paraId="47075D30"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461.356,31</w:t>
            </w:r>
          </w:p>
        </w:tc>
        <w:tc>
          <w:tcPr>
            <w:tcW w:w="1246" w:type="dxa"/>
            <w:tcBorders>
              <w:top w:val="single" w:sz="4" w:space="0" w:color="auto"/>
              <w:left w:val="nil"/>
              <w:bottom w:val="single" w:sz="4" w:space="0" w:color="auto"/>
              <w:right w:val="nil"/>
            </w:tcBorders>
            <w:shd w:val="clear" w:color="auto" w:fill="auto"/>
            <w:vAlign w:val="center"/>
            <w:hideMark/>
          </w:tcPr>
          <w:p w14:paraId="008EDF85"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237" w:type="dxa"/>
            <w:tcBorders>
              <w:top w:val="single" w:sz="4" w:space="0" w:color="auto"/>
              <w:left w:val="nil"/>
              <w:bottom w:val="single" w:sz="4" w:space="0" w:color="auto"/>
              <w:right w:val="nil"/>
            </w:tcBorders>
            <w:shd w:val="clear" w:color="auto" w:fill="auto"/>
            <w:vAlign w:val="center"/>
            <w:hideMark/>
          </w:tcPr>
          <w:p w14:paraId="0421A612"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1243" w:type="dxa"/>
            <w:tcBorders>
              <w:top w:val="single" w:sz="4" w:space="0" w:color="auto"/>
              <w:left w:val="nil"/>
              <w:bottom w:val="single" w:sz="4" w:space="0" w:color="auto"/>
              <w:right w:val="nil"/>
            </w:tcBorders>
            <w:shd w:val="clear" w:color="auto" w:fill="auto"/>
            <w:vAlign w:val="center"/>
            <w:hideMark/>
          </w:tcPr>
          <w:p w14:paraId="19ECAF39"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1281" w:type="dxa"/>
            <w:tcBorders>
              <w:top w:val="single" w:sz="4" w:space="0" w:color="auto"/>
              <w:left w:val="nil"/>
              <w:bottom w:val="single" w:sz="4" w:space="0" w:color="auto"/>
              <w:right w:val="nil"/>
            </w:tcBorders>
            <w:shd w:val="clear" w:color="auto" w:fill="auto"/>
            <w:vAlign w:val="center"/>
            <w:hideMark/>
          </w:tcPr>
          <w:p w14:paraId="280AE2E7" w14:textId="77777777" w:rsidR="008F20A3" w:rsidRPr="007E7835" w:rsidRDefault="008F20A3" w:rsidP="004772D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422.194,35</w:t>
            </w:r>
          </w:p>
        </w:tc>
      </w:tr>
    </w:tbl>
    <w:p w14:paraId="2D4B5CE0" w14:textId="629D4DFB" w:rsidR="00D52E64" w:rsidRPr="005644E5" w:rsidRDefault="00D52E64" w:rsidP="005644E5">
      <w:pPr>
        <w:widowControl w:val="0"/>
        <w:spacing w:before="120" w:after="120" w:line="260" w:lineRule="exact"/>
        <w:ind w:left="284"/>
        <w:jc w:val="both"/>
        <w:outlineLvl w:val="9"/>
        <w:rPr>
          <w:snapToGrid w:val="0"/>
          <w:sz w:val="20"/>
          <w:szCs w:val="22"/>
        </w:rPr>
      </w:pPr>
      <w:r w:rsidRPr="005644E5">
        <w:rPr>
          <w:snapToGrid w:val="0"/>
          <w:sz w:val="20"/>
          <w:szCs w:val="22"/>
        </w:rPr>
        <w:t>Las altas del ejercicio 2020 correspondieron principalmente a la compra de equipos para procesos de información y mobiliario para adaptar sus oficinas a las medidas establecidas en relación al Covid-19.</w:t>
      </w:r>
    </w:p>
    <w:p w14:paraId="7DE7EA68" w14:textId="77777777" w:rsidR="006220A2" w:rsidRDefault="006220A2" w:rsidP="006220A2">
      <w:pPr>
        <w:widowControl w:val="0"/>
        <w:tabs>
          <w:tab w:val="left" w:pos="284"/>
        </w:tabs>
        <w:spacing w:before="200"/>
        <w:rPr>
          <w:sz w:val="20"/>
          <w:szCs w:val="22"/>
          <w:u w:val="single"/>
        </w:rPr>
      </w:pPr>
      <w:r w:rsidRPr="0083433F">
        <w:rPr>
          <w:sz w:val="20"/>
          <w:szCs w:val="22"/>
        </w:rPr>
        <w:t>b)</w:t>
      </w:r>
      <w:r w:rsidRPr="0083433F">
        <w:rPr>
          <w:sz w:val="20"/>
          <w:szCs w:val="22"/>
        </w:rPr>
        <w:tab/>
      </w:r>
      <w:r w:rsidRPr="0083433F">
        <w:rPr>
          <w:sz w:val="20"/>
          <w:szCs w:val="22"/>
          <w:u w:val="single"/>
        </w:rPr>
        <w:t xml:space="preserve">Pérdidas por deterioro </w:t>
      </w:r>
      <w:r w:rsidR="0073325C" w:rsidRPr="0083433F">
        <w:rPr>
          <w:sz w:val="20"/>
          <w:szCs w:val="22"/>
          <w:u w:val="single"/>
        </w:rPr>
        <w:t>y enajenación del inmovilizado.</w:t>
      </w:r>
    </w:p>
    <w:p w14:paraId="451899A2" w14:textId="0ADFB687" w:rsidR="000C3260" w:rsidRPr="005644E5" w:rsidRDefault="00DA1EFA" w:rsidP="005644E5">
      <w:pPr>
        <w:widowControl w:val="0"/>
        <w:spacing w:before="120" w:after="120" w:line="260" w:lineRule="exact"/>
        <w:ind w:left="284"/>
        <w:jc w:val="both"/>
        <w:outlineLvl w:val="9"/>
        <w:rPr>
          <w:snapToGrid w:val="0"/>
          <w:sz w:val="20"/>
          <w:szCs w:val="22"/>
        </w:rPr>
      </w:pPr>
      <w:r w:rsidRPr="005644E5">
        <w:rPr>
          <w:snapToGrid w:val="0"/>
          <w:sz w:val="20"/>
          <w:szCs w:val="22"/>
        </w:rPr>
        <w:t>Durante el ejercicio 202</w:t>
      </w:r>
      <w:r w:rsidR="007579CC" w:rsidRPr="005644E5">
        <w:rPr>
          <w:snapToGrid w:val="0"/>
          <w:sz w:val="20"/>
          <w:szCs w:val="22"/>
        </w:rPr>
        <w:t>1</w:t>
      </w:r>
      <w:r w:rsidR="000C3260" w:rsidRPr="005644E5">
        <w:rPr>
          <w:snapToGrid w:val="0"/>
          <w:sz w:val="20"/>
          <w:szCs w:val="22"/>
        </w:rPr>
        <w:t xml:space="preserve"> </w:t>
      </w:r>
      <w:r w:rsidR="00EF7826" w:rsidRPr="005644E5">
        <w:rPr>
          <w:snapToGrid w:val="0"/>
          <w:sz w:val="20"/>
          <w:szCs w:val="22"/>
        </w:rPr>
        <w:t xml:space="preserve">y 2020 </w:t>
      </w:r>
      <w:r w:rsidRPr="005644E5">
        <w:rPr>
          <w:snapToGrid w:val="0"/>
          <w:sz w:val="20"/>
          <w:szCs w:val="22"/>
        </w:rPr>
        <w:t>no se ha reconocido ni revertido correcciones valorativas por deterioro para ningún inmovilizado material.</w:t>
      </w:r>
    </w:p>
    <w:p w14:paraId="096CE734" w14:textId="77777777" w:rsidR="006220A2" w:rsidRPr="0083433F" w:rsidRDefault="006220A2" w:rsidP="005644E5">
      <w:pPr>
        <w:keepNext/>
        <w:keepLines/>
        <w:widowControl w:val="0"/>
        <w:tabs>
          <w:tab w:val="left" w:pos="284"/>
        </w:tabs>
        <w:spacing w:before="200"/>
        <w:rPr>
          <w:sz w:val="20"/>
          <w:szCs w:val="22"/>
        </w:rPr>
      </w:pPr>
      <w:r w:rsidRPr="0083433F">
        <w:rPr>
          <w:snapToGrid w:val="0"/>
          <w:sz w:val="20"/>
          <w:szCs w:val="22"/>
        </w:rPr>
        <w:lastRenderedPageBreak/>
        <w:t>c)</w:t>
      </w:r>
      <w:r w:rsidRPr="0083433F">
        <w:rPr>
          <w:snapToGrid w:val="0"/>
          <w:sz w:val="20"/>
          <w:szCs w:val="22"/>
        </w:rPr>
        <w:tab/>
      </w:r>
      <w:r w:rsidRPr="0083433F">
        <w:rPr>
          <w:snapToGrid w:val="0"/>
          <w:sz w:val="20"/>
          <w:szCs w:val="22"/>
          <w:u w:val="single"/>
        </w:rPr>
        <w:t>Bienes totalmente amortizados</w:t>
      </w:r>
    </w:p>
    <w:p w14:paraId="31EE61E0" w14:textId="1648D185" w:rsidR="006220A2" w:rsidRPr="005644E5" w:rsidRDefault="006220A2" w:rsidP="005644E5">
      <w:pPr>
        <w:keepNext/>
        <w:keepLines/>
        <w:widowControl w:val="0"/>
        <w:spacing w:before="120" w:after="120" w:line="260" w:lineRule="exact"/>
        <w:ind w:left="284"/>
        <w:jc w:val="both"/>
        <w:outlineLvl w:val="9"/>
        <w:rPr>
          <w:snapToGrid w:val="0"/>
          <w:sz w:val="20"/>
          <w:szCs w:val="22"/>
        </w:rPr>
      </w:pPr>
      <w:bookmarkStart w:id="4" w:name="OLE_LINK3"/>
      <w:r w:rsidRPr="005644E5">
        <w:rPr>
          <w:snapToGrid w:val="0"/>
          <w:sz w:val="20"/>
          <w:szCs w:val="22"/>
        </w:rPr>
        <w:t xml:space="preserve">El desglose del inmovilizado </w:t>
      </w:r>
      <w:r w:rsidR="005644E5">
        <w:rPr>
          <w:snapToGrid w:val="0"/>
          <w:sz w:val="20"/>
          <w:szCs w:val="22"/>
        </w:rPr>
        <w:t xml:space="preserve">material </w:t>
      </w:r>
      <w:r w:rsidRPr="005644E5">
        <w:rPr>
          <w:snapToGrid w:val="0"/>
          <w:sz w:val="20"/>
          <w:szCs w:val="22"/>
        </w:rPr>
        <w:t xml:space="preserve">totalmente amortizado y </w:t>
      </w:r>
      <w:r w:rsidR="00403785" w:rsidRPr="005644E5">
        <w:rPr>
          <w:snapToGrid w:val="0"/>
          <w:sz w:val="20"/>
          <w:szCs w:val="22"/>
        </w:rPr>
        <w:t>en uso a 31 de diciembre de 20</w:t>
      </w:r>
      <w:r w:rsidR="008B575B" w:rsidRPr="005644E5">
        <w:rPr>
          <w:snapToGrid w:val="0"/>
          <w:sz w:val="20"/>
          <w:szCs w:val="22"/>
        </w:rPr>
        <w:t>2</w:t>
      </w:r>
      <w:r w:rsidR="007579CC" w:rsidRPr="005644E5">
        <w:rPr>
          <w:snapToGrid w:val="0"/>
          <w:sz w:val="20"/>
          <w:szCs w:val="22"/>
        </w:rPr>
        <w:t>1</w:t>
      </w:r>
      <w:r w:rsidR="00403785" w:rsidRPr="005644E5">
        <w:rPr>
          <w:snapToGrid w:val="0"/>
          <w:sz w:val="20"/>
          <w:szCs w:val="22"/>
        </w:rPr>
        <w:t xml:space="preserve"> y 20</w:t>
      </w:r>
      <w:r w:rsidR="007579CC" w:rsidRPr="005644E5">
        <w:rPr>
          <w:snapToGrid w:val="0"/>
          <w:sz w:val="20"/>
          <w:szCs w:val="22"/>
        </w:rPr>
        <w:t>20</w:t>
      </w:r>
      <w:r w:rsidRPr="005644E5">
        <w:rPr>
          <w:snapToGrid w:val="0"/>
          <w:sz w:val="20"/>
          <w:szCs w:val="22"/>
        </w:rPr>
        <w:t xml:space="preserve"> es el siguiente: </w:t>
      </w:r>
      <w:bookmarkEnd w:id="4"/>
    </w:p>
    <w:tbl>
      <w:tblPr>
        <w:tblW w:w="5000" w:type="pct"/>
        <w:jc w:val="center"/>
        <w:tblCellMar>
          <w:left w:w="70" w:type="dxa"/>
          <w:right w:w="70" w:type="dxa"/>
        </w:tblCellMar>
        <w:tblLook w:val="04A0" w:firstRow="1" w:lastRow="0" w:firstColumn="1" w:lastColumn="0" w:noHBand="0" w:noVBand="1"/>
      </w:tblPr>
      <w:tblGrid>
        <w:gridCol w:w="4757"/>
        <w:gridCol w:w="2013"/>
        <w:gridCol w:w="2011"/>
      </w:tblGrid>
      <w:tr w:rsidR="006220A2" w:rsidRPr="005644E5" w14:paraId="08D1662A" w14:textId="77777777" w:rsidTr="007E7835">
        <w:trPr>
          <w:trHeight w:val="227"/>
          <w:jc w:val="center"/>
        </w:trPr>
        <w:tc>
          <w:tcPr>
            <w:tcW w:w="2709" w:type="pct"/>
            <w:tcBorders>
              <w:top w:val="single" w:sz="4" w:space="0" w:color="auto"/>
              <w:left w:val="nil"/>
              <w:bottom w:val="nil"/>
              <w:right w:val="nil"/>
            </w:tcBorders>
            <w:shd w:val="clear" w:color="auto" w:fill="auto"/>
            <w:noWrap/>
            <w:vAlign w:val="bottom"/>
            <w:hideMark/>
          </w:tcPr>
          <w:p w14:paraId="212D99C1" w14:textId="77777777" w:rsidR="006220A2" w:rsidRPr="005644E5" w:rsidRDefault="006220A2" w:rsidP="00852114">
            <w:pPr>
              <w:jc w:val="center"/>
              <w:rPr>
                <w:rFonts w:eastAsia="Times New Roman"/>
                <w:sz w:val="18"/>
                <w:szCs w:val="18"/>
              </w:rPr>
            </w:pPr>
            <w:r w:rsidRPr="005644E5">
              <w:rPr>
                <w:rFonts w:eastAsia="Times New Roman"/>
                <w:sz w:val="18"/>
                <w:szCs w:val="18"/>
              </w:rPr>
              <w:t> </w:t>
            </w:r>
          </w:p>
        </w:tc>
        <w:tc>
          <w:tcPr>
            <w:tcW w:w="2291" w:type="pct"/>
            <w:gridSpan w:val="2"/>
            <w:tcBorders>
              <w:top w:val="single" w:sz="4" w:space="0" w:color="auto"/>
              <w:left w:val="nil"/>
              <w:bottom w:val="single" w:sz="4" w:space="0" w:color="auto"/>
              <w:right w:val="nil"/>
            </w:tcBorders>
            <w:shd w:val="clear" w:color="auto" w:fill="auto"/>
            <w:noWrap/>
            <w:vAlign w:val="bottom"/>
            <w:hideMark/>
          </w:tcPr>
          <w:p w14:paraId="6D70509C" w14:textId="77777777" w:rsidR="006220A2" w:rsidRPr="005644E5" w:rsidRDefault="006220A2" w:rsidP="005644E5">
            <w:pPr>
              <w:ind w:right="469"/>
              <w:jc w:val="center"/>
              <w:rPr>
                <w:rFonts w:eastAsia="Times New Roman"/>
                <w:b/>
                <w:bCs/>
                <w:sz w:val="18"/>
                <w:szCs w:val="18"/>
              </w:rPr>
            </w:pPr>
            <w:r w:rsidRPr="005644E5">
              <w:rPr>
                <w:rFonts w:eastAsia="Times New Roman"/>
                <w:b/>
                <w:bCs/>
                <w:sz w:val="18"/>
                <w:szCs w:val="18"/>
              </w:rPr>
              <w:t>Euros</w:t>
            </w:r>
          </w:p>
        </w:tc>
      </w:tr>
      <w:tr w:rsidR="007579CC" w:rsidRPr="005644E5" w14:paraId="6FE347CE" w14:textId="77777777" w:rsidTr="007E7835">
        <w:trPr>
          <w:trHeight w:val="227"/>
          <w:jc w:val="center"/>
        </w:trPr>
        <w:tc>
          <w:tcPr>
            <w:tcW w:w="2709" w:type="pct"/>
            <w:tcBorders>
              <w:top w:val="nil"/>
              <w:left w:val="nil"/>
              <w:bottom w:val="single" w:sz="4" w:space="0" w:color="auto"/>
              <w:right w:val="nil"/>
            </w:tcBorders>
            <w:shd w:val="clear" w:color="auto" w:fill="auto"/>
            <w:noWrap/>
            <w:vAlign w:val="bottom"/>
            <w:hideMark/>
          </w:tcPr>
          <w:p w14:paraId="6449058A" w14:textId="77777777" w:rsidR="007579CC" w:rsidRPr="005644E5" w:rsidRDefault="007579CC" w:rsidP="007579CC">
            <w:pPr>
              <w:jc w:val="center"/>
              <w:rPr>
                <w:rFonts w:eastAsia="Times New Roman"/>
                <w:sz w:val="18"/>
                <w:szCs w:val="18"/>
              </w:rPr>
            </w:pPr>
            <w:r w:rsidRPr="005644E5">
              <w:rPr>
                <w:rFonts w:eastAsia="Times New Roman"/>
                <w:sz w:val="18"/>
                <w:szCs w:val="18"/>
              </w:rPr>
              <w:t> </w:t>
            </w:r>
          </w:p>
        </w:tc>
        <w:tc>
          <w:tcPr>
            <w:tcW w:w="1146" w:type="pct"/>
            <w:tcBorders>
              <w:top w:val="nil"/>
              <w:left w:val="nil"/>
              <w:bottom w:val="single" w:sz="4" w:space="0" w:color="auto"/>
              <w:right w:val="nil"/>
            </w:tcBorders>
            <w:shd w:val="clear" w:color="auto" w:fill="auto"/>
            <w:noWrap/>
            <w:vAlign w:val="bottom"/>
            <w:hideMark/>
          </w:tcPr>
          <w:p w14:paraId="60666662" w14:textId="4335CC64" w:rsidR="007579CC" w:rsidRPr="005644E5" w:rsidRDefault="007579CC" w:rsidP="005644E5">
            <w:pPr>
              <w:ind w:right="469"/>
              <w:jc w:val="center"/>
              <w:rPr>
                <w:rFonts w:eastAsia="Times New Roman"/>
                <w:b/>
                <w:bCs/>
                <w:sz w:val="18"/>
                <w:szCs w:val="18"/>
              </w:rPr>
            </w:pPr>
            <w:r w:rsidRPr="005644E5">
              <w:rPr>
                <w:rFonts w:eastAsia="Times New Roman"/>
                <w:b/>
                <w:bCs/>
                <w:sz w:val="18"/>
                <w:szCs w:val="18"/>
              </w:rPr>
              <w:t>31/12/2021</w:t>
            </w:r>
          </w:p>
        </w:tc>
        <w:tc>
          <w:tcPr>
            <w:tcW w:w="1145" w:type="pct"/>
            <w:tcBorders>
              <w:top w:val="nil"/>
              <w:left w:val="nil"/>
              <w:bottom w:val="single" w:sz="4" w:space="0" w:color="auto"/>
              <w:right w:val="nil"/>
            </w:tcBorders>
            <w:shd w:val="clear" w:color="auto" w:fill="auto"/>
            <w:noWrap/>
            <w:vAlign w:val="bottom"/>
            <w:hideMark/>
          </w:tcPr>
          <w:p w14:paraId="5372A2FB" w14:textId="297B52AC" w:rsidR="007579CC" w:rsidRPr="005644E5" w:rsidRDefault="007579CC" w:rsidP="005644E5">
            <w:pPr>
              <w:ind w:right="469"/>
              <w:jc w:val="center"/>
              <w:rPr>
                <w:rFonts w:eastAsia="Times New Roman"/>
                <w:b/>
                <w:bCs/>
                <w:sz w:val="18"/>
                <w:szCs w:val="18"/>
              </w:rPr>
            </w:pPr>
            <w:r w:rsidRPr="005644E5">
              <w:rPr>
                <w:rFonts w:eastAsia="Times New Roman"/>
                <w:b/>
                <w:bCs/>
                <w:sz w:val="18"/>
                <w:szCs w:val="18"/>
              </w:rPr>
              <w:t>31/12/2020</w:t>
            </w:r>
          </w:p>
        </w:tc>
      </w:tr>
      <w:tr w:rsidR="00526C3A" w:rsidRPr="005644E5" w14:paraId="6144ADF8" w14:textId="77777777" w:rsidTr="005644E5">
        <w:trPr>
          <w:trHeight w:val="283"/>
          <w:jc w:val="center"/>
        </w:trPr>
        <w:tc>
          <w:tcPr>
            <w:tcW w:w="2709" w:type="pct"/>
            <w:tcBorders>
              <w:top w:val="nil"/>
              <w:left w:val="nil"/>
              <w:bottom w:val="nil"/>
              <w:right w:val="nil"/>
            </w:tcBorders>
            <w:shd w:val="clear" w:color="auto" w:fill="auto"/>
            <w:vAlign w:val="center"/>
            <w:hideMark/>
          </w:tcPr>
          <w:p w14:paraId="7D4694C1" w14:textId="77777777" w:rsidR="00526C3A" w:rsidRPr="005644E5" w:rsidRDefault="00526C3A" w:rsidP="005644E5">
            <w:pPr>
              <w:ind w:left="217"/>
              <w:rPr>
                <w:rFonts w:eastAsia="Times New Roman"/>
                <w:sz w:val="18"/>
                <w:szCs w:val="18"/>
              </w:rPr>
            </w:pPr>
            <w:r w:rsidRPr="005644E5">
              <w:rPr>
                <w:rFonts w:eastAsia="Times New Roman"/>
                <w:sz w:val="18"/>
                <w:szCs w:val="18"/>
              </w:rPr>
              <w:t>Construcciones</w:t>
            </w:r>
          </w:p>
        </w:tc>
        <w:tc>
          <w:tcPr>
            <w:tcW w:w="1146" w:type="pct"/>
            <w:tcBorders>
              <w:top w:val="nil"/>
              <w:left w:val="nil"/>
              <w:bottom w:val="nil"/>
              <w:right w:val="nil"/>
            </w:tcBorders>
            <w:shd w:val="clear" w:color="auto" w:fill="auto"/>
            <w:noWrap/>
            <w:vAlign w:val="center"/>
          </w:tcPr>
          <w:p w14:paraId="17C5B81C" w14:textId="0178F5B5" w:rsidR="00526C3A" w:rsidRPr="005644E5" w:rsidRDefault="00526C3A" w:rsidP="005644E5">
            <w:pPr>
              <w:pBdr>
                <w:top w:val="none" w:sz="0" w:space="0" w:color="auto"/>
                <w:left w:val="none" w:sz="0" w:space="0" w:color="auto"/>
                <w:bottom w:val="none" w:sz="0" w:space="0" w:color="auto"/>
                <w:right w:val="none" w:sz="0" w:space="0" w:color="auto"/>
                <w:between w:val="none" w:sz="0" w:space="0" w:color="auto"/>
                <w:bar w:val="none" w:sz="0" w:color="auto"/>
              </w:pBdr>
              <w:ind w:left="217" w:right="469"/>
              <w:jc w:val="right"/>
              <w:outlineLvl w:val="9"/>
              <w:rPr>
                <w:rFonts w:eastAsia="Times New Roman"/>
                <w:sz w:val="18"/>
                <w:szCs w:val="18"/>
                <w:bdr w:val="none" w:sz="0" w:space="0" w:color="auto"/>
                <w:lang w:eastAsia="es-ES"/>
              </w:rPr>
            </w:pPr>
            <w:r w:rsidRPr="005644E5">
              <w:rPr>
                <w:sz w:val="18"/>
                <w:szCs w:val="18"/>
              </w:rPr>
              <w:t>8.076,00</w:t>
            </w:r>
          </w:p>
        </w:tc>
        <w:tc>
          <w:tcPr>
            <w:tcW w:w="1145" w:type="pct"/>
            <w:tcBorders>
              <w:top w:val="nil"/>
              <w:left w:val="nil"/>
              <w:bottom w:val="nil"/>
              <w:right w:val="nil"/>
            </w:tcBorders>
            <w:shd w:val="clear" w:color="auto" w:fill="auto"/>
            <w:noWrap/>
            <w:vAlign w:val="center"/>
          </w:tcPr>
          <w:p w14:paraId="1734D7BA" w14:textId="7A4B1CDB" w:rsidR="00526C3A" w:rsidRPr="005644E5" w:rsidRDefault="00526C3A" w:rsidP="005644E5">
            <w:pPr>
              <w:pBdr>
                <w:top w:val="none" w:sz="0" w:space="0" w:color="auto"/>
                <w:left w:val="none" w:sz="0" w:space="0" w:color="auto"/>
                <w:bottom w:val="none" w:sz="0" w:space="0" w:color="auto"/>
                <w:right w:val="none" w:sz="0" w:space="0" w:color="auto"/>
                <w:between w:val="none" w:sz="0" w:space="0" w:color="auto"/>
                <w:bar w:val="none" w:sz="0" w:color="auto"/>
              </w:pBdr>
              <w:ind w:left="217" w:right="469"/>
              <w:jc w:val="right"/>
              <w:outlineLvl w:val="9"/>
              <w:rPr>
                <w:rFonts w:eastAsia="Times New Roman"/>
                <w:sz w:val="18"/>
                <w:szCs w:val="18"/>
                <w:bdr w:val="none" w:sz="0" w:space="0" w:color="auto"/>
                <w:lang w:eastAsia="es-ES"/>
              </w:rPr>
            </w:pPr>
            <w:r w:rsidRPr="005644E5">
              <w:rPr>
                <w:sz w:val="18"/>
                <w:szCs w:val="18"/>
              </w:rPr>
              <w:t>8.076,00</w:t>
            </w:r>
          </w:p>
        </w:tc>
      </w:tr>
      <w:tr w:rsidR="00526C3A" w:rsidRPr="005644E5" w14:paraId="0C4C6321" w14:textId="77777777" w:rsidTr="005644E5">
        <w:trPr>
          <w:trHeight w:val="283"/>
          <w:jc w:val="center"/>
        </w:trPr>
        <w:tc>
          <w:tcPr>
            <w:tcW w:w="2709" w:type="pct"/>
            <w:tcBorders>
              <w:top w:val="nil"/>
              <w:left w:val="nil"/>
              <w:bottom w:val="nil"/>
              <w:right w:val="nil"/>
            </w:tcBorders>
            <w:shd w:val="clear" w:color="auto" w:fill="auto"/>
            <w:vAlign w:val="center"/>
            <w:hideMark/>
          </w:tcPr>
          <w:p w14:paraId="22D2F42A" w14:textId="77777777" w:rsidR="00526C3A" w:rsidRPr="005644E5" w:rsidRDefault="00526C3A" w:rsidP="005644E5">
            <w:pPr>
              <w:ind w:left="217"/>
              <w:rPr>
                <w:rFonts w:eastAsia="Times New Roman"/>
                <w:sz w:val="18"/>
                <w:szCs w:val="18"/>
              </w:rPr>
            </w:pPr>
            <w:r w:rsidRPr="005644E5">
              <w:rPr>
                <w:rFonts w:eastAsia="Times New Roman"/>
                <w:sz w:val="18"/>
                <w:szCs w:val="18"/>
              </w:rPr>
              <w:t>Instalaciones técnicas</w:t>
            </w:r>
          </w:p>
        </w:tc>
        <w:tc>
          <w:tcPr>
            <w:tcW w:w="1146" w:type="pct"/>
            <w:tcBorders>
              <w:top w:val="nil"/>
              <w:left w:val="nil"/>
              <w:bottom w:val="nil"/>
              <w:right w:val="nil"/>
            </w:tcBorders>
            <w:shd w:val="clear" w:color="auto" w:fill="auto"/>
            <w:noWrap/>
            <w:vAlign w:val="center"/>
          </w:tcPr>
          <w:p w14:paraId="11EDA668" w14:textId="1876E371" w:rsidR="00526C3A" w:rsidRPr="005644E5" w:rsidRDefault="00526C3A" w:rsidP="005644E5">
            <w:pPr>
              <w:ind w:left="217" w:right="469"/>
              <w:jc w:val="right"/>
              <w:rPr>
                <w:sz w:val="18"/>
                <w:szCs w:val="18"/>
              </w:rPr>
            </w:pPr>
            <w:r w:rsidRPr="005644E5">
              <w:rPr>
                <w:sz w:val="18"/>
                <w:szCs w:val="18"/>
              </w:rPr>
              <w:t>31.551,32</w:t>
            </w:r>
          </w:p>
        </w:tc>
        <w:tc>
          <w:tcPr>
            <w:tcW w:w="1145" w:type="pct"/>
            <w:tcBorders>
              <w:top w:val="nil"/>
              <w:left w:val="nil"/>
              <w:bottom w:val="nil"/>
              <w:right w:val="nil"/>
            </w:tcBorders>
            <w:shd w:val="clear" w:color="auto" w:fill="auto"/>
            <w:noWrap/>
            <w:vAlign w:val="center"/>
          </w:tcPr>
          <w:p w14:paraId="6515B1A1" w14:textId="20D0DDC0" w:rsidR="00526C3A" w:rsidRPr="005644E5" w:rsidRDefault="00526C3A" w:rsidP="005644E5">
            <w:pPr>
              <w:ind w:left="217" w:right="469"/>
              <w:jc w:val="right"/>
              <w:rPr>
                <w:sz w:val="18"/>
                <w:szCs w:val="18"/>
              </w:rPr>
            </w:pPr>
            <w:r w:rsidRPr="005644E5">
              <w:rPr>
                <w:sz w:val="18"/>
                <w:szCs w:val="18"/>
              </w:rPr>
              <w:t>31.551,32</w:t>
            </w:r>
          </w:p>
        </w:tc>
      </w:tr>
      <w:tr w:rsidR="00526C3A" w:rsidRPr="005644E5" w14:paraId="6AE5743F" w14:textId="77777777" w:rsidTr="005644E5">
        <w:trPr>
          <w:trHeight w:val="283"/>
          <w:jc w:val="center"/>
        </w:trPr>
        <w:tc>
          <w:tcPr>
            <w:tcW w:w="2709" w:type="pct"/>
            <w:tcBorders>
              <w:top w:val="nil"/>
              <w:left w:val="nil"/>
              <w:bottom w:val="nil"/>
              <w:right w:val="nil"/>
            </w:tcBorders>
            <w:shd w:val="clear" w:color="auto" w:fill="auto"/>
            <w:vAlign w:val="center"/>
            <w:hideMark/>
          </w:tcPr>
          <w:p w14:paraId="6983A335" w14:textId="77777777" w:rsidR="00526C3A" w:rsidRPr="005644E5" w:rsidRDefault="00526C3A" w:rsidP="005644E5">
            <w:pPr>
              <w:ind w:left="217"/>
              <w:rPr>
                <w:rFonts w:eastAsia="Times New Roman"/>
                <w:sz w:val="18"/>
                <w:szCs w:val="18"/>
              </w:rPr>
            </w:pPr>
            <w:r w:rsidRPr="005644E5">
              <w:rPr>
                <w:rFonts w:eastAsia="Times New Roman"/>
                <w:sz w:val="18"/>
                <w:szCs w:val="18"/>
              </w:rPr>
              <w:t>Mobiliario</w:t>
            </w:r>
          </w:p>
        </w:tc>
        <w:tc>
          <w:tcPr>
            <w:tcW w:w="1146" w:type="pct"/>
            <w:tcBorders>
              <w:top w:val="nil"/>
              <w:left w:val="nil"/>
              <w:bottom w:val="nil"/>
              <w:right w:val="nil"/>
            </w:tcBorders>
            <w:shd w:val="clear" w:color="auto" w:fill="auto"/>
            <w:noWrap/>
            <w:vAlign w:val="center"/>
          </w:tcPr>
          <w:p w14:paraId="7A190742" w14:textId="240032DB" w:rsidR="00526C3A" w:rsidRPr="005644E5" w:rsidRDefault="00526C3A" w:rsidP="005644E5">
            <w:pPr>
              <w:ind w:left="217" w:right="469"/>
              <w:jc w:val="right"/>
              <w:rPr>
                <w:sz w:val="18"/>
                <w:szCs w:val="18"/>
              </w:rPr>
            </w:pPr>
            <w:r w:rsidRPr="005644E5">
              <w:rPr>
                <w:sz w:val="18"/>
                <w:szCs w:val="18"/>
              </w:rPr>
              <w:t>266.404,38</w:t>
            </w:r>
          </w:p>
        </w:tc>
        <w:tc>
          <w:tcPr>
            <w:tcW w:w="1145" w:type="pct"/>
            <w:tcBorders>
              <w:top w:val="nil"/>
              <w:left w:val="nil"/>
              <w:bottom w:val="nil"/>
              <w:right w:val="nil"/>
            </w:tcBorders>
            <w:shd w:val="clear" w:color="auto" w:fill="auto"/>
            <w:noWrap/>
            <w:vAlign w:val="center"/>
          </w:tcPr>
          <w:p w14:paraId="2D387B78" w14:textId="7C59D032" w:rsidR="00526C3A" w:rsidRPr="005644E5" w:rsidRDefault="00526C3A" w:rsidP="005644E5">
            <w:pPr>
              <w:ind w:left="217" w:right="469"/>
              <w:jc w:val="right"/>
              <w:rPr>
                <w:sz w:val="18"/>
                <w:szCs w:val="18"/>
              </w:rPr>
            </w:pPr>
            <w:r w:rsidRPr="005644E5">
              <w:rPr>
                <w:sz w:val="18"/>
                <w:szCs w:val="18"/>
              </w:rPr>
              <w:t>265.744,56</w:t>
            </w:r>
          </w:p>
        </w:tc>
      </w:tr>
      <w:tr w:rsidR="00526C3A" w:rsidRPr="005644E5" w14:paraId="30381245" w14:textId="77777777" w:rsidTr="005644E5">
        <w:trPr>
          <w:trHeight w:val="283"/>
          <w:jc w:val="center"/>
        </w:trPr>
        <w:tc>
          <w:tcPr>
            <w:tcW w:w="2709" w:type="pct"/>
            <w:tcBorders>
              <w:top w:val="nil"/>
              <w:left w:val="nil"/>
              <w:bottom w:val="single" w:sz="4" w:space="0" w:color="auto"/>
              <w:right w:val="nil"/>
            </w:tcBorders>
            <w:shd w:val="clear" w:color="auto" w:fill="auto"/>
            <w:vAlign w:val="center"/>
            <w:hideMark/>
          </w:tcPr>
          <w:p w14:paraId="7FA983ED" w14:textId="77777777" w:rsidR="00526C3A" w:rsidRPr="005644E5" w:rsidRDefault="00526C3A" w:rsidP="005644E5">
            <w:pPr>
              <w:ind w:left="217"/>
              <w:rPr>
                <w:rFonts w:eastAsia="Times New Roman"/>
                <w:sz w:val="18"/>
                <w:szCs w:val="18"/>
              </w:rPr>
            </w:pPr>
            <w:r w:rsidRPr="005644E5">
              <w:rPr>
                <w:rFonts w:eastAsia="Times New Roman"/>
                <w:sz w:val="18"/>
                <w:szCs w:val="18"/>
              </w:rPr>
              <w:t>Otro inmovilizado</w:t>
            </w:r>
          </w:p>
        </w:tc>
        <w:tc>
          <w:tcPr>
            <w:tcW w:w="1146" w:type="pct"/>
            <w:tcBorders>
              <w:top w:val="nil"/>
              <w:left w:val="nil"/>
              <w:bottom w:val="single" w:sz="4" w:space="0" w:color="auto"/>
              <w:right w:val="nil"/>
            </w:tcBorders>
            <w:shd w:val="clear" w:color="auto" w:fill="auto"/>
            <w:noWrap/>
            <w:vAlign w:val="center"/>
          </w:tcPr>
          <w:p w14:paraId="253722CB" w14:textId="36ABC181" w:rsidR="00526C3A" w:rsidRPr="005644E5" w:rsidRDefault="00526C3A" w:rsidP="005644E5">
            <w:pPr>
              <w:ind w:left="217" w:right="469"/>
              <w:jc w:val="right"/>
              <w:rPr>
                <w:sz w:val="18"/>
                <w:szCs w:val="18"/>
              </w:rPr>
            </w:pPr>
            <w:r w:rsidRPr="005644E5">
              <w:rPr>
                <w:sz w:val="18"/>
                <w:szCs w:val="18"/>
              </w:rPr>
              <w:t>255.840,62</w:t>
            </w:r>
          </w:p>
        </w:tc>
        <w:tc>
          <w:tcPr>
            <w:tcW w:w="1145" w:type="pct"/>
            <w:tcBorders>
              <w:top w:val="nil"/>
              <w:left w:val="nil"/>
              <w:bottom w:val="single" w:sz="4" w:space="0" w:color="auto"/>
              <w:right w:val="nil"/>
            </w:tcBorders>
            <w:shd w:val="clear" w:color="auto" w:fill="auto"/>
            <w:noWrap/>
            <w:vAlign w:val="center"/>
          </w:tcPr>
          <w:p w14:paraId="4F3E9DC9" w14:textId="1AD9BA8E" w:rsidR="00526C3A" w:rsidRPr="005644E5" w:rsidRDefault="00526C3A" w:rsidP="005644E5">
            <w:pPr>
              <w:ind w:left="217" w:right="469"/>
              <w:jc w:val="right"/>
              <w:rPr>
                <w:sz w:val="18"/>
                <w:szCs w:val="18"/>
              </w:rPr>
            </w:pPr>
            <w:r w:rsidRPr="005644E5">
              <w:rPr>
                <w:sz w:val="18"/>
                <w:szCs w:val="18"/>
              </w:rPr>
              <w:t>249.162,45</w:t>
            </w:r>
          </w:p>
        </w:tc>
      </w:tr>
      <w:tr w:rsidR="00526C3A" w:rsidRPr="005644E5" w14:paraId="7BE5951D" w14:textId="77777777" w:rsidTr="005644E5">
        <w:trPr>
          <w:trHeight w:val="283"/>
          <w:jc w:val="center"/>
        </w:trPr>
        <w:tc>
          <w:tcPr>
            <w:tcW w:w="2709" w:type="pct"/>
            <w:tcBorders>
              <w:top w:val="nil"/>
              <w:left w:val="nil"/>
              <w:bottom w:val="single" w:sz="4" w:space="0" w:color="auto"/>
              <w:right w:val="nil"/>
            </w:tcBorders>
            <w:shd w:val="clear" w:color="auto" w:fill="auto"/>
            <w:noWrap/>
            <w:vAlign w:val="center"/>
            <w:hideMark/>
          </w:tcPr>
          <w:p w14:paraId="7221AA45" w14:textId="77777777" w:rsidR="00526C3A" w:rsidRPr="005644E5" w:rsidRDefault="00526C3A" w:rsidP="005644E5">
            <w:pPr>
              <w:ind w:left="217"/>
              <w:rPr>
                <w:rFonts w:eastAsia="Times New Roman"/>
                <w:b/>
                <w:bCs/>
                <w:sz w:val="18"/>
                <w:szCs w:val="18"/>
              </w:rPr>
            </w:pPr>
            <w:r w:rsidRPr="005644E5">
              <w:rPr>
                <w:rFonts w:eastAsia="Times New Roman"/>
                <w:b/>
                <w:bCs/>
                <w:sz w:val="18"/>
                <w:szCs w:val="18"/>
              </w:rPr>
              <w:t>Total</w:t>
            </w:r>
          </w:p>
        </w:tc>
        <w:tc>
          <w:tcPr>
            <w:tcW w:w="1146" w:type="pct"/>
            <w:tcBorders>
              <w:top w:val="nil"/>
              <w:left w:val="nil"/>
              <w:bottom w:val="single" w:sz="4" w:space="0" w:color="auto"/>
              <w:right w:val="nil"/>
            </w:tcBorders>
            <w:shd w:val="clear" w:color="auto" w:fill="auto"/>
            <w:noWrap/>
            <w:vAlign w:val="center"/>
          </w:tcPr>
          <w:p w14:paraId="108E04AB" w14:textId="762B4E0F" w:rsidR="00526C3A" w:rsidRPr="005644E5" w:rsidRDefault="00526C3A" w:rsidP="005644E5">
            <w:pPr>
              <w:ind w:left="217" w:right="469"/>
              <w:jc w:val="right"/>
              <w:rPr>
                <w:b/>
                <w:bCs/>
                <w:sz w:val="18"/>
                <w:szCs w:val="18"/>
              </w:rPr>
            </w:pPr>
            <w:r w:rsidRPr="005644E5">
              <w:rPr>
                <w:b/>
                <w:bCs/>
                <w:sz w:val="18"/>
                <w:szCs w:val="18"/>
              </w:rPr>
              <w:t>561.872,32</w:t>
            </w:r>
          </w:p>
        </w:tc>
        <w:tc>
          <w:tcPr>
            <w:tcW w:w="1145" w:type="pct"/>
            <w:tcBorders>
              <w:top w:val="nil"/>
              <w:left w:val="nil"/>
              <w:bottom w:val="single" w:sz="4" w:space="0" w:color="auto"/>
              <w:right w:val="nil"/>
            </w:tcBorders>
            <w:shd w:val="clear" w:color="auto" w:fill="auto"/>
            <w:noWrap/>
            <w:vAlign w:val="center"/>
            <w:hideMark/>
          </w:tcPr>
          <w:p w14:paraId="3355C14E" w14:textId="1B758A69" w:rsidR="00526C3A" w:rsidRPr="005644E5" w:rsidRDefault="00526C3A" w:rsidP="005644E5">
            <w:pPr>
              <w:ind w:left="217" w:right="469"/>
              <w:jc w:val="right"/>
              <w:rPr>
                <w:b/>
                <w:bCs/>
                <w:sz w:val="18"/>
                <w:szCs w:val="18"/>
              </w:rPr>
            </w:pPr>
            <w:r w:rsidRPr="005644E5">
              <w:rPr>
                <w:b/>
                <w:bCs/>
                <w:sz w:val="18"/>
                <w:szCs w:val="18"/>
              </w:rPr>
              <w:t>554.534,33</w:t>
            </w:r>
          </w:p>
        </w:tc>
      </w:tr>
    </w:tbl>
    <w:p w14:paraId="31967A30" w14:textId="77777777" w:rsidR="006220A2" w:rsidRPr="0083433F" w:rsidRDefault="006220A2" w:rsidP="006220A2">
      <w:pPr>
        <w:widowControl w:val="0"/>
        <w:tabs>
          <w:tab w:val="left" w:pos="284"/>
        </w:tabs>
        <w:spacing w:before="200"/>
        <w:rPr>
          <w:sz w:val="20"/>
          <w:szCs w:val="22"/>
        </w:rPr>
      </w:pPr>
      <w:r w:rsidRPr="0083433F">
        <w:rPr>
          <w:snapToGrid w:val="0"/>
          <w:sz w:val="20"/>
          <w:szCs w:val="22"/>
        </w:rPr>
        <w:t>d)</w:t>
      </w:r>
      <w:r w:rsidRPr="0083433F">
        <w:rPr>
          <w:snapToGrid w:val="0"/>
          <w:sz w:val="20"/>
          <w:szCs w:val="22"/>
        </w:rPr>
        <w:tab/>
      </w:r>
      <w:r w:rsidRPr="0083433F">
        <w:rPr>
          <w:snapToGrid w:val="0"/>
          <w:sz w:val="20"/>
          <w:szCs w:val="22"/>
          <w:u w:val="single"/>
        </w:rPr>
        <w:t>Bienes bajo arrendamiento operativo</w:t>
      </w:r>
    </w:p>
    <w:p w14:paraId="74DA58A1" w14:textId="37AC5E97" w:rsidR="00601586"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 xml:space="preserve">En la cuenta de pérdidas y ganancias se han incluido gastos por arrendamiento operativo correspondientes al alquiler de unas oficinas por importe de </w:t>
      </w:r>
      <w:r w:rsidR="008B575B" w:rsidRPr="005644E5">
        <w:rPr>
          <w:snapToGrid w:val="0"/>
          <w:sz w:val="20"/>
          <w:szCs w:val="22"/>
        </w:rPr>
        <w:t>65.</w:t>
      </w:r>
      <w:r w:rsidR="00956D35" w:rsidRPr="005644E5">
        <w:rPr>
          <w:snapToGrid w:val="0"/>
          <w:sz w:val="20"/>
          <w:szCs w:val="22"/>
        </w:rPr>
        <w:t>680,19</w:t>
      </w:r>
      <w:r w:rsidR="008B575B" w:rsidRPr="005644E5">
        <w:rPr>
          <w:snapToGrid w:val="0"/>
          <w:sz w:val="20"/>
          <w:szCs w:val="22"/>
        </w:rPr>
        <w:t xml:space="preserve"> </w:t>
      </w:r>
      <w:r w:rsidRPr="005644E5">
        <w:rPr>
          <w:snapToGrid w:val="0"/>
          <w:sz w:val="20"/>
          <w:szCs w:val="22"/>
        </w:rPr>
        <w:t>euros (</w:t>
      </w:r>
      <w:r w:rsidR="00956D35" w:rsidRPr="005644E5">
        <w:rPr>
          <w:snapToGrid w:val="0"/>
          <w:sz w:val="20"/>
          <w:szCs w:val="22"/>
        </w:rPr>
        <w:t xml:space="preserve">65.219,40 </w:t>
      </w:r>
      <w:r w:rsidRPr="005644E5">
        <w:rPr>
          <w:snapToGrid w:val="0"/>
          <w:sz w:val="20"/>
          <w:szCs w:val="22"/>
        </w:rPr>
        <w:t>euros en 20</w:t>
      </w:r>
      <w:r w:rsidR="00BA0A03" w:rsidRPr="005644E5">
        <w:rPr>
          <w:snapToGrid w:val="0"/>
          <w:sz w:val="20"/>
          <w:szCs w:val="22"/>
        </w:rPr>
        <w:t>20</w:t>
      </w:r>
      <w:r w:rsidRPr="005644E5">
        <w:rPr>
          <w:snapToGrid w:val="0"/>
          <w:sz w:val="20"/>
          <w:szCs w:val="22"/>
        </w:rPr>
        <w:t>).</w:t>
      </w:r>
    </w:p>
    <w:p w14:paraId="7787067B" w14:textId="3F0ED91F" w:rsidR="006220A2" w:rsidRPr="00B93FDD" w:rsidRDefault="006220A2" w:rsidP="006220A2">
      <w:pPr>
        <w:widowControl w:val="0"/>
        <w:tabs>
          <w:tab w:val="left" w:pos="284"/>
        </w:tabs>
        <w:spacing w:before="200"/>
        <w:rPr>
          <w:snapToGrid w:val="0"/>
          <w:sz w:val="20"/>
          <w:szCs w:val="22"/>
          <w:u w:val="single"/>
        </w:rPr>
      </w:pPr>
      <w:r w:rsidRPr="0083433F">
        <w:rPr>
          <w:snapToGrid w:val="0"/>
          <w:sz w:val="20"/>
          <w:szCs w:val="22"/>
        </w:rPr>
        <w:t>e</w:t>
      </w:r>
      <w:r w:rsidRPr="00184A9E">
        <w:rPr>
          <w:snapToGrid w:val="0"/>
          <w:sz w:val="20"/>
          <w:szCs w:val="22"/>
        </w:rPr>
        <w:t>)</w:t>
      </w:r>
      <w:r w:rsidRPr="00184A9E">
        <w:rPr>
          <w:snapToGrid w:val="0"/>
          <w:sz w:val="20"/>
          <w:szCs w:val="22"/>
        </w:rPr>
        <w:tab/>
      </w:r>
      <w:r w:rsidRPr="00184A9E">
        <w:rPr>
          <w:snapToGrid w:val="0"/>
          <w:sz w:val="20"/>
          <w:szCs w:val="22"/>
          <w:u w:val="single"/>
        </w:rPr>
        <w:t>Subvenciones recibidas</w:t>
      </w:r>
    </w:p>
    <w:p w14:paraId="4C8E840B" w14:textId="77777777" w:rsidR="00EF7826" w:rsidRDefault="00EF7826" w:rsidP="005644E5">
      <w:pPr>
        <w:widowControl w:val="0"/>
        <w:spacing w:before="120" w:after="120" w:line="260" w:lineRule="exact"/>
        <w:ind w:left="284"/>
        <w:jc w:val="both"/>
        <w:outlineLvl w:val="9"/>
        <w:rPr>
          <w:snapToGrid w:val="0"/>
          <w:sz w:val="20"/>
          <w:szCs w:val="22"/>
        </w:rPr>
      </w:pPr>
      <w:r>
        <w:rPr>
          <w:snapToGrid w:val="0"/>
          <w:sz w:val="20"/>
          <w:szCs w:val="22"/>
        </w:rPr>
        <w:t>En el ejercicio 2021 no ha recibido subvenciones para la adquisición de inmovilizado.</w:t>
      </w:r>
    </w:p>
    <w:p w14:paraId="12108F67" w14:textId="5D5E8D73" w:rsidR="009A1CDA" w:rsidRPr="005644E5" w:rsidRDefault="009A1CDA" w:rsidP="005644E5">
      <w:pPr>
        <w:widowControl w:val="0"/>
        <w:spacing w:before="120" w:after="120" w:line="260" w:lineRule="exact"/>
        <w:ind w:left="284"/>
        <w:jc w:val="both"/>
        <w:outlineLvl w:val="9"/>
        <w:rPr>
          <w:snapToGrid w:val="0"/>
          <w:sz w:val="20"/>
          <w:szCs w:val="22"/>
        </w:rPr>
      </w:pPr>
      <w:r w:rsidRPr="00B93FDD">
        <w:rPr>
          <w:snapToGrid w:val="0"/>
          <w:sz w:val="20"/>
          <w:szCs w:val="22"/>
        </w:rPr>
        <w:t xml:space="preserve">En el </w:t>
      </w:r>
      <w:r w:rsidR="007F3953" w:rsidRPr="00B93FDD">
        <w:rPr>
          <w:snapToGrid w:val="0"/>
          <w:sz w:val="20"/>
          <w:szCs w:val="22"/>
        </w:rPr>
        <w:t xml:space="preserve">ejercicio 2020 la Sociedad recibió una subvención por valor de 90.600 euros, para la implantación de medida sanitarias en relación </w:t>
      </w:r>
      <w:r w:rsidR="008C7C5B">
        <w:rPr>
          <w:snapToGrid w:val="0"/>
          <w:sz w:val="20"/>
          <w:szCs w:val="22"/>
        </w:rPr>
        <w:t>con</w:t>
      </w:r>
      <w:r w:rsidR="007F3953" w:rsidRPr="00B93FDD">
        <w:rPr>
          <w:snapToGrid w:val="0"/>
          <w:sz w:val="20"/>
          <w:szCs w:val="22"/>
        </w:rPr>
        <w:t xml:space="preserve"> la COVID-19 </w:t>
      </w:r>
      <w:r w:rsidR="00D365EE" w:rsidRPr="00B93FDD">
        <w:rPr>
          <w:snapToGrid w:val="0"/>
          <w:sz w:val="20"/>
          <w:szCs w:val="22"/>
        </w:rPr>
        <w:t xml:space="preserve">según el proyecto “Canarias Fortaleza” </w:t>
      </w:r>
      <w:r w:rsidR="007F3953" w:rsidRPr="00B93FDD">
        <w:rPr>
          <w:snapToGrid w:val="0"/>
          <w:sz w:val="20"/>
          <w:szCs w:val="22"/>
        </w:rPr>
        <w:t>(Ver Nota 15.1).</w:t>
      </w:r>
    </w:p>
    <w:p w14:paraId="3B90BDA8" w14:textId="77777777" w:rsidR="006220A2" w:rsidRPr="00B93FDD" w:rsidRDefault="006220A2" w:rsidP="006220A2">
      <w:pPr>
        <w:widowControl w:val="0"/>
        <w:tabs>
          <w:tab w:val="left" w:pos="284"/>
        </w:tabs>
        <w:spacing w:before="200"/>
        <w:rPr>
          <w:snapToGrid w:val="0"/>
          <w:sz w:val="20"/>
          <w:szCs w:val="22"/>
          <w:u w:val="single"/>
        </w:rPr>
      </w:pPr>
      <w:r w:rsidRPr="00B93FDD">
        <w:rPr>
          <w:snapToGrid w:val="0"/>
          <w:sz w:val="20"/>
          <w:szCs w:val="22"/>
        </w:rPr>
        <w:t>f)</w:t>
      </w:r>
      <w:r w:rsidRPr="00B93FDD">
        <w:rPr>
          <w:snapToGrid w:val="0"/>
          <w:sz w:val="20"/>
          <w:szCs w:val="22"/>
        </w:rPr>
        <w:tab/>
      </w:r>
      <w:r w:rsidRPr="00B93FDD">
        <w:rPr>
          <w:snapToGrid w:val="0"/>
          <w:sz w:val="20"/>
          <w:szCs w:val="22"/>
          <w:u w:val="single"/>
        </w:rPr>
        <w:t>Seguros</w:t>
      </w:r>
    </w:p>
    <w:p w14:paraId="3AC8A96D" w14:textId="77777777" w:rsidR="006220A2" w:rsidRPr="00B93FDD" w:rsidRDefault="006220A2" w:rsidP="005644E5">
      <w:pPr>
        <w:widowControl w:val="0"/>
        <w:spacing w:before="120" w:after="120" w:line="260" w:lineRule="exact"/>
        <w:ind w:left="284"/>
        <w:jc w:val="both"/>
        <w:outlineLvl w:val="9"/>
        <w:rPr>
          <w:snapToGrid w:val="0"/>
          <w:sz w:val="20"/>
          <w:szCs w:val="22"/>
        </w:rPr>
      </w:pPr>
      <w:r w:rsidRPr="00B93FDD">
        <w:rPr>
          <w:snapToGrid w:val="0"/>
          <w:sz w:val="20"/>
          <w:szCs w:val="22"/>
        </w:rPr>
        <w:t>La Sociedad tiene contratadas varias pólizas de seguro para cubrir los riesgos a que están sujetos los bienes del inmovilizado material. La cobertura de estas pólizas se considera suficiente.</w:t>
      </w:r>
    </w:p>
    <w:p w14:paraId="3F189ACE" w14:textId="77777777" w:rsidR="006220A2" w:rsidRPr="00B93FDD" w:rsidRDefault="006220A2" w:rsidP="006220A2">
      <w:pPr>
        <w:jc w:val="both"/>
        <w:rPr>
          <w:snapToGrid w:val="0"/>
          <w:sz w:val="20"/>
          <w:szCs w:val="22"/>
        </w:rPr>
      </w:pPr>
    </w:p>
    <w:p w14:paraId="12A8F185" w14:textId="77BA4DFC" w:rsidR="006220A2" w:rsidRPr="00DA650E" w:rsidRDefault="00F5041C"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bookmarkStart w:id="5" w:name="nota25"/>
      <w:bookmarkEnd w:id="5"/>
      <w:r w:rsidRPr="00DA650E">
        <w:rPr>
          <w:b/>
          <w:snapToGrid w:val="0"/>
          <w:sz w:val="22"/>
          <w:szCs w:val="22"/>
        </w:rPr>
        <w:t xml:space="preserve"> </w:t>
      </w:r>
      <w:r w:rsidR="006220A2" w:rsidRPr="00DA650E">
        <w:rPr>
          <w:b/>
          <w:snapToGrid w:val="0"/>
          <w:sz w:val="22"/>
          <w:szCs w:val="22"/>
        </w:rPr>
        <w:t>Arrendamientos y otras operaciones de naturaleza similar</w:t>
      </w:r>
    </w:p>
    <w:p w14:paraId="76464305" w14:textId="77777777" w:rsidR="006220A2" w:rsidRPr="00DA650E" w:rsidRDefault="006220A2" w:rsidP="008C63CA">
      <w:pPr>
        <w:keepNext/>
        <w:keepLines/>
        <w:widowControl w:val="0"/>
        <w:tabs>
          <w:tab w:val="left" w:pos="284"/>
          <w:tab w:val="left" w:pos="1134"/>
          <w:tab w:val="left" w:pos="1588"/>
        </w:tabs>
        <w:spacing w:before="200"/>
        <w:rPr>
          <w:sz w:val="20"/>
          <w:szCs w:val="22"/>
        </w:rPr>
      </w:pPr>
      <w:r w:rsidRPr="00DA650E">
        <w:rPr>
          <w:sz w:val="20"/>
          <w:szCs w:val="22"/>
        </w:rPr>
        <w:t>a)</w:t>
      </w:r>
      <w:r w:rsidRPr="00DA650E">
        <w:rPr>
          <w:sz w:val="20"/>
          <w:szCs w:val="22"/>
        </w:rPr>
        <w:tab/>
      </w:r>
      <w:r w:rsidRPr="00DA650E">
        <w:rPr>
          <w:sz w:val="20"/>
          <w:szCs w:val="22"/>
          <w:u w:val="single"/>
        </w:rPr>
        <w:t>Compromisos por arrendamiento operativo</w:t>
      </w:r>
      <w:r w:rsidRPr="00DA650E">
        <w:rPr>
          <w:sz w:val="20"/>
          <w:szCs w:val="22"/>
        </w:rPr>
        <w:t>.</w:t>
      </w:r>
    </w:p>
    <w:p w14:paraId="00861081" w14:textId="77777777" w:rsidR="006220A2"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La Sociedad alquila instalaciones bajo contratos no cancelables de arrendamiento operativo.</w:t>
      </w:r>
    </w:p>
    <w:p w14:paraId="3233D7BE" w14:textId="77777777" w:rsidR="006220A2"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Los pagos mínimos totales futuros por los arrendamientos operativos no cancelables son los siguientes:</w:t>
      </w:r>
    </w:p>
    <w:tbl>
      <w:tblPr>
        <w:tblW w:w="5000" w:type="pct"/>
        <w:jc w:val="center"/>
        <w:tblCellMar>
          <w:left w:w="70" w:type="dxa"/>
          <w:right w:w="70" w:type="dxa"/>
        </w:tblCellMar>
        <w:tblLook w:val="04A0" w:firstRow="1" w:lastRow="0" w:firstColumn="1" w:lastColumn="0" w:noHBand="0" w:noVBand="1"/>
      </w:tblPr>
      <w:tblGrid>
        <w:gridCol w:w="4869"/>
        <w:gridCol w:w="1956"/>
        <w:gridCol w:w="1956"/>
      </w:tblGrid>
      <w:tr w:rsidR="00754640" w:rsidRPr="005644E5" w14:paraId="1D4027D4" w14:textId="77777777" w:rsidTr="007E7835">
        <w:trPr>
          <w:trHeight w:val="227"/>
          <w:jc w:val="center"/>
        </w:trPr>
        <w:tc>
          <w:tcPr>
            <w:tcW w:w="2772" w:type="pct"/>
            <w:tcBorders>
              <w:top w:val="single" w:sz="4" w:space="0" w:color="auto"/>
              <w:left w:val="nil"/>
              <w:bottom w:val="nil"/>
              <w:right w:val="nil"/>
            </w:tcBorders>
            <w:shd w:val="clear" w:color="auto" w:fill="auto"/>
            <w:vAlign w:val="bottom"/>
            <w:hideMark/>
          </w:tcPr>
          <w:p w14:paraId="09E85451" w14:textId="77777777" w:rsidR="00754640" w:rsidRPr="005644E5" w:rsidRDefault="00754640" w:rsidP="005644E5">
            <w:pPr>
              <w:pBdr>
                <w:top w:val="none" w:sz="0" w:space="0" w:color="auto"/>
                <w:left w:val="none" w:sz="0" w:space="0" w:color="auto"/>
                <w:bottom w:val="none" w:sz="0" w:space="0" w:color="auto"/>
                <w:right w:val="none" w:sz="0" w:space="0" w:color="auto"/>
                <w:between w:val="none" w:sz="0" w:space="0" w:color="auto"/>
                <w:bar w:val="none" w:sz="0" w:color="auto"/>
              </w:pBdr>
              <w:ind w:left="359"/>
              <w:jc w:val="center"/>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w:t>
            </w:r>
          </w:p>
        </w:tc>
        <w:tc>
          <w:tcPr>
            <w:tcW w:w="2228" w:type="pct"/>
            <w:gridSpan w:val="2"/>
            <w:tcBorders>
              <w:top w:val="single" w:sz="4" w:space="0" w:color="auto"/>
              <w:left w:val="nil"/>
              <w:bottom w:val="single" w:sz="4" w:space="0" w:color="auto"/>
              <w:right w:val="nil"/>
            </w:tcBorders>
            <w:shd w:val="clear" w:color="auto" w:fill="auto"/>
            <w:vAlign w:val="bottom"/>
            <w:hideMark/>
          </w:tcPr>
          <w:p w14:paraId="30F7608F" w14:textId="77777777" w:rsidR="00754640" w:rsidRPr="005644E5" w:rsidRDefault="00754640" w:rsidP="005644E5">
            <w:pPr>
              <w:pBdr>
                <w:top w:val="none" w:sz="0" w:space="0" w:color="auto"/>
                <w:left w:val="none" w:sz="0" w:space="0" w:color="auto"/>
                <w:bottom w:val="none" w:sz="0" w:space="0" w:color="auto"/>
                <w:right w:val="none" w:sz="0" w:space="0" w:color="auto"/>
                <w:between w:val="none" w:sz="0" w:space="0" w:color="auto"/>
                <w:bar w:val="none" w:sz="0" w:color="auto"/>
              </w:pBdr>
              <w:ind w:right="239"/>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Euros</w:t>
            </w:r>
          </w:p>
        </w:tc>
      </w:tr>
      <w:tr w:rsidR="00DA650E" w:rsidRPr="005644E5" w14:paraId="23460C5D" w14:textId="77777777" w:rsidTr="0080257D">
        <w:trPr>
          <w:trHeight w:val="227"/>
          <w:jc w:val="center"/>
        </w:trPr>
        <w:tc>
          <w:tcPr>
            <w:tcW w:w="2772" w:type="pct"/>
            <w:tcBorders>
              <w:top w:val="nil"/>
              <w:left w:val="nil"/>
              <w:bottom w:val="single" w:sz="4" w:space="0" w:color="auto"/>
              <w:right w:val="nil"/>
            </w:tcBorders>
            <w:shd w:val="clear" w:color="auto" w:fill="auto"/>
            <w:vAlign w:val="bottom"/>
            <w:hideMark/>
          </w:tcPr>
          <w:p w14:paraId="4144B1FE" w14:textId="77777777" w:rsidR="00DA650E" w:rsidRPr="005644E5" w:rsidRDefault="00DA650E" w:rsidP="005644E5">
            <w:pPr>
              <w:pBdr>
                <w:top w:val="none" w:sz="0" w:space="0" w:color="auto"/>
                <w:left w:val="none" w:sz="0" w:space="0" w:color="auto"/>
                <w:bottom w:val="none" w:sz="0" w:space="0" w:color="auto"/>
                <w:right w:val="none" w:sz="0" w:space="0" w:color="auto"/>
                <w:between w:val="none" w:sz="0" w:space="0" w:color="auto"/>
                <w:bar w:val="none" w:sz="0" w:color="auto"/>
              </w:pBdr>
              <w:ind w:left="359"/>
              <w:jc w:val="center"/>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w:t>
            </w:r>
          </w:p>
        </w:tc>
        <w:tc>
          <w:tcPr>
            <w:tcW w:w="1114" w:type="pct"/>
            <w:tcBorders>
              <w:top w:val="nil"/>
              <w:left w:val="nil"/>
              <w:bottom w:val="single" w:sz="4" w:space="0" w:color="auto"/>
              <w:right w:val="nil"/>
            </w:tcBorders>
            <w:shd w:val="clear" w:color="auto" w:fill="auto"/>
            <w:noWrap/>
            <w:vAlign w:val="bottom"/>
            <w:hideMark/>
          </w:tcPr>
          <w:p w14:paraId="036D216D" w14:textId="070192E8" w:rsidR="00DA650E" w:rsidRPr="005644E5" w:rsidRDefault="00DA650E" w:rsidP="005644E5">
            <w:pPr>
              <w:pBdr>
                <w:top w:val="none" w:sz="0" w:space="0" w:color="auto"/>
                <w:left w:val="none" w:sz="0" w:space="0" w:color="auto"/>
                <w:bottom w:val="none" w:sz="0" w:space="0" w:color="auto"/>
                <w:right w:val="none" w:sz="0" w:space="0" w:color="auto"/>
                <w:between w:val="none" w:sz="0" w:space="0" w:color="auto"/>
                <w:bar w:val="none" w:sz="0" w:color="auto"/>
              </w:pBdr>
              <w:ind w:right="239"/>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2021</w:t>
            </w:r>
          </w:p>
        </w:tc>
        <w:tc>
          <w:tcPr>
            <w:tcW w:w="1114" w:type="pct"/>
            <w:tcBorders>
              <w:top w:val="nil"/>
              <w:left w:val="nil"/>
              <w:bottom w:val="single" w:sz="4" w:space="0" w:color="auto"/>
              <w:right w:val="nil"/>
            </w:tcBorders>
            <w:shd w:val="clear" w:color="auto" w:fill="auto"/>
            <w:vAlign w:val="bottom"/>
            <w:hideMark/>
          </w:tcPr>
          <w:p w14:paraId="0CA7FA9D" w14:textId="6989A88C" w:rsidR="00DA650E" w:rsidRPr="005644E5" w:rsidRDefault="00DA650E" w:rsidP="005644E5">
            <w:pPr>
              <w:pBdr>
                <w:top w:val="none" w:sz="0" w:space="0" w:color="auto"/>
                <w:left w:val="none" w:sz="0" w:space="0" w:color="auto"/>
                <w:bottom w:val="none" w:sz="0" w:space="0" w:color="auto"/>
                <w:right w:val="none" w:sz="0" w:space="0" w:color="auto"/>
                <w:between w:val="none" w:sz="0" w:space="0" w:color="auto"/>
                <w:bar w:val="none" w:sz="0" w:color="auto"/>
              </w:pBdr>
              <w:ind w:right="239"/>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2020</w:t>
            </w:r>
          </w:p>
        </w:tc>
      </w:tr>
      <w:tr w:rsidR="00BF3F0E" w:rsidRPr="005644E5" w14:paraId="282B8BE9" w14:textId="77777777" w:rsidTr="005644E5">
        <w:trPr>
          <w:trHeight w:val="283"/>
          <w:jc w:val="center"/>
        </w:trPr>
        <w:tc>
          <w:tcPr>
            <w:tcW w:w="2772" w:type="pct"/>
            <w:tcBorders>
              <w:top w:val="nil"/>
              <w:left w:val="nil"/>
              <w:bottom w:val="nil"/>
              <w:right w:val="nil"/>
            </w:tcBorders>
            <w:shd w:val="clear" w:color="auto" w:fill="auto"/>
            <w:vAlign w:val="center"/>
            <w:hideMark/>
          </w:tcPr>
          <w:p w14:paraId="51550F85" w14:textId="77777777" w:rsidR="00BF3F0E" w:rsidRPr="005644E5" w:rsidRDefault="00BF3F0E" w:rsidP="005644E5">
            <w:pPr>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xml:space="preserve">Hasta un año </w:t>
            </w:r>
          </w:p>
        </w:tc>
        <w:tc>
          <w:tcPr>
            <w:tcW w:w="1114" w:type="pct"/>
            <w:tcBorders>
              <w:top w:val="nil"/>
              <w:left w:val="nil"/>
              <w:bottom w:val="nil"/>
              <w:right w:val="nil"/>
            </w:tcBorders>
            <w:shd w:val="clear" w:color="auto" w:fill="auto"/>
            <w:noWrap/>
            <w:vAlign w:val="center"/>
          </w:tcPr>
          <w:p w14:paraId="474142F3" w14:textId="7E819125" w:rsidR="00BF3F0E" w:rsidRPr="005644E5" w:rsidRDefault="00BF3F0E" w:rsidP="005644E5">
            <w:pPr>
              <w:pBdr>
                <w:top w:val="none" w:sz="0" w:space="0" w:color="auto"/>
                <w:left w:val="none" w:sz="0" w:space="0" w:color="auto"/>
                <w:bottom w:val="none" w:sz="0" w:space="0" w:color="auto"/>
                <w:right w:val="none" w:sz="0" w:space="0" w:color="auto"/>
                <w:between w:val="none" w:sz="0" w:space="0" w:color="auto"/>
                <w:bar w:val="none" w:sz="0" w:color="auto"/>
              </w:pBdr>
              <w:ind w:right="239"/>
              <w:jc w:val="right"/>
              <w:outlineLvl w:val="9"/>
              <w:rPr>
                <w:rFonts w:eastAsia="Times New Roman"/>
                <w:sz w:val="18"/>
                <w:szCs w:val="18"/>
                <w:bdr w:val="none" w:sz="0" w:space="0" w:color="auto"/>
                <w:lang w:eastAsia="es-ES"/>
              </w:rPr>
            </w:pPr>
            <w:r w:rsidRPr="005644E5">
              <w:rPr>
                <w:sz w:val="18"/>
                <w:szCs w:val="18"/>
              </w:rPr>
              <w:t>65.680,19</w:t>
            </w:r>
          </w:p>
        </w:tc>
        <w:tc>
          <w:tcPr>
            <w:tcW w:w="1114" w:type="pct"/>
            <w:tcBorders>
              <w:top w:val="nil"/>
              <w:left w:val="nil"/>
              <w:bottom w:val="nil"/>
              <w:right w:val="nil"/>
            </w:tcBorders>
            <w:shd w:val="clear" w:color="auto" w:fill="auto"/>
            <w:vAlign w:val="center"/>
            <w:hideMark/>
          </w:tcPr>
          <w:p w14:paraId="2DB231C1" w14:textId="56DD78F5" w:rsidR="00BF3F0E" w:rsidRPr="005644E5" w:rsidRDefault="00BF3F0E" w:rsidP="005644E5">
            <w:pPr>
              <w:ind w:right="239"/>
              <w:jc w:val="right"/>
              <w:rPr>
                <w:sz w:val="18"/>
                <w:szCs w:val="18"/>
              </w:rPr>
            </w:pPr>
            <w:r w:rsidRPr="005644E5">
              <w:rPr>
                <w:sz w:val="18"/>
                <w:szCs w:val="18"/>
              </w:rPr>
              <w:t>65.219,40</w:t>
            </w:r>
          </w:p>
        </w:tc>
      </w:tr>
      <w:tr w:rsidR="00BF3F0E" w:rsidRPr="005644E5" w14:paraId="3D785F5E" w14:textId="77777777" w:rsidTr="005644E5">
        <w:trPr>
          <w:trHeight w:val="283"/>
          <w:jc w:val="center"/>
        </w:trPr>
        <w:tc>
          <w:tcPr>
            <w:tcW w:w="2772" w:type="pct"/>
            <w:tcBorders>
              <w:top w:val="nil"/>
              <w:left w:val="nil"/>
              <w:bottom w:val="single" w:sz="4" w:space="0" w:color="auto"/>
              <w:right w:val="nil"/>
            </w:tcBorders>
            <w:shd w:val="clear" w:color="auto" w:fill="auto"/>
            <w:vAlign w:val="center"/>
            <w:hideMark/>
          </w:tcPr>
          <w:p w14:paraId="29A33879" w14:textId="77777777" w:rsidR="00BF3F0E" w:rsidRPr="005644E5" w:rsidRDefault="00BF3F0E" w:rsidP="005644E5">
            <w:pPr>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Entre uno y cinco años</w:t>
            </w:r>
          </w:p>
        </w:tc>
        <w:tc>
          <w:tcPr>
            <w:tcW w:w="1114" w:type="pct"/>
            <w:tcBorders>
              <w:top w:val="nil"/>
              <w:left w:val="nil"/>
              <w:bottom w:val="single" w:sz="4" w:space="0" w:color="auto"/>
              <w:right w:val="nil"/>
            </w:tcBorders>
            <w:shd w:val="clear" w:color="auto" w:fill="auto"/>
            <w:noWrap/>
            <w:vAlign w:val="center"/>
          </w:tcPr>
          <w:p w14:paraId="75BA30BA" w14:textId="4BAA3DAA" w:rsidR="00BF3F0E" w:rsidRPr="005644E5" w:rsidRDefault="00BF3F0E" w:rsidP="005644E5">
            <w:pPr>
              <w:ind w:right="239"/>
              <w:jc w:val="right"/>
              <w:rPr>
                <w:sz w:val="18"/>
                <w:szCs w:val="18"/>
              </w:rPr>
            </w:pPr>
            <w:r w:rsidRPr="005644E5">
              <w:rPr>
                <w:sz w:val="18"/>
                <w:szCs w:val="18"/>
              </w:rPr>
              <w:t>94.531,04</w:t>
            </w:r>
          </w:p>
        </w:tc>
        <w:tc>
          <w:tcPr>
            <w:tcW w:w="1114" w:type="pct"/>
            <w:tcBorders>
              <w:top w:val="nil"/>
              <w:left w:val="nil"/>
              <w:bottom w:val="nil"/>
              <w:right w:val="nil"/>
            </w:tcBorders>
            <w:shd w:val="clear" w:color="auto" w:fill="auto"/>
            <w:vAlign w:val="center"/>
            <w:hideMark/>
          </w:tcPr>
          <w:p w14:paraId="02EC474F" w14:textId="19006A7E" w:rsidR="00BF3F0E" w:rsidRPr="005644E5" w:rsidRDefault="00BF3F0E" w:rsidP="005644E5">
            <w:pPr>
              <w:ind w:right="239"/>
              <w:jc w:val="right"/>
              <w:rPr>
                <w:sz w:val="18"/>
                <w:szCs w:val="18"/>
              </w:rPr>
            </w:pPr>
            <w:r w:rsidRPr="005644E5">
              <w:rPr>
                <w:sz w:val="18"/>
                <w:szCs w:val="18"/>
              </w:rPr>
              <w:t>159.174,45</w:t>
            </w:r>
          </w:p>
        </w:tc>
      </w:tr>
      <w:tr w:rsidR="00BF3F0E" w:rsidRPr="005644E5" w14:paraId="71DA5A20" w14:textId="77777777" w:rsidTr="005644E5">
        <w:trPr>
          <w:trHeight w:val="283"/>
          <w:jc w:val="center"/>
        </w:trPr>
        <w:tc>
          <w:tcPr>
            <w:tcW w:w="2772" w:type="pct"/>
            <w:tcBorders>
              <w:top w:val="nil"/>
              <w:left w:val="nil"/>
              <w:bottom w:val="single" w:sz="4" w:space="0" w:color="auto"/>
              <w:right w:val="nil"/>
            </w:tcBorders>
            <w:shd w:val="clear" w:color="auto" w:fill="auto"/>
            <w:vAlign w:val="center"/>
            <w:hideMark/>
          </w:tcPr>
          <w:p w14:paraId="4DEF5F6F" w14:textId="77777777" w:rsidR="00BF3F0E" w:rsidRPr="005644E5" w:rsidRDefault="00BF3F0E" w:rsidP="005644E5">
            <w:pPr>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Total</w:t>
            </w:r>
          </w:p>
        </w:tc>
        <w:tc>
          <w:tcPr>
            <w:tcW w:w="1114" w:type="pct"/>
            <w:tcBorders>
              <w:top w:val="nil"/>
              <w:left w:val="nil"/>
              <w:bottom w:val="single" w:sz="4" w:space="0" w:color="auto"/>
              <w:right w:val="nil"/>
            </w:tcBorders>
            <w:shd w:val="clear" w:color="auto" w:fill="auto"/>
            <w:noWrap/>
            <w:vAlign w:val="center"/>
          </w:tcPr>
          <w:p w14:paraId="732CFE56" w14:textId="5D0C7B19" w:rsidR="00BF3F0E" w:rsidRPr="005644E5" w:rsidRDefault="00BF3F0E" w:rsidP="005644E5">
            <w:pPr>
              <w:ind w:right="239"/>
              <w:jc w:val="right"/>
              <w:rPr>
                <w:b/>
                <w:bCs/>
                <w:sz w:val="18"/>
                <w:szCs w:val="18"/>
              </w:rPr>
            </w:pPr>
            <w:r w:rsidRPr="005644E5">
              <w:rPr>
                <w:b/>
                <w:bCs/>
                <w:sz w:val="18"/>
                <w:szCs w:val="18"/>
              </w:rPr>
              <w:t>160.211,23</w:t>
            </w:r>
          </w:p>
        </w:tc>
        <w:tc>
          <w:tcPr>
            <w:tcW w:w="1114" w:type="pct"/>
            <w:tcBorders>
              <w:top w:val="single" w:sz="4" w:space="0" w:color="auto"/>
              <w:left w:val="nil"/>
              <w:bottom w:val="single" w:sz="4" w:space="0" w:color="auto"/>
              <w:right w:val="nil"/>
            </w:tcBorders>
            <w:shd w:val="clear" w:color="auto" w:fill="auto"/>
            <w:vAlign w:val="center"/>
            <w:hideMark/>
          </w:tcPr>
          <w:p w14:paraId="2026215B" w14:textId="2BA75F66" w:rsidR="00BF3F0E" w:rsidRPr="005644E5" w:rsidRDefault="00BF3F0E" w:rsidP="005644E5">
            <w:pPr>
              <w:ind w:right="239"/>
              <w:jc w:val="right"/>
              <w:rPr>
                <w:b/>
                <w:bCs/>
                <w:sz w:val="18"/>
                <w:szCs w:val="18"/>
              </w:rPr>
            </w:pPr>
            <w:r w:rsidRPr="005644E5">
              <w:rPr>
                <w:b/>
                <w:bCs/>
                <w:sz w:val="18"/>
                <w:szCs w:val="18"/>
              </w:rPr>
              <w:t>224.393,85</w:t>
            </w:r>
          </w:p>
        </w:tc>
      </w:tr>
    </w:tbl>
    <w:p w14:paraId="60C0750F" w14:textId="37E20E81" w:rsid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El gasto reconocido en la cuenta de pérdidas y ganancias durante el ejercicio correspondiente a arrendamientos</w:t>
      </w:r>
      <w:r w:rsidR="0094063E" w:rsidRPr="005644E5">
        <w:rPr>
          <w:snapToGrid w:val="0"/>
          <w:sz w:val="20"/>
          <w:szCs w:val="22"/>
        </w:rPr>
        <w:t xml:space="preserve"> operativos asciende a</w:t>
      </w:r>
      <w:r w:rsidR="008B575B" w:rsidRPr="005644E5">
        <w:rPr>
          <w:snapToGrid w:val="0"/>
          <w:sz w:val="20"/>
          <w:szCs w:val="22"/>
        </w:rPr>
        <w:t xml:space="preserve"> 72.</w:t>
      </w:r>
      <w:r w:rsidR="009F348E" w:rsidRPr="005644E5">
        <w:rPr>
          <w:snapToGrid w:val="0"/>
          <w:sz w:val="20"/>
          <w:szCs w:val="22"/>
        </w:rPr>
        <w:t>653</w:t>
      </w:r>
      <w:r w:rsidR="008B575B" w:rsidRPr="005644E5">
        <w:rPr>
          <w:snapToGrid w:val="0"/>
          <w:sz w:val="20"/>
          <w:szCs w:val="22"/>
        </w:rPr>
        <w:t>,</w:t>
      </w:r>
      <w:r w:rsidR="009F348E" w:rsidRPr="005644E5">
        <w:rPr>
          <w:snapToGrid w:val="0"/>
          <w:sz w:val="20"/>
          <w:szCs w:val="22"/>
        </w:rPr>
        <w:t>51</w:t>
      </w:r>
      <w:r w:rsidR="008B575B" w:rsidRPr="005644E5">
        <w:rPr>
          <w:snapToGrid w:val="0"/>
          <w:sz w:val="20"/>
          <w:szCs w:val="22"/>
        </w:rPr>
        <w:t xml:space="preserve"> </w:t>
      </w:r>
      <w:r w:rsidR="0094063E" w:rsidRPr="005644E5">
        <w:rPr>
          <w:snapToGrid w:val="0"/>
          <w:sz w:val="20"/>
          <w:szCs w:val="22"/>
        </w:rPr>
        <w:t>euros (</w:t>
      </w:r>
      <w:r w:rsidR="00DA650E" w:rsidRPr="005644E5">
        <w:rPr>
          <w:snapToGrid w:val="0"/>
          <w:sz w:val="20"/>
          <w:szCs w:val="22"/>
        </w:rPr>
        <w:t xml:space="preserve">72.192,72 </w:t>
      </w:r>
      <w:r w:rsidR="008C63CA" w:rsidRPr="005644E5">
        <w:rPr>
          <w:snapToGrid w:val="0"/>
          <w:sz w:val="20"/>
          <w:szCs w:val="22"/>
        </w:rPr>
        <w:t xml:space="preserve">euros en </w:t>
      </w:r>
      <w:r w:rsidR="005644E5">
        <w:rPr>
          <w:snapToGrid w:val="0"/>
          <w:sz w:val="20"/>
          <w:szCs w:val="22"/>
        </w:rPr>
        <w:t>el ejercicio anterior</w:t>
      </w:r>
      <w:r w:rsidRPr="005644E5">
        <w:rPr>
          <w:snapToGrid w:val="0"/>
          <w:sz w:val="20"/>
          <w:szCs w:val="22"/>
        </w:rPr>
        <w:t>).</w:t>
      </w:r>
    </w:p>
    <w:p w14:paraId="76533A5C" w14:textId="77777777" w:rsidR="005644E5" w:rsidRDefault="005644E5">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08E036DD" w14:textId="6FF599BD" w:rsidR="00AC0D8E" w:rsidRPr="0083433F" w:rsidRDefault="00AC0D8E"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83433F">
        <w:rPr>
          <w:b/>
          <w:snapToGrid w:val="0"/>
          <w:sz w:val="22"/>
          <w:szCs w:val="22"/>
        </w:rPr>
        <w:lastRenderedPageBreak/>
        <w:t>Análisis de instrumentos financieros</w:t>
      </w:r>
    </w:p>
    <w:p w14:paraId="1CA57CCD" w14:textId="77777777" w:rsidR="006220A2" w:rsidRPr="0083433F" w:rsidRDefault="006220A2" w:rsidP="005644E5">
      <w:pPr>
        <w:widowControl w:val="0"/>
        <w:spacing w:before="200"/>
        <w:ind w:left="284"/>
        <w:rPr>
          <w:b/>
          <w:snapToGrid w:val="0"/>
          <w:sz w:val="20"/>
          <w:szCs w:val="22"/>
        </w:rPr>
      </w:pPr>
      <w:r w:rsidRPr="0083433F">
        <w:rPr>
          <w:b/>
          <w:sz w:val="20"/>
          <w:szCs w:val="22"/>
        </w:rPr>
        <w:t>Análisis por categorías</w:t>
      </w:r>
    </w:p>
    <w:p w14:paraId="13B18703" w14:textId="7E54E1FC" w:rsidR="007F3953"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El valor en libros de cada una de las categorías de instrumentos financieros establecidas en la norma de registro y valoración de “Instrumentos financieros” es el siguiente:</w:t>
      </w:r>
    </w:p>
    <w:p w14:paraId="1C953CF5" w14:textId="77777777" w:rsidR="006220A2" w:rsidRPr="0083433F" w:rsidRDefault="006220A2" w:rsidP="003254FA">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9"/>
        <w:rPr>
          <w:b/>
          <w:sz w:val="20"/>
          <w:szCs w:val="22"/>
        </w:rPr>
      </w:pPr>
      <w:r w:rsidRPr="0083433F">
        <w:rPr>
          <w:b/>
          <w:sz w:val="20"/>
          <w:szCs w:val="22"/>
        </w:rPr>
        <w:t>Activos financieros</w:t>
      </w:r>
    </w:p>
    <w:p w14:paraId="245045B1" w14:textId="77777777" w:rsidR="006220A2"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 xml:space="preserve">El detalle de activos financieros a </w:t>
      </w:r>
      <w:r w:rsidR="008D42A8" w:rsidRPr="005644E5">
        <w:rPr>
          <w:snapToGrid w:val="0"/>
          <w:sz w:val="20"/>
          <w:szCs w:val="22"/>
        </w:rPr>
        <w:t>largo y corto</w:t>
      </w:r>
      <w:r w:rsidRPr="005644E5">
        <w:rPr>
          <w:snapToGrid w:val="0"/>
          <w:sz w:val="20"/>
          <w:szCs w:val="22"/>
        </w:rPr>
        <w:t xml:space="preserve"> </w:t>
      </w:r>
      <w:r w:rsidR="000C3260" w:rsidRPr="005644E5">
        <w:rPr>
          <w:snapToGrid w:val="0"/>
          <w:sz w:val="20"/>
          <w:szCs w:val="22"/>
        </w:rPr>
        <w:t>plazo</w:t>
      </w:r>
      <w:r w:rsidRPr="005644E5">
        <w:rPr>
          <w:snapToGrid w:val="0"/>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3967"/>
        <w:gridCol w:w="2406"/>
        <w:gridCol w:w="2408"/>
      </w:tblGrid>
      <w:tr w:rsidR="008D42A8" w:rsidRPr="005644E5" w14:paraId="7F32FD29" w14:textId="77777777" w:rsidTr="007E7835">
        <w:trPr>
          <w:trHeight w:val="227"/>
        </w:trPr>
        <w:tc>
          <w:tcPr>
            <w:tcW w:w="2259" w:type="pct"/>
            <w:tcBorders>
              <w:top w:val="single" w:sz="4" w:space="0" w:color="auto"/>
              <w:left w:val="nil"/>
              <w:bottom w:val="nil"/>
              <w:right w:val="nil"/>
            </w:tcBorders>
            <w:shd w:val="clear" w:color="auto" w:fill="auto"/>
            <w:noWrap/>
            <w:vAlign w:val="center"/>
            <w:hideMark/>
          </w:tcPr>
          <w:p w14:paraId="368E641A" w14:textId="77777777"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both"/>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w:t>
            </w:r>
          </w:p>
        </w:tc>
        <w:tc>
          <w:tcPr>
            <w:tcW w:w="2741" w:type="pct"/>
            <w:gridSpan w:val="2"/>
            <w:tcBorders>
              <w:top w:val="single" w:sz="4" w:space="0" w:color="auto"/>
              <w:left w:val="nil"/>
              <w:bottom w:val="single" w:sz="4" w:space="0" w:color="auto"/>
              <w:right w:val="nil"/>
            </w:tcBorders>
            <w:shd w:val="clear" w:color="auto" w:fill="auto"/>
            <w:noWrap/>
            <w:vAlign w:val="bottom"/>
            <w:hideMark/>
          </w:tcPr>
          <w:p w14:paraId="0FA31A42" w14:textId="77777777" w:rsidR="008D42A8" w:rsidRPr="005644E5" w:rsidRDefault="00CA7AF6"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Euros</w:t>
            </w:r>
          </w:p>
        </w:tc>
      </w:tr>
      <w:tr w:rsidR="00CA7AF6" w:rsidRPr="005644E5" w14:paraId="4F4D695A" w14:textId="77777777" w:rsidTr="007E7835">
        <w:trPr>
          <w:trHeight w:val="227"/>
        </w:trPr>
        <w:tc>
          <w:tcPr>
            <w:tcW w:w="2259" w:type="pct"/>
            <w:tcBorders>
              <w:top w:val="single" w:sz="4" w:space="0" w:color="auto"/>
              <w:left w:val="nil"/>
              <w:bottom w:val="nil"/>
              <w:right w:val="nil"/>
            </w:tcBorders>
            <w:shd w:val="clear" w:color="auto" w:fill="auto"/>
            <w:noWrap/>
            <w:vAlign w:val="center"/>
          </w:tcPr>
          <w:p w14:paraId="62270E05" w14:textId="77777777" w:rsidR="00CA7AF6" w:rsidRPr="005644E5" w:rsidRDefault="00CA7AF6"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both"/>
              <w:outlineLvl w:val="9"/>
              <w:rPr>
                <w:rFonts w:eastAsia="Times New Roman"/>
                <w:sz w:val="18"/>
                <w:szCs w:val="18"/>
                <w:bdr w:val="none" w:sz="0" w:space="0" w:color="auto"/>
                <w:lang w:eastAsia="es-ES"/>
              </w:rPr>
            </w:pPr>
          </w:p>
        </w:tc>
        <w:tc>
          <w:tcPr>
            <w:tcW w:w="2741" w:type="pct"/>
            <w:gridSpan w:val="2"/>
            <w:tcBorders>
              <w:top w:val="single" w:sz="4" w:space="0" w:color="auto"/>
              <w:left w:val="nil"/>
              <w:bottom w:val="single" w:sz="4" w:space="0" w:color="auto"/>
              <w:right w:val="nil"/>
            </w:tcBorders>
            <w:shd w:val="clear" w:color="auto" w:fill="auto"/>
            <w:noWrap/>
            <w:vAlign w:val="bottom"/>
          </w:tcPr>
          <w:p w14:paraId="0F51C709" w14:textId="77777777" w:rsidR="00CA7AF6" w:rsidRPr="005644E5" w:rsidRDefault="00CA7AF6"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Activos financieros a largo plazo</w:t>
            </w:r>
          </w:p>
        </w:tc>
      </w:tr>
      <w:tr w:rsidR="008D42A8" w:rsidRPr="005644E5" w14:paraId="1CB7C9FC" w14:textId="77777777" w:rsidTr="007E7835">
        <w:trPr>
          <w:trHeight w:val="227"/>
        </w:trPr>
        <w:tc>
          <w:tcPr>
            <w:tcW w:w="2259" w:type="pct"/>
            <w:tcBorders>
              <w:top w:val="nil"/>
              <w:left w:val="nil"/>
              <w:bottom w:val="nil"/>
              <w:right w:val="nil"/>
            </w:tcBorders>
            <w:shd w:val="clear" w:color="auto" w:fill="auto"/>
            <w:noWrap/>
            <w:vAlign w:val="center"/>
            <w:hideMark/>
          </w:tcPr>
          <w:p w14:paraId="67CF8DAA" w14:textId="77777777"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center"/>
              <w:outlineLvl w:val="9"/>
              <w:rPr>
                <w:rFonts w:eastAsia="Times New Roman"/>
                <w:b/>
                <w:bCs/>
                <w:sz w:val="18"/>
                <w:szCs w:val="18"/>
                <w:bdr w:val="none" w:sz="0" w:space="0" w:color="auto"/>
                <w:lang w:eastAsia="es-ES"/>
              </w:rPr>
            </w:pPr>
          </w:p>
        </w:tc>
        <w:tc>
          <w:tcPr>
            <w:tcW w:w="2741" w:type="pct"/>
            <w:gridSpan w:val="2"/>
            <w:tcBorders>
              <w:top w:val="single" w:sz="4" w:space="0" w:color="auto"/>
              <w:left w:val="nil"/>
              <w:bottom w:val="single" w:sz="4" w:space="0" w:color="auto"/>
              <w:right w:val="nil"/>
            </w:tcBorders>
            <w:shd w:val="clear" w:color="auto" w:fill="auto"/>
            <w:noWrap/>
            <w:vAlign w:val="bottom"/>
            <w:hideMark/>
          </w:tcPr>
          <w:p w14:paraId="207AA926" w14:textId="77777777"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Créditos, Derivados Otros</w:t>
            </w:r>
          </w:p>
        </w:tc>
      </w:tr>
      <w:tr w:rsidR="008D42A8" w:rsidRPr="005644E5" w14:paraId="17400E02" w14:textId="77777777" w:rsidTr="005644E5">
        <w:trPr>
          <w:trHeight w:val="283"/>
        </w:trPr>
        <w:tc>
          <w:tcPr>
            <w:tcW w:w="2259" w:type="pct"/>
            <w:tcBorders>
              <w:top w:val="nil"/>
              <w:left w:val="nil"/>
              <w:bottom w:val="single" w:sz="4" w:space="0" w:color="auto"/>
              <w:right w:val="nil"/>
            </w:tcBorders>
            <w:shd w:val="clear" w:color="auto" w:fill="auto"/>
            <w:noWrap/>
            <w:vAlign w:val="center"/>
            <w:hideMark/>
          </w:tcPr>
          <w:p w14:paraId="51CC7E58" w14:textId="77777777"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w:t>
            </w:r>
          </w:p>
        </w:tc>
        <w:tc>
          <w:tcPr>
            <w:tcW w:w="1370" w:type="pct"/>
            <w:tcBorders>
              <w:top w:val="nil"/>
              <w:left w:val="nil"/>
              <w:bottom w:val="single" w:sz="4" w:space="0" w:color="auto"/>
              <w:right w:val="nil"/>
            </w:tcBorders>
            <w:shd w:val="clear" w:color="auto" w:fill="auto"/>
            <w:noWrap/>
            <w:vAlign w:val="bottom"/>
            <w:hideMark/>
          </w:tcPr>
          <w:p w14:paraId="2D17DFD8" w14:textId="0051F477"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31/12/202</w:t>
            </w:r>
            <w:r w:rsidR="00C56400" w:rsidRPr="005644E5">
              <w:rPr>
                <w:rFonts w:eastAsia="Times New Roman"/>
                <w:b/>
                <w:bCs/>
                <w:sz w:val="18"/>
                <w:szCs w:val="18"/>
                <w:bdr w:val="none" w:sz="0" w:space="0" w:color="auto"/>
                <w:lang w:eastAsia="es-ES"/>
              </w:rPr>
              <w:t>1</w:t>
            </w:r>
          </w:p>
        </w:tc>
        <w:tc>
          <w:tcPr>
            <w:tcW w:w="1371" w:type="pct"/>
            <w:tcBorders>
              <w:top w:val="nil"/>
              <w:left w:val="nil"/>
              <w:bottom w:val="single" w:sz="4" w:space="0" w:color="auto"/>
              <w:right w:val="nil"/>
            </w:tcBorders>
            <w:shd w:val="clear" w:color="auto" w:fill="auto"/>
            <w:noWrap/>
            <w:vAlign w:val="bottom"/>
            <w:hideMark/>
          </w:tcPr>
          <w:p w14:paraId="07F32E33" w14:textId="580DBAFA"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w:t>
            </w:r>
            <w:r w:rsidR="00C56400" w:rsidRPr="005644E5">
              <w:rPr>
                <w:rFonts w:eastAsia="Times New Roman"/>
                <w:b/>
                <w:bCs/>
                <w:sz w:val="18"/>
                <w:szCs w:val="18"/>
                <w:bdr w:val="none" w:sz="0" w:space="0" w:color="auto"/>
                <w:lang w:eastAsia="es-ES"/>
              </w:rPr>
              <w:t>20</w:t>
            </w:r>
          </w:p>
        </w:tc>
      </w:tr>
      <w:tr w:rsidR="008D42A8" w:rsidRPr="005644E5" w14:paraId="39E22484" w14:textId="77777777" w:rsidTr="005644E5">
        <w:trPr>
          <w:trHeight w:val="283"/>
        </w:trPr>
        <w:tc>
          <w:tcPr>
            <w:tcW w:w="2259" w:type="pct"/>
            <w:tcBorders>
              <w:top w:val="nil"/>
              <w:left w:val="nil"/>
              <w:bottom w:val="nil"/>
              <w:right w:val="nil"/>
            </w:tcBorders>
            <w:shd w:val="clear" w:color="auto" w:fill="auto"/>
            <w:noWrap/>
            <w:vAlign w:val="center"/>
            <w:hideMark/>
          </w:tcPr>
          <w:p w14:paraId="0F660E0A" w14:textId="174EAA8E" w:rsidR="008D42A8" w:rsidRPr="005644E5" w:rsidRDefault="00282647" w:rsidP="005644E5">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Activos financieros a coste amortizado</w:t>
            </w:r>
          </w:p>
        </w:tc>
        <w:tc>
          <w:tcPr>
            <w:tcW w:w="1370" w:type="pct"/>
            <w:tcBorders>
              <w:top w:val="nil"/>
              <w:left w:val="nil"/>
              <w:bottom w:val="single" w:sz="4" w:space="0" w:color="auto"/>
              <w:right w:val="nil"/>
            </w:tcBorders>
            <w:shd w:val="clear" w:color="auto" w:fill="auto"/>
            <w:noWrap/>
            <w:vAlign w:val="center"/>
            <w:hideMark/>
          </w:tcPr>
          <w:p w14:paraId="593548A8" w14:textId="77777777"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9.107,70</w:t>
            </w:r>
          </w:p>
        </w:tc>
        <w:tc>
          <w:tcPr>
            <w:tcW w:w="1371" w:type="pct"/>
            <w:tcBorders>
              <w:top w:val="nil"/>
              <w:left w:val="nil"/>
              <w:bottom w:val="single" w:sz="4" w:space="0" w:color="auto"/>
              <w:right w:val="nil"/>
            </w:tcBorders>
            <w:shd w:val="clear" w:color="auto" w:fill="auto"/>
            <w:noWrap/>
            <w:vAlign w:val="center"/>
            <w:hideMark/>
          </w:tcPr>
          <w:p w14:paraId="6C31499E" w14:textId="77777777"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9.107,70</w:t>
            </w:r>
          </w:p>
        </w:tc>
      </w:tr>
      <w:tr w:rsidR="008D42A8" w:rsidRPr="005644E5" w14:paraId="19C9BB42" w14:textId="77777777" w:rsidTr="005644E5">
        <w:trPr>
          <w:trHeight w:val="283"/>
        </w:trPr>
        <w:tc>
          <w:tcPr>
            <w:tcW w:w="2259" w:type="pct"/>
            <w:tcBorders>
              <w:top w:val="single" w:sz="4" w:space="0" w:color="auto"/>
              <w:left w:val="nil"/>
              <w:bottom w:val="single" w:sz="4" w:space="0" w:color="auto"/>
              <w:right w:val="nil"/>
            </w:tcBorders>
            <w:shd w:val="clear" w:color="auto" w:fill="auto"/>
            <w:noWrap/>
            <w:vAlign w:val="center"/>
            <w:hideMark/>
          </w:tcPr>
          <w:p w14:paraId="339FA802" w14:textId="77777777"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Total</w:t>
            </w:r>
          </w:p>
        </w:tc>
        <w:tc>
          <w:tcPr>
            <w:tcW w:w="1370" w:type="pct"/>
            <w:tcBorders>
              <w:top w:val="nil"/>
              <w:left w:val="nil"/>
              <w:bottom w:val="single" w:sz="4" w:space="0" w:color="auto"/>
              <w:right w:val="nil"/>
            </w:tcBorders>
            <w:shd w:val="clear" w:color="auto" w:fill="auto"/>
            <w:noWrap/>
            <w:vAlign w:val="center"/>
            <w:hideMark/>
          </w:tcPr>
          <w:p w14:paraId="0EFD1638" w14:textId="77777777"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9.107,70</w:t>
            </w:r>
          </w:p>
        </w:tc>
        <w:tc>
          <w:tcPr>
            <w:tcW w:w="1371" w:type="pct"/>
            <w:tcBorders>
              <w:top w:val="nil"/>
              <w:left w:val="nil"/>
              <w:bottom w:val="single" w:sz="4" w:space="0" w:color="auto"/>
              <w:right w:val="nil"/>
            </w:tcBorders>
            <w:shd w:val="clear" w:color="auto" w:fill="auto"/>
            <w:noWrap/>
            <w:vAlign w:val="center"/>
            <w:hideMark/>
          </w:tcPr>
          <w:p w14:paraId="1E4A0C62" w14:textId="77777777"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9.107,70</w:t>
            </w:r>
          </w:p>
        </w:tc>
      </w:tr>
    </w:tbl>
    <w:p w14:paraId="6B219A88" w14:textId="77777777" w:rsidR="008D42A8" w:rsidRPr="00573442" w:rsidRDefault="008D42A8" w:rsidP="007E7835">
      <w:pPr>
        <w:widowControl w:val="0"/>
        <w:spacing w:before="120" w:after="120"/>
        <w:jc w:val="both"/>
        <w:rPr>
          <w:sz w:val="20"/>
        </w:rPr>
      </w:pPr>
    </w:p>
    <w:tbl>
      <w:tblPr>
        <w:tblW w:w="5000" w:type="pct"/>
        <w:tblCellMar>
          <w:left w:w="70" w:type="dxa"/>
          <w:right w:w="70" w:type="dxa"/>
        </w:tblCellMar>
        <w:tblLook w:val="04A0" w:firstRow="1" w:lastRow="0" w:firstColumn="1" w:lastColumn="0" w:noHBand="0" w:noVBand="1"/>
      </w:tblPr>
      <w:tblGrid>
        <w:gridCol w:w="3967"/>
        <w:gridCol w:w="2406"/>
        <w:gridCol w:w="2408"/>
      </w:tblGrid>
      <w:tr w:rsidR="000A70C7" w:rsidRPr="005644E5" w14:paraId="546531F3" w14:textId="77777777" w:rsidTr="007E7835">
        <w:trPr>
          <w:trHeight w:val="227"/>
        </w:trPr>
        <w:tc>
          <w:tcPr>
            <w:tcW w:w="2259" w:type="pct"/>
            <w:tcBorders>
              <w:top w:val="single" w:sz="4" w:space="0" w:color="auto"/>
              <w:left w:val="nil"/>
              <w:bottom w:val="nil"/>
              <w:right w:val="nil"/>
            </w:tcBorders>
            <w:shd w:val="clear" w:color="auto" w:fill="auto"/>
            <w:noWrap/>
            <w:vAlign w:val="center"/>
            <w:hideMark/>
          </w:tcPr>
          <w:p w14:paraId="03323F28" w14:textId="77777777" w:rsidR="000A70C7" w:rsidRPr="005644E5" w:rsidRDefault="000A70C7"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both"/>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w:t>
            </w:r>
          </w:p>
        </w:tc>
        <w:tc>
          <w:tcPr>
            <w:tcW w:w="2741" w:type="pct"/>
            <w:gridSpan w:val="2"/>
            <w:tcBorders>
              <w:top w:val="single" w:sz="4" w:space="0" w:color="auto"/>
              <w:left w:val="nil"/>
              <w:bottom w:val="single" w:sz="4" w:space="0" w:color="auto"/>
              <w:right w:val="nil"/>
            </w:tcBorders>
            <w:shd w:val="clear" w:color="auto" w:fill="auto"/>
            <w:noWrap/>
            <w:vAlign w:val="bottom"/>
            <w:hideMark/>
          </w:tcPr>
          <w:p w14:paraId="39AD9CCD" w14:textId="77777777" w:rsidR="000A70C7" w:rsidRPr="005644E5" w:rsidRDefault="00CA7AF6"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Euros</w:t>
            </w:r>
          </w:p>
        </w:tc>
      </w:tr>
      <w:tr w:rsidR="00CA7AF6" w:rsidRPr="005644E5" w14:paraId="4F073E24" w14:textId="77777777" w:rsidTr="007E7835">
        <w:trPr>
          <w:trHeight w:val="227"/>
        </w:trPr>
        <w:tc>
          <w:tcPr>
            <w:tcW w:w="2259" w:type="pct"/>
            <w:tcBorders>
              <w:top w:val="single" w:sz="4" w:space="0" w:color="auto"/>
              <w:left w:val="nil"/>
              <w:bottom w:val="nil"/>
              <w:right w:val="nil"/>
            </w:tcBorders>
            <w:shd w:val="clear" w:color="auto" w:fill="auto"/>
            <w:noWrap/>
            <w:vAlign w:val="center"/>
          </w:tcPr>
          <w:p w14:paraId="493A2113" w14:textId="77777777" w:rsidR="00CA7AF6" w:rsidRPr="005644E5" w:rsidRDefault="00CA7AF6"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both"/>
              <w:outlineLvl w:val="9"/>
              <w:rPr>
                <w:rFonts w:eastAsia="Times New Roman"/>
                <w:sz w:val="18"/>
                <w:szCs w:val="18"/>
                <w:bdr w:val="none" w:sz="0" w:space="0" w:color="auto"/>
                <w:lang w:eastAsia="es-ES"/>
              </w:rPr>
            </w:pPr>
          </w:p>
        </w:tc>
        <w:tc>
          <w:tcPr>
            <w:tcW w:w="2741" w:type="pct"/>
            <w:gridSpan w:val="2"/>
            <w:tcBorders>
              <w:top w:val="single" w:sz="4" w:space="0" w:color="auto"/>
              <w:left w:val="nil"/>
              <w:bottom w:val="single" w:sz="4" w:space="0" w:color="auto"/>
              <w:right w:val="nil"/>
            </w:tcBorders>
            <w:shd w:val="clear" w:color="auto" w:fill="auto"/>
            <w:noWrap/>
            <w:vAlign w:val="bottom"/>
          </w:tcPr>
          <w:p w14:paraId="5613C206" w14:textId="77777777" w:rsidR="00CA7AF6" w:rsidRPr="005644E5" w:rsidRDefault="00CA7AF6"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Activos financieros a corto plazo</w:t>
            </w:r>
          </w:p>
        </w:tc>
      </w:tr>
      <w:tr w:rsidR="000A70C7" w:rsidRPr="005644E5" w14:paraId="4A2980DA" w14:textId="77777777" w:rsidTr="007E7835">
        <w:trPr>
          <w:trHeight w:val="227"/>
        </w:trPr>
        <w:tc>
          <w:tcPr>
            <w:tcW w:w="2259" w:type="pct"/>
            <w:tcBorders>
              <w:top w:val="nil"/>
              <w:left w:val="nil"/>
              <w:bottom w:val="nil"/>
              <w:right w:val="nil"/>
            </w:tcBorders>
            <w:shd w:val="clear" w:color="auto" w:fill="auto"/>
            <w:noWrap/>
            <w:vAlign w:val="center"/>
            <w:hideMark/>
          </w:tcPr>
          <w:p w14:paraId="63E7BC60" w14:textId="77777777" w:rsidR="000A70C7" w:rsidRPr="005644E5" w:rsidRDefault="000A70C7"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center"/>
              <w:outlineLvl w:val="9"/>
              <w:rPr>
                <w:rFonts w:eastAsia="Times New Roman"/>
                <w:b/>
                <w:bCs/>
                <w:sz w:val="18"/>
                <w:szCs w:val="18"/>
                <w:bdr w:val="none" w:sz="0" w:space="0" w:color="auto"/>
                <w:lang w:eastAsia="es-ES"/>
              </w:rPr>
            </w:pPr>
          </w:p>
        </w:tc>
        <w:tc>
          <w:tcPr>
            <w:tcW w:w="2741" w:type="pct"/>
            <w:gridSpan w:val="2"/>
            <w:tcBorders>
              <w:top w:val="single" w:sz="4" w:space="0" w:color="auto"/>
              <w:left w:val="nil"/>
              <w:bottom w:val="single" w:sz="4" w:space="0" w:color="auto"/>
              <w:right w:val="nil"/>
            </w:tcBorders>
            <w:shd w:val="clear" w:color="auto" w:fill="auto"/>
            <w:noWrap/>
            <w:vAlign w:val="bottom"/>
            <w:hideMark/>
          </w:tcPr>
          <w:p w14:paraId="4C328BC9" w14:textId="77777777" w:rsidR="000A70C7" w:rsidRPr="005644E5" w:rsidRDefault="00D56777"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Créditos, Derivados Otros</w:t>
            </w:r>
          </w:p>
        </w:tc>
      </w:tr>
      <w:tr w:rsidR="000A70C7" w:rsidRPr="005644E5" w14:paraId="004DA197" w14:textId="77777777" w:rsidTr="005644E5">
        <w:trPr>
          <w:trHeight w:val="283"/>
        </w:trPr>
        <w:tc>
          <w:tcPr>
            <w:tcW w:w="2259" w:type="pct"/>
            <w:tcBorders>
              <w:top w:val="nil"/>
              <w:left w:val="nil"/>
              <w:bottom w:val="single" w:sz="4" w:space="0" w:color="auto"/>
              <w:right w:val="nil"/>
            </w:tcBorders>
            <w:shd w:val="clear" w:color="auto" w:fill="auto"/>
            <w:noWrap/>
            <w:vAlign w:val="center"/>
            <w:hideMark/>
          </w:tcPr>
          <w:p w14:paraId="3540F513" w14:textId="77777777" w:rsidR="000A70C7" w:rsidRPr="005644E5" w:rsidRDefault="000A70C7" w:rsidP="005644E5">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w:t>
            </w:r>
          </w:p>
        </w:tc>
        <w:tc>
          <w:tcPr>
            <w:tcW w:w="1370" w:type="pct"/>
            <w:tcBorders>
              <w:top w:val="nil"/>
              <w:left w:val="nil"/>
              <w:bottom w:val="single" w:sz="4" w:space="0" w:color="auto"/>
              <w:right w:val="nil"/>
            </w:tcBorders>
            <w:shd w:val="clear" w:color="auto" w:fill="auto"/>
            <w:noWrap/>
            <w:vAlign w:val="bottom"/>
            <w:hideMark/>
          </w:tcPr>
          <w:p w14:paraId="1806B77E" w14:textId="0A52B075" w:rsidR="000A70C7" w:rsidRPr="005644E5" w:rsidRDefault="000A70C7"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31/12/202</w:t>
            </w:r>
            <w:r w:rsidR="00C56400" w:rsidRPr="005644E5">
              <w:rPr>
                <w:rFonts w:eastAsia="Times New Roman"/>
                <w:b/>
                <w:bCs/>
                <w:sz w:val="18"/>
                <w:szCs w:val="18"/>
                <w:bdr w:val="none" w:sz="0" w:space="0" w:color="auto"/>
                <w:lang w:eastAsia="es-ES"/>
              </w:rPr>
              <w:t>1</w:t>
            </w:r>
          </w:p>
        </w:tc>
        <w:tc>
          <w:tcPr>
            <w:tcW w:w="1371" w:type="pct"/>
            <w:tcBorders>
              <w:top w:val="nil"/>
              <w:left w:val="nil"/>
              <w:bottom w:val="single" w:sz="4" w:space="0" w:color="auto"/>
              <w:right w:val="nil"/>
            </w:tcBorders>
            <w:shd w:val="clear" w:color="auto" w:fill="auto"/>
            <w:noWrap/>
            <w:vAlign w:val="bottom"/>
            <w:hideMark/>
          </w:tcPr>
          <w:p w14:paraId="54BA0B3A" w14:textId="4AE00637" w:rsidR="000A70C7" w:rsidRPr="005644E5" w:rsidRDefault="000A70C7"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w:t>
            </w:r>
            <w:r w:rsidR="00C56400" w:rsidRPr="005644E5">
              <w:rPr>
                <w:rFonts w:eastAsia="Times New Roman"/>
                <w:b/>
                <w:bCs/>
                <w:sz w:val="18"/>
                <w:szCs w:val="18"/>
                <w:bdr w:val="none" w:sz="0" w:space="0" w:color="auto"/>
                <w:lang w:eastAsia="es-ES"/>
              </w:rPr>
              <w:t>20</w:t>
            </w:r>
          </w:p>
        </w:tc>
      </w:tr>
      <w:tr w:rsidR="00C554F9" w:rsidRPr="005644E5" w14:paraId="4C7064B1" w14:textId="77777777" w:rsidTr="005644E5">
        <w:trPr>
          <w:trHeight w:val="283"/>
        </w:trPr>
        <w:tc>
          <w:tcPr>
            <w:tcW w:w="2259" w:type="pct"/>
            <w:tcBorders>
              <w:top w:val="nil"/>
              <w:left w:val="nil"/>
              <w:bottom w:val="nil"/>
              <w:right w:val="nil"/>
            </w:tcBorders>
            <w:shd w:val="clear" w:color="auto" w:fill="auto"/>
            <w:noWrap/>
            <w:vAlign w:val="center"/>
            <w:hideMark/>
          </w:tcPr>
          <w:p w14:paraId="3D3CD873" w14:textId="7D62D8DD" w:rsidR="00C554F9" w:rsidRPr="005644E5" w:rsidRDefault="00C554F9" w:rsidP="005644E5">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Activos financieros a coste amortizado</w:t>
            </w:r>
          </w:p>
        </w:tc>
        <w:tc>
          <w:tcPr>
            <w:tcW w:w="1370" w:type="pct"/>
            <w:tcBorders>
              <w:top w:val="nil"/>
              <w:left w:val="nil"/>
              <w:bottom w:val="single" w:sz="4" w:space="0" w:color="auto"/>
              <w:right w:val="nil"/>
            </w:tcBorders>
            <w:shd w:val="clear" w:color="auto" w:fill="auto"/>
            <w:noWrap/>
            <w:vAlign w:val="center"/>
          </w:tcPr>
          <w:p w14:paraId="62488F44" w14:textId="0526FE8B" w:rsidR="00C554F9" w:rsidRPr="005644E5" w:rsidRDefault="00C554F9"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rFonts w:eastAsia="Times New Roman"/>
                <w:sz w:val="18"/>
                <w:szCs w:val="18"/>
                <w:bdr w:val="none" w:sz="0" w:space="0" w:color="auto"/>
                <w:lang w:eastAsia="es-ES"/>
              </w:rPr>
            </w:pPr>
            <w:r w:rsidRPr="005644E5">
              <w:rPr>
                <w:sz w:val="18"/>
                <w:szCs w:val="18"/>
              </w:rPr>
              <w:t>572.032,14</w:t>
            </w:r>
          </w:p>
        </w:tc>
        <w:tc>
          <w:tcPr>
            <w:tcW w:w="1371" w:type="pct"/>
            <w:tcBorders>
              <w:top w:val="nil"/>
              <w:left w:val="nil"/>
              <w:bottom w:val="single" w:sz="4" w:space="0" w:color="auto"/>
              <w:right w:val="nil"/>
            </w:tcBorders>
            <w:shd w:val="clear" w:color="auto" w:fill="auto"/>
            <w:noWrap/>
            <w:vAlign w:val="center"/>
            <w:hideMark/>
          </w:tcPr>
          <w:p w14:paraId="14AD039D" w14:textId="480E246E" w:rsidR="00C554F9" w:rsidRPr="005644E5" w:rsidRDefault="00C554F9"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rFonts w:eastAsia="Times New Roman"/>
                <w:sz w:val="18"/>
                <w:szCs w:val="18"/>
                <w:bdr w:val="none" w:sz="0" w:space="0" w:color="auto"/>
                <w:lang w:eastAsia="es-ES"/>
              </w:rPr>
            </w:pPr>
            <w:r w:rsidRPr="005644E5">
              <w:rPr>
                <w:sz w:val="18"/>
                <w:szCs w:val="18"/>
              </w:rPr>
              <w:t>8.534,09</w:t>
            </w:r>
          </w:p>
        </w:tc>
      </w:tr>
      <w:tr w:rsidR="00C554F9" w:rsidRPr="005644E5" w14:paraId="1389EE1D" w14:textId="77777777" w:rsidTr="005644E5">
        <w:trPr>
          <w:trHeight w:val="283"/>
        </w:trPr>
        <w:tc>
          <w:tcPr>
            <w:tcW w:w="2259" w:type="pct"/>
            <w:tcBorders>
              <w:top w:val="single" w:sz="4" w:space="0" w:color="auto"/>
              <w:left w:val="nil"/>
              <w:bottom w:val="single" w:sz="4" w:space="0" w:color="auto"/>
              <w:right w:val="nil"/>
            </w:tcBorders>
            <w:shd w:val="clear" w:color="auto" w:fill="auto"/>
            <w:noWrap/>
            <w:vAlign w:val="center"/>
            <w:hideMark/>
          </w:tcPr>
          <w:p w14:paraId="0ED3BF28" w14:textId="77777777" w:rsidR="00C554F9" w:rsidRPr="005644E5" w:rsidRDefault="00C554F9" w:rsidP="005644E5">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Total</w:t>
            </w:r>
          </w:p>
        </w:tc>
        <w:tc>
          <w:tcPr>
            <w:tcW w:w="1370" w:type="pct"/>
            <w:tcBorders>
              <w:top w:val="nil"/>
              <w:left w:val="nil"/>
              <w:bottom w:val="single" w:sz="4" w:space="0" w:color="auto"/>
              <w:right w:val="nil"/>
            </w:tcBorders>
            <w:shd w:val="clear" w:color="auto" w:fill="auto"/>
            <w:noWrap/>
            <w:vAlign w:val="center"/>
          </w:tcPr>
          <w:p w14:paraId="6C5927BD" w14:textId="456E5392" w:rsidR="00C554F9" w:rsidRPr="005644E5" w:rsidRDefault="00C554F9" w:rsidP="005644E5">
            <w:pPr>
              <w:ind w:right="210"/>
              <w:jc w:val="right"/>
              <w:rPr>
                <w:b/>
                <w:bCs/>
                <w:sz w:val="18"/>
                <w:szCs w:val="18"/>
              </w:rPr>
            </w:pPr>
            <w:r w:rsidRPr="005644E5">
              <w:rPr>
                <w:b/>
                <w:bCs/>
                <w:sz w:val="18"/>
                <w:szCs w:val="18"/>
              </w:rPr>
              <w:t>572.032,14</w:t>
            </w:r>
          </w:p>
        </w:tc>
        <w:tc>
          <w:tcPr>
            <w:tcW w:w="1371" w:type="pct"/>
            <w:tcBorders>
              <w:top w:val="nil"/>
              <w:left w:val="nil"/>
              <w:bottom w:val="single" w:sz="4" w:space="0" w:color="auto"/>
              <w:right w:val="nil"/>
            </w:tcBorders>
            <w:shd w:val="clear" w:color="auto" w:fill="auto"/>
            <w:noWrap/>
            <w:vAlign w:val="center"/>
            <w:hideMark/>
          </w:tcPr>
          <w:p w14:paraId="33565F11" w14:textId="2FF2F5AE" w:rsidR="00C554F9" w:rsidRPr="005644E5" w:rsidRDefault="00C554F9"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rFonts w:eastAsia="Times New Roman"/>
                <w:b/>
                <w:bCs/>
                <w:sz w:val="18"/>
                <w:szCs w:val="18"/>
                <w:bdr w:val="none" w:sz="0" w:space="0" w:color="auto"/>
                <w:lang w:eastAsia="es-ES"/>
              </w:rPr>
            </w:pPr>
            <w:r w:rsidRPr="005644E5">
              <w:rPr>
                <w:b/>
                <w:bCs/>
                <w:sz w:val="18"/>
                <w:szCs w:val="18"/>
              </w:rPr>
              <w:t>8.534,09</w:t>
            </w:r>
          </w:p>
        </w:tc>
      </w:tr>
    </w:tbl>
    <w:p w14:paraId="2D808755" w14:textId="7346ABF4" w:rsidR="006220A2" w:rsidRPr="0083433F" w:rsidRDefault="00B84071" w:rsidP="003254FA">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u w:val="single"/>
        </w:rPr>
      </w:pPr>
      <w:r>
        <w:rPr>
          <w:i/>
          <w:sz w:val="20"/>
          <w:szCs w:val="22"/>
          <w:u w:val="single"/>
        </w:rPr>
        <w:t>Activos financieros a coste amortizado</w:t>
      </w:r>
    </w:p>
    <w:p w14:paraId="36D49595" w14:textId="5D1B36F0" w:rsidR="006220A2"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 xml:space="preserve">El detalle de los </w:t>
      </w:r>
      <w:r w:rsidR="007B20B9" w:rsidRPr="005644E5">
        <w:rPr>
          <w:snapToGrid w:val="0"/>
          <w:sz w:val="20"/>
          <w:szCs w:val="22"/>
        </w:rPr>
        <w:t>activos financieros a coste amortizado</w:t>
      </w:r>
      <w:r w:rsidRPr="005644E5">
        <w:rPr>
          <w:snapToGrid w:val="0"/>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4729"/>
        <w:gridCol w:w="2025"/>
        <w:gridCol w:w="2027"/>
      </w:tblGrid>
      <w:tr w:rsidR="00A1201B" w:rsidRPr="005644E5" w14:paraId="5B096358" w14:textId="77777777" w:rsidTr="007E7835">
        <w:trPr>
          <w:trHeight w:val="227"/>
        </w:trPr>
        <w:tc>
          <w:tcPr>
            <w:tcW w:w="2693" w:type="pct"/>
            <w:tcBorders>
              <w:top w:val="single" w:sz="4" w:space="0" w:color="auto"/>
              <w:left w:val="nil"/>
              <w:bottom w:val="nil"/>
              <w:right w:val="nil"/>
            </w:tcBorders>
            <w:shd w:val="clear" w:color="auto" w:fill="auto"/>
            <w:noWrap/>
            <w:vAlign w:val="center"/>
            <w:hideMark/>
          </w:tcPr>
          <w:p w14:paraId="147B3678" w14:textId="77777777" w:rsidR="00A1201B" w:rsidRPr="005644E5" w:rsidRDefault="00A1201B"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center"/>
              <w:outlineLvl w:val="9"/>
              <w:rPr>
                <w:rFonts w:ascii="Times New Roman" w:eastAsia="Times New Roman" w:hAnsi="Times New Roman" w:cs="Times New Roman"/>
                <w:color w:val="auto"/>
                <w:sz w:val="18"/>
                <w:szCs w:val="18"/>
                <w:bdr w:val="none" w:sz="0" w:space="0" w:color="auto"/>
                <w:lang w:eastAsia="es-ES"/>
              </w:rPr>
            </w:pPr>
          </w:p>
        </w:tc>
        <w:tc>
          <w:tcPr>
            <w:tcW w:w="2307" w:type="pct"/>
            <w:gridSpan w:val="2"/>
            <w:tcBorders>
              <w:top w:val="single" w:sz="4" w:space="0" w:color="auto"/>
              <w:left w:val="nil"/>
              <w:bottom w:val="single" w:sz="4" w:space="0" w:color="auto"/>
              <w:right w:val="nil"/>
            </w:tcBorders>
            <w:shd w:val="clear" w:color="auto" w:fill="auto"/>
            <w:noWrap/>
            <w:vAlign w:val="bottom"/>
            <w:hideMark/>
          </w:tcPr>
          <w:p w14:paraId="55E55C0E" w14:textId="77777777" w:rsidR="00A1201B" w:rsidRPr="005644E5" w:rsidRDefault="00A1201B"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Euros</w:t>
            </w:r>
          </w:p>
        </w:tc>
      </w:tr>
      <w:tr w:rsidR="00A1201B" w:rsidRPr="005644E5" w14:paraId="4B5DCBF5" w14:textId="77777777" w:rsidTr="005644E5">
        <w:trPr>
          <w:trHeight w:val="283"/>
        </w:trPr>
        <w:tc>
          <w:tcPr>
            <w:tcW w:w="2693" w:type="pct"/>
            <w:tcBorders>
              <w:top w:val="nil"/>
              <w:left w:val="nil"/>
              <w:bottom w:val="single" w:sz="4" w:space="0" w:color="auto"/>
              <w:right w:val="nil"/>
            </w:tcBorders>
            <w:shd w:val="clear" w:color="auto" w:fill="auto"/>
            <w:noWrap/>
            <w:vAlign w:val="center"/>
            <w:hideMark/>
          </w:tcPr>
          <w:p w14:paraId="12351424" w14:textId="77777777" w:rsidR="00A1201B" w:rsidRPr="005644E5" w:rsidRDefault="00A1201B" w:rsidP="005644E5">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w:t>
            </w:r>
          </w:p>
        </w:tc>
        <w:tc>
          <w:tcPr>
            <w:tcW w:w="1153" w:type="pct"/>
            <w:tcBorders>
              <w:top w:val="nil"/>
              <w:left w:val="nil"/>
              <w:bottom w:val="single" w:sz="4" w:space="0" w:color="auto"/>
              <w:right w:val="nil"/>
            </w:tcBorders>
            <w:shd w:val="clear" w:color="auto" w:fill="auto"/>
            <w:noWrap/>
            <w:vAlign w:val="center"/>
            <w:hideMark/>
          </w:tcPr>
          <w:p w14:paraId="19527582" w14:textId="5DC98C7F" w:rsidR="00A1201B" w:rsidRPr="005644E5" w:rsidRDefault="00A1201B"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31/12/202</w:t>
            </w:r>
            <w:r w:rsidR="004772D1" w:rsidRPr="005644E5">
              <w:rPr>
                <w:rFonts w:eastAsia="Times New Roman"/>
                <w:b/>
                <w:bCs/>
                <w:sz w:val="18"/>
                <w:szCs w:val="18"/>
                <w:bdr w:val="none" w:sz="0" w:space="0" w:color="auto"/>
                <w:lang w:eastAsia="es-ES"/>
              </w:rPr>
              <w:t>1</w:t>
            </w:r>
          </w:p>
        </w:tc>
        <w:tc>
          <w:tcPr>
            <w:tcW w:w="1154" w:type="pct"/>
            <w:tcBorders>
              <w:top w:val="nil"/>
              <w:left w:val="nil"/>
              <w:bottom w:val="single" w:sz="4" w:space="0" w:color="auto"/>
              <w:right w:val="nil"/>
            </w:tcBorders>
            <w:shd w:val="clear" w:color="auto" w:fill="auto"/>
            <w:noWrap/>
            <w:vAlign w:val="center"/>
            <w:hideMark/>
          </w:tcPr>
          <w:p w14:paraId="0B72BA32" w14:textId="7A1964D5" w:rsidR="00A1201B" w:rsidRPr="005644E5" w:rsidRDefault="00A1201B"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w:t>
            </w:r>
            <w:r w:rsidR="004772D1" w:rsidRPr="005644E5">
              <w:rPr>
                <w:rFonts w:eastAsia="Times New Roman"/>
                <w:b/>
                <w:bCs/>
                <w:sz w:val="18"/>
                <w:szCs w:val="18"/>
                <w:bdr w:val="none" w:sz="0" w:space="0" w:color="auto"/>
                <w:lang w:eastAsia="es-ES"/>
              </w:rPr>
              <w:t>20</w:t>
            </w:r>
          </w:p>
        </w:tc>
      </w:tr>
      <w:tr w:rsidR="00A1201B" w:rsidRPr="005644E5" w14:paraId="37C72681" w14:textId="77777777" w:rsidTr="005644E5">
        <w:tblPrEx>
          <w:jc w:val="center"/>
        </w:tblPrEx>
        <w:trPr>
          <w:trHeight w:val="283"/>
          <w:jc w:val="center"/>
        </w:trPr>
        <w:tc>
          <w:tcPr>
            <w:tcW w:w="5000" w:type="pct"/>
            <w:gridSpan w:val="3"/>
            <w:tcBorders>
              <w:top w:val="nil"/>
              <w:left w:val="nil"/>
              <w:bottom w:val="nil"/>
              <w:right w:val="nil"/>
            </w:tcBorders>
            <w:shd w:val="clear" w:color="auto" w:fill="auto"/>
            <w:noWrap/>
            <w:vAlign w:val="center"/>
            <w:hideMark/>
          </w:tcPr>
          <w:p w14:paraId="68664DE5" w14:textId="5955F9F0" w:rsidR="00A1201B" w:rsidRPr="005644E5" w:rsidRDefault="00B84071" w:rsidP="005644E5">
            <w:pPr>
              <w:pBdr>
                <w:top w:val="none" w:sz="0" w:space="0" w:color="auto"/>
                <w:left w:val="none" w:sz="0" w:space="0" w:color="auto"/>
                <w:bottom w:val="none" w:sz="0" w:space="0" w:color="auto"/>
                <w:right w:val="none" w:sz="0" w:space="0" w:color="auto"/>
                <w:between w:val="none" w:sz="0" w:space="0" w:color="auto"/>
                <w:bar w:val="none" w:sz="0" w:color="auto"/>
              </w:pBdr>
              <w:ind w:left="217" w:right="159"/>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Activos financieros a coste amortizado</w:t>
            </w:r>
            <w:r w:rsidR="00A1201B" w:rsidRPr="005644E5">
              <w:rPr>
                <w:rFonts w:eastAsia="Times New Roman"/>
                <w:b/>
                <w:bCs/>
                <w:sz w:val="18"/>
                <w:szCs w:val="18"/>
                <w:bdr w:val="none" w:sz="0" w:space="0" w:color="auto"/>
                <w:lang w:eastAsia="es-ES"/>
              </w:rPr>
              <w:t xml:space="preserve"> a l</w:t>
            </w:r>
            <w:r w:rsidR="008063DC" w:rsidRPr="005644E5">
              <w:rPr>
                <w:rFonts w:eastAsia="Times New Roman"/>
                <w:b/>
                <w:bCs/>
                <w:sz w:val="18"/>
                <w:szCs w:val="18"/>
                <w:bdr w:val="none" w:sz="0" w:space="0" w:color="auto"/>
                <w:lang w:eastAsia="es-ES"/>
              </w:rPr>
              <w:t>/p</w:t>
            </w:r>
            <w:r w:rsidR="00A1201B" w:rsidRPr="005644E5">
              <w:rPr>
                <w:rFonts w:eastAsia="Times New Roman"/>
                <w:b/>
                <w:bCs/>
                <w:sz w:val="18"/>
                <w:szCs w:val="18"/>
                <w:bdr w:val="none" w:sz="0" w:space="0" w:color="auto"/>
                <w:lang w:eastAsia="es-ES"/>
              </w:rPr>
              <w:t>:</w:t>
            </w:r>
          </w:p>
        </w:tc>
      </w:tr>
      <w:tr w:rsidR="004772D1" w:rsidRPr="005644E5" w14:paraId="69297425" w14:textId="77777777" w:rsidTr="005644E5">
        <w:tblPrEx>
          <w:jc w:val="center"/>
        </w:tblPrEx>
        <w:trPr>
          <w:trHeight w:val="283"/>
          <w:jc w:val="center"/>
        </w:trPr>
        <w:tc>
          <w:tcPr>
            <w:tcW w:w="2693" w:type="pct"/>
            <w:tcBorders>
              <w:top w:val="nil"/>
              <w:left w:val="nil"/>
              <w:bottom w:val="nil"/>
              <w:right w:val="nil"/>
            </w:tcBorders>
            <w:shd w:val="clear" w:color="auto" w:fill="auto"/>
            <w:noWrap/>
            <w:vAlign w:val="center"/>
            <w:hideMark/>
          </w:tcPr>
          <w:p w14:paraId="6E1CF44F" w14:textId="77777777" w:rsidR="004772D1" w:rsidRPr="005644E5" w:rsidRDefault="004772D1" w:rsidP="005644E5">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Fianzas</w:t>
            </w:r>
          </w:p>
        </w:tc>
        <w:tc>
          <w:tcPr>
            <w:tcW w:w="1153" w:type="pct"/>
            <w:tcBorders>
              <w:top w:val="nil"/>
              <w:left w:val="nil"/>
              <w:bottom w:val="nil"/>
              <w:right w:val="nil"/>
            </w:tcBorders>
            <w:shd w:val="clear" w:color="auto" w:fill="auto"/>
            <w:noWrap/>
            <w:vAlign w:val="center"/>
          </w:tcPr>
          <w:p w14:paraId="67D5658B" w14:textId="2D621769" w:rsidR="004772D1" w:rsidRPr="005644E5" w:rsidRDefault="00FA4067"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9.107,70</w:t>
            </w:r>
          </w:p>
        </w:tc>
        <w:tc>
          <w:tcPr>
            <w:tcW w:w="1154" w:type="pct"/>
            <w:tcBorders>
              <w:top w:val="nil"/>
              <w:left w:val="nil"/>
              <w:bottom w:val="nil"/>
              <w:right w:val="nil"/>
            </w:tcBorders>
            <w:shd w:val="clear" w:color="auto" w:fill="auto"/>
            <w:noWrap/>
            <w:vAlign w:val="center"/>
            <w:hideMark/>
          </w:tcPr>
          <w:p w14:paraId="00A5869A" w14:textId="3EC03893" w:rsidR="004772D1" w:rsidRPr="005644E5" w:rsidRDefault="004772D1"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9.107,70</w:t>
            </w:r>
          </w:p>
        </w:tc>
      </w:tr>
      <w:tr w:rsidR="004772D1" w:rsidRPr="005644E5" w14:paraId="67F97DFE" w14:textId="77777777" w:rsidTr="005644E5">
        <w:tblPrEx>
          <w:jc w:val="center"/>
        </w:tblPrEx>
        <w:trPr>
          <w:trHeight w:val="283"/>
          <w:jc w:val="center"/>
        </w:trPr>
        <w:tc>
          <w:tcPr>
            <w:tcW w:w="5000" w:type="pct"/>
            <w:gridSpan w:val="3"/>
            <w:tcBorders>
              <w:top w:val="nil"/>
              <w:left w:val="nil"/>
              <w:bottom w:val="nil"/>
              <w:right w:val="nil"/>
            </w:tcBorders>
            <w:shd w:val="clear" w:color="auto" w:fill="auto"/>
            <w:noWrap/>
            <w:vAlign w:val="center"/>
            <w:hideMark/>
          </w:tcPr>
          <w:p w14:paraId="7659A41A" w14:textId="66BFAB2C" w:rsidR="004772D1" w:rsidRPr="005644E5" w:rsidRDefault="00B84071" w:rsidP="005644E5">
            <w:pPr>
              <w:pBdr>
                <w:top w:val="none" w:sz="0" w:space="0" w:color="auto"/>
                <w:left w:val="none" w:sz="0" w:space="0" w:color="auto"/>
                <w:bottom w:val="none" w:sz="0" w:space="0" w:color="auto"/>
                <w:right w:val="none" w:sz="0" w:space="0" w:color="auto"/>
                <w:between w:val="none" w:sz="0" w:space="0" w:color="auto"/>
                <w:bar w:val="none" w:sz="0" w:color="auto"/>
              </w:pBdr>
              <w:ind w:left="217" w:right="159"/>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 xml:space="preserve">Activos financieros a coste amortizado </w:t>
            </w:r>
            <w:r w:rsidR="004772D1" w:rsidRPr="005644E5">
              <w:rPr>
                <w:rFonts w:eastAsia="Times New Roman"/>
                <w:b/>
                <w:bCs/>
                <w:sz w:val="18"/>
                <w:szCs w:val="18"/>
                <w:bdr w:val="none" w:sz="0" w:space="0" w:color="auto"/>
                <w:lang w:eastAsia="es-ES"/>
              </w:rPr>
              <w:t>a c/p:</w:t>
            </w:r>
          </w:p>
        </w:tc>
      </w:tr>
      <w:tr w:rsidR="00FA4067" w:rsidRPr="005644E5" w14:paraId="7E6F84D3" w14:textId="77777777" w:rsidTr="005644E5">
        <w:tblPrEx>
          <w:jc w:val="center"/>
        </w:tblPrEx>
        <w:trPr>
          <w:trHeight w:val="283"/>
          <w:jc w:val="center"/>
        </w:trPr>
        <w:tc>
          <w:tcPr>
            <w:tcW w:w="2693" w:type="pct"/>
            <w:tcBorders>
              <w:top w:val="nil"/>
              <w:left w:val="nil"/>
              <w:bottom w:val="nil"/>
              <w:right w:val="nil"/>
            </w:tcBorders>
            <w:shd w:val="clear" w:color="auto" w:fill="auto"/>
            <w:noWrap/>
            <w:vAlign w:val="center"/>
            <w:hideMark/>
          </w:tcPr>
          <w:p w14:paraId="69635F8C" w14:textId="4F3DA38C" w:rsidR="00FA4067" w:rsidRPr="005644E5" w:rsidRDefault="00FA4067" w:rsidP="005644E5">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highlight w:val="yellow"/>
                <w:bdr w:val="none" w:sz="0" w:space="0" w:color="auto"/>
                <w:lang w:eastAsia="es-ES"/>
              </w:rPr>
            </w:pPr>
            <w:r w:rsidRPr="005644E5">
              <w:rPr>
                <w:sz w:val="18"/>
                <w:szCs w:val="18"/>
              </w:rPr>
              <w:t>Clientes por ventas y prestación de servicios</w:t>
            </w:r>
          </w:p>
        </w:tc>
        <w:tc>
          <w:tcPr>
            <w:tcW w:w="1153" w:type="pct"/>
            <w:tcBorders>
              <w:top w:val="nil"/>
              <w:left w:val="nil"/>
              <w:bottom w:val="nil"/>
              <w:right w:val="nil"/>
            </w:tcBorders>
            <w:shd w:val="clear" w:color="auto" w:fill="auto"/>
            <w:noWrap/>
            <w:vAlign w:val="center"/>
          </w:tcPr>
          <w:p w14:paraId="24557BBE" w14:textId="1D0DE298" w:rsidR="00FA4067" w:rsidRPr="005644E5" w:rsidRDefault="00FA4067"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rFonts w:eastAsia="Times New Roman"/>
                <w:sz w:val="18"/>
                <w:szCs w:val="18"/>
                <w:bdr w:val="none" w:sz="0" w:space="0" w:color="auto"/>
                <w:lang w:eastAsia="es-ES"/>
              </w:rPr>
            </w:pPr>
            <w:r w:rsidRPr="005644E5">
              <w:rPr>
                <w:sz w:val="18"/>
                <w:szCs w:val="18"/>
              </w:rPr>
              <w:t>99.686,83</w:t>
            </w:r>
          </w:p>
        </w:tc>
        <w:tc>
          <w:tcPr>
            <w:tcW w:w="1154" w:type="pct"/>
            <w:tcBorders>
              <w:top w:val="nil"/>
              <w:left w:val="nil"/>
              <w:bottom w:val="nil"/>
              <w:right w:val="nil"/>
            </w:tcBorders>
            <w:shd w:val="clear" w:color="auto" w:fill="auto"/>
            <w:noWrap/>
            <w:vAlign w:val="center"/>
            <w:hideMark/>
          </w:tcPr>
          <w:p w14:paraId="7E78E17D" w14:textId="7C757A06" w:rsidR="00FA4067" w:rsidRPr="005644E5" w:rsidRDefault="00573442"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rFonts w:eastAsia="Times New Roman"/>
                <w:sz w:val="18"/>
                <w:szCs w:val="18"/>
                <w:bdr w:val="none" w:sz="0" w:space="0" w:color="auto"/>
                <w:lang w:eastAsia="es-ES"/>
              </w:rPr>
            </w:pPr>
            <w:r w:rsidRPr="005644E5">
              <w:rPr>
                <w:sz w:val="18"/>
                <w:szCs w:val="18"/>
              </w:rPr>
              <w:t>-</w:t>
            </w:r>
          </w:p>
        </w:tc>
      </w:tr>
      <w:tr w:rsidR="00FA4067" w:rsidRPr="005644E5" w14:paraId="40A4B433" w14:textId="77777777" w:rsidTr="005644E5">
        <w:tblPrEx>
          <w:jc w:val="center"/>
        </w:tblPrEx>
        <w:trPr>
          <w:trHeight w:val="283"/>
          <w:jc w:val="center"/>
        </w:trPr>
        <w:tc>
          <w:tcPr>
            <w:tcW w:w="2693" w:type="pct"/>
            <w:tcBorders>
              <w:top w:val="nil"/>
              <w:left w:val="nil"/>
              <w:bottom w:val="nil"/>
              <w:right w:val="nil"/>
            </w:tcBorders>
            <w:shd w:val="clear" w:color="auto" w:fill="auto"/>
            <w:noWrap/>
            <w:vAlign w:val="center"/>
          </w:tcPr>
          <w:p w14:paraId="048E6A49" w14:textId="13CFFE60" w:rsidR="00FA4067" w:rsidRPr="005644E5" w:rsidRDefault="00FA4067" w:rsidP="005644E5">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sz w:val="18"/>
                <w:szCs w:val="18"/>
              </w:rPr>
            </w:pPr>
            <w:r w:rsidRPr="005644E5">
              <w:rPr>
                <w:sz w:val="18"/>
                <w:szCs w:val="18"/>
              </w:rPr>
              <w:t>Deudores</w:t>
            </w:r>
          </w:p>
        </w:tc>
        <w:tc>
          <w:tcPr>
            <w:tcW w:w="1153" w:type="pct"/>
            <w:tcBorders>
              <w:top w:val="nil"/>
              <w:left w:val="nil"/>
              <w:bottom w:val="nil"/>
              <w:right w:val="nil"/>
            </w:tcBorders>
            <w:shd w:val="clear" w:color="auto" w:fill="auto"/>
            <w:noWrap/>
            <w:vAlign w:val="center"/>
          </w:tcPr>
          <w:p w14:paraId="66902AB7" w14:textId="35BA8573" w:rsidR="00FA4067" w:rsidRPr="005644E5" w:rsidRDefault="005E5AD2"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rFonts w:eastAsia="Times New Roman"/>
                <w:sz w:val="18"/>
                <w:szCs w:val="18"/>
                <w:bdr w:val="none" w:sz="0" w:space="0" w:color="auto"/>
                <w:lang w:eastAsia="es-ES"/>
              </w:rPr>
            </w:pPr>
            <w:r w:rsidRPr="005644E5">
              <w:rPr>
                <w:sz w:val="18"/>
                <w:szCs w:val="18"/>
              </w:rPr>
              <w:t>472.345,31</w:t>
            </w:r>
          </w:p>
        </w:tc>
        <w:tc>
          <w:tcPr>
            <w:tcW w:w="1154" w:type="pct"/>
            <w:tcBorders>
              <w:top w:val="nil"/>
              <w:left w:val="nil"/>
              <w:bottom w:val="nil"/>
              <w:right w:val="nil"/>
            </w:tcBorders>
            <w:shd w:val="clear" w:color="auto" w:fill="auto"/>
            <w:noWrap/>
            <w:vAlign w:val="center"/>
          </w:tcPr>
          <w:p w14:paraId="43C39129" w14:textId="2D5E77B3" w:rsidR="00FA4067" w:rsidRPr="005644E5" w:rsidRDefault="00FA4067"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sz w:val="18"/>
                <w:szCs w:val="18"/>
              </w:rPr>
            </w:pPr>
            <w:r w:rsidRPr="005644E5">
              <w:rPr>
                <w:sz w:val="18"/>
                <w:szCs w:val="18"/>
              </w:rPr>
              <w:t>8.534,09</w:t>
            </w:r>
          </w:p>
        </w:tc>
      </w:tr>
      <w:tr w:rsidR="00FA4067" w:rsidRPr="005644E5" w14:paraId="7A451D50" w14:textId="77777777" w:rsidTr="005644E5">
        <w:tblPrEx>
          <w:jc w:val="center"/>
        </w:tblPrEx>
        <w:trPr>
          <w:trHeight w:val="283"/>
          <w:jc w:val="center"/>
        </w:trPr>
        <w:tc>
          <w:tcPr>
            <w:tcW w:w="2693" w:type="pct"/>
            <w:tcBorders>
              <w:top w:val="single" w:sz="4" w:space="0" w:color="auto"/>
              <w:left w:val="nil"/>
              <w:bottom w:val="single" w:sz="4" w:space="0" w:color="auto"/>
              <w:right w:val="nil"/>
            </w:tcBorders>
            <w:shd w:val="clear" w:color="auto" w:fill="auto"/>
            <w:noWrap/>
            <w:vAlign w:val="center"/>
            <w:hideMark/>
          </w:tcPr>
          <w:p w14:paraId="17477BC8" w14:textId="77777777" w:rsidR="00FA4067" w:rsidRPr="005644E5" w:rsidRDefault="00FA4067" w:rsidP="005644E5">
            <w:pPr>
              <w:ind w:left="217"/>
              <w:rPr>
                <w:b/>
                <w:bCs/>
                <w:sz w:val="18"/>
                <w:szCs w:val="18"/>
                <w:highlight w:val="yellow"/>
              </w:rPr>
            </w:pPr>
            <w:r w:rsidRPr="005644E5">
              <w:rPr>
                <w:b/>
                <w:bCs/>
                <w:sz w:val="18"/>
                <w:szCs w:val="18"/>
              </w:rPr>
              <w:t>Total</w:t>
            </w:r>
          </w:p>
        </w:tc>
        <w:tc>
          <w:tcPr>
            <w:tcW w:w="1153" w:type="pct"/>
            <w:tcBorders>
              <w:top w:val="single" w:sz="4" w:space="0" w:color="auto"/>
              <w:left w:val="nil"/>
              <w:bottom w:val="single" w:sz="4" w:space="0" w:color="auto"/>
              <w:right w:val="nil"/>
            </w:tcBorders>
            <w:shd w:val="clear" w:color="auto" w:fill="auto"/>
            <w:noWrap/>
            <w:vAlign w:val="center"/>
          </w:tcPr>
          <w:p w14:paraId="2C645524" w14:textId="27667B8E" w:rsidR="00FA4067" w:rsidRPr="005644E5" w:rsidRDefault="005E5AD2"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rFonts w:eastAsia="Times New Roman"/>
                <w:b/>
                <w:bCs/>
                <w:sz w:val="18"/>
                <w:szCs w:val="18"/>
                <w:bdr w:val="none" w:sz="0" w:space="0" w:color="auto"/>
                <w:lang w:eastAsia="es-ES"/>
              </w:rPr>
            </w:pPr>
            <w:r w:rsidRPr="005644E5">
              <w:rPr>
                <w:b/>
                <w:bCs/>
                <w:sz w:val="18"/>
                <w:szCs w:val="18"/>
              </w:rPr>
              <w:t>581.139,84</w:t>
            </w:r>
          </w:p>
        </w:tc>
        <w:tc>
          <w:tcPr>
            <w:tcW w:w="1154" w:type="pct"/>
            <w:tcBorders>
              <w:top w:val="single" w:sz="4" w:space="0" w:color="auto"/>
              <w:left w:val="nil"/>
              <w:bottom w:val="single" w:sz="4" w:space="0" w:color="auto"/>
              <w:right w:val="nil"/>
            </w:tcBorders>
            <w:shd w:val="clear" w:color="auto" w:fill="auto"/>
            <w:noWrap/>
            <w:vAlign w:val="center"/>
            <w:hideMark/>
          </w:tcPr>
          <w:p w14:paraId="2023035F" w14:textId="21F1D0C8" w:rsidR="00FA4067" w:rsidRPr="005644E5" w:rsidRDefault="00FA4067"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rFonts w:eastAsia="Times New Roman"/>
                <w:b/>
                <w:bCs/>
                <w:sz w:val="18"/>
                <w:szCs w:val="18"/>
                <w:bdr w:val="none" w:sz="0" w:space="0" w:color="auto"/>
                <w:lang w:eastAsia="es-ES"/>
              </w:rPr>
            </w:pPr>
            <w:r w:rsidRPr="005644E5">
              <w:rPr>
                <w:b/>
                <w:bCs/>
                <w:sz w:val="18"/>
                <w:szCs w:val="18"/>
              </w:rPr>
              <w:t>17.641,79</w:t>
            </w:r>
          </w:p>
        </w:tc>
      </w:tr>
    </w:tbl>
    <w:p w14:paraId="15DDFC8E" w14:textId="79BA2F78" w:rsidR="00AF493F" w:rsidRPr="00F509FC" w:rsidRDefault="002972DE" w:rsidP="005644E5">
      <w:pPr>
        <w:widowControl w:val="0"/>
        <w:spacing w:before="120" w:after="120" w:line="260" w:lineRule="exact"/>
        <w:ind w:left="284"/>
        <w:jc w:val="both"/>
        <w:outlineLvl w:val="9"/>
        <w:rPr>
          <w:snapToGrid w:val="0"/>
          <w:sz w:val="20"/>
          <w:szCs w:val="22"/>
        </w:rPr>
      </w:pPr>
      <w:r w:rsidRPr="005644E5">
        <w:rPr>
          <w:snapToGrid w:val="0"/>
          <w:sz w:val="20"/>
          <w:szCs w:val="22"/>
        </w:rPr>
        <w:t xml:space="preserve">En el epígrafe de </w:t>
      </w:r>
      <w:r w:rsidR="00573442" w:rsidRPr="005644E5">
        <w:rPr>
          <w:snapToGrid w:val="0"/>
          <w:sz w:val="20"/>
          <w:szCs w:val="22"/>
        </w:rPr>
        <w:t>“</w:t>
      </w:r>
      <w:r w:rsidRPr="00F509FC">
        <w:rPr>
          <w:snapToGrid w:val="0"/>
          <w:sz w:val="20"/>
          <w:szCs w:val="22"/>
        </w:rPr>
        <w:t>Deudores</w:t>
      </w:r>
      <w:r w:rsidR="00573442" w:rsidRPr="00F509FC">
        <w:rPr>
          <w:snapToGrid w:val="0"/>
          <w:sz w:val="20"/>
          <w:szCs w:val="22"/>
        </w:rPr>
        <w:t>”</w:t>
      </w:r>
      <w:r w:rsidRPr="00F509FC">
        <w:rPr>
          <w:snapToGrid w:val="0"/>
          <w:sz w:val="20"/>
          <w:szCs w:val="22"/>
        </w:rPr>
        <w:t xml:space="preserve"> figura un</w:t>
      </w:r>
      <w:r w:rsidR="00B46D86" w:rsidRPr="005644E5">
        <w:rPr>
          <w:snapToGrid w:val="0"/>
          <w:sz w:val="20"/>
          <w:szCs w:val="22"/>
        </w:rPr>
        <w:t xml:space="preserve"> importe de 439.793,08 euros</w:t>
      </w:r>
      <w:r w:rsidRPr="005644E5">
        <w:rPr>
          <w:snapToGrid w:val="0"/>
          <w:sz w:val="20"/>
          <w:szCs w:val="22"/>
        </w:rPr>
        <w:t xml:space="preserve"> que </w:t>
      </w:r>
      <w:r w:rsidR="00BF65D0" w:rsidRPr="00F509FC">
        <w:rPr>
          <w:snapToGrid w:val="0"/>
          <w:sz w:val="20"/>
          <w:szCs w:val="22"/>
        </w:rPr>
        <w:t>corresponde</w:t>
      </w:r>
      <w:r w:rsidR="00B46D86" w:rsidRPr="00F509FC">
        <w:rPr>
          <w:snapToGrid w:val="0"/>
          <w:sz w:val="20"/>
          <w:szCs w:val="22"/>
        </w:rPr>
        <w:t xml:space="preserve"> </w:t>
      </w:r>
      <w:r w:rsidR="00AF493F" w:rsidRPr="00F509FC">
        <w:rPr>
          <w:snapToGrid w:val="0"/>
          <w:sz w:val="20"/>
          <w:szCs w:val="22"/>
        </w:rPr>
        <w:t xml:space="preserve">a </w:t>
      </w:r>
      <w:r w:rsidR="00573442" w:rsidRPr="00F509FC">
        <w:rPr>
          <w:snapToGrid w:val="0"/>
          <w:sz w:val="20"/>
          <w:szCs w:val="22"/>
        </w:rPr>
        <w:t>las</w:t>
      </w:r>
      <w:r w:rsidR="00AF493F" w:rsidRPr="00F509FC">
        <w:rPr>
          <w:snapToGrid w:val="0"/>
          <w:sz w:val="20"/>
          <w:szCs w:val="22"/>
        </w:rPr>
        <w:t xml:space="preserve"> devoluci</w:t>
      </w:r>
      <w:r w:rsidR="00573442" w:rsidRPr="00F509FC">
        <w:rPr>
          <w:snapToGrid w:val="0"/>
          <w:sz w:val="20"/>
          <w:szCs w:val="22"/>
        </w:rPr>
        <w:t>ones pendientes</w:t>
      </w:r>
      <w:r w:rsidR="00AF493F" w:rsidRPr="00F509FC">
        <w:rPr>
          <w:snapToGrid w:val="0"/>
          <w:sz w:val="20"/>
          <w:szCs w:val="22"/>
        </w:rPr>
        <w:t xml:space="preserve"> </w:t>
      </w:r>
      <w:r w:rsidR="00573442" w:rsidRPr="00F509FC">
        <w:rPr>
          <w:snapToGrid w:val="0"/>
          <w:sz w:val="20"/>
          <w:szCs w:val="22"/>
        </w:rPr>
        <w:t xml:space="preserve">de realizar </w:t>
      </w:r>
      <w:r w:rsidR="00AF493F" w:rsidRPr="00F509FC">
        <w:rPr>
          <w:snapToGrid w:val="0"/>
          <w:sz w:val="20"/>
          <w:szCs w:val="22"/>
        </w:rPr>
        <w:t xml:space="preserve">por las entidades financieras </w:t>
      </w:r>
      <w:r w:rsidR="00573442" w:rsidRPr="00F509FC">
        <w:rPr>
          <w:snapToGrid w:val="0"/>
          <w:sz w:val="20"/>
          <w:szCs w:val="22"/>
        </w:rPr>
        <w:t>derivadas de l</w:t>
      </w:r>
      <w:r w:rsidR="00AF493F" w:rsidRPr="00F509FC">
        <w:rPr>
          <w:snapToGrid w:val="0"/>
          <w:sz w:val="20"/>
          <w:szCs w:val="22"/>
        </w:rPr>
        <w:t>as tarjetas "bono turístico". Durante el primer trimestre de 2022 las entidades financieras han realizado las devoluciones.</w:t>
      </w:r>
    </w:p>
    <w:p w14:paraId="4882830B" w14:textId="214CAEE3" w:rsidR="006220A2" w:rsidRPr="0083433F" w:rsidRDefault="006220A2" w:rsidP="005644E5">
      <w:pPr>
        <w:widowControl w:val="0"/>
        <w:spacing w:before="120" w:after="120" w:line="260" w:lineRule="exact"/>
        <w:ind w:left="284"/>
        <w:jc w:val="both"/>
        <w:outlineLvl w:val="9"/>
        <w:rPr>
          <w:snapToGrid w:val="0"/>
          <w:sz w:val="20"/>
          <w:szCs w:val="22"/>
        </w:rPr>
      </w:pPr>
      <w:r w:rsidRPr="00F509FC">
        <w:rPr>
          <w:snapToGrid w:val="0"/>
          <w:sz w:val="20"/>
          <w:szCs w:val="22"/>
        </w:rPr>
        <w:t>Las cuentas incluidas en</w:t>
      </w:r>
      <w:r w:rsidRPr="002E1C4E">
        <w:rPr>
          <w:snapToGrid w:val="0"/>
          <w:sz w:val="20"/>
          <w:szCs w:val="22"/>
        </w:rPr>
        <w:t xml:space="preserve"> “</w:t>
      </w:r>
      <w:r w:rsidR="002E1C4E" w:rsidRPr="002E1C4E">
        <w:rPr>
          <w:snapToGrid w:val="0"/>
          <w:sz w:val="20"/>
          <w:szCs w:val="22"/>
        </w:rPr>
        <w:t>Activos financieros a coste amortizado</w:t>
      </w:r>
      <w:r w:rsidRPr="002E1C4E">
        <w:rPr>
          <w:snapToGrid w:val="0"/>
          <w:sz w:val="20"/>
          <w:szCs w:val="22"/>
        </w:rPr>
        <w:t>” no han sufrido deterioro del valor.</w:t>
      </w:r>
    </w:p>
    <w:p w14:paraId="51EA15EF" w14:textId="5B5D4BB9" w:rsidR="005644E5" w:rsidRDefault="006220A2" w:rsidP="005644E5">
      <w:pPr>
        <w:widowControl w:val="0"/>
        <w:spacing w:before="120" w:after="120" w:line="260" w:lineRule="exact"/>
        <w:ind w:left="284"/>
        <w:jc w:val="both"/>
        <w:outlineLvl w:val="9"/>
        <w:rPr>
          <w:snapToGrid w:val="0"/>
          <w:sz w:val="20"/>
          <w:szCs w:val="22"/>
        </w:rPr>
      </w:pPr>
      <w:r w:rsidRPr="0083433F">
        <w:rPr>
          <w:snapToGrid w:val="0"/>
          <w:sz w:val="20"/>
          <w:szCs w:val="22"/>
        </w:rPr>
        <w:t>La exposición máxima al riesgo de crédito a la fecha de presentación de la información es el valor razonable de cada una de las categorías de cuentas a cobrar indicadas anteriormente. La Sociedad no mantiene ninguna garantía como seguro.</w:t>
      </w:r>
    </w:p>
    <w:p w14:paraId="252ECEFA" w14:textId="77777777" w:rsidR="005644E5" w:rsidRDefault="005644E5">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5A8846E5" w14:textId="77777777" w:rsidR="00EC29B8" w:rsidRPr="0083433F" w:rsidRDefault="00EC29B8" w:rsidP="005644E5">
      <w:pPr>
        <w:keepNext/>
        <w:keepLines/>
        <w:widowControl w:val="0"/>
        <w:spacing w:before="120" w:line="276" w:lineRule="auto"/>
        <w:ind w:left="284"/>
        <w:jc w:val="both"/>
        <w:rPr>
          <w:i/>
          <w:snapToGrid w:val="0"/>
          <w:sz w:val="20"/>
          <w:szCs w:val="22"/>
          <w:u w:val="single"/>
        </w:rPr>
      </w:pPr>
      <w:r w:rsidRPr="0083433F">
        <w:rPr>
          <w:i/>
          <w:sz w:val="20"/>
          <w:szCs w:val="22"/>
          <w:u w:val="single"/>
        </w:rPr>
        <w:lastRenderedPageBreak/>
        <w:t>Clasificación por vencimiento</w:t>
      </w:r>
    </w:p>
    <w:p w14:paraId="39149A15" w14:textId="77777777" w:rsidR="00EC29B8" w:rsidRPr="005644E5" w:rsidRDefault="00EC29B8" w:rsidP="005644E5">
      <w:pPr>
        <w:widowControl w:val="0"/>
        <w:spacing w:before="120" w:after="120" w:line="260" w:lineRule="exact"/>
        <w:ind w:left="284"/>
        <w:jc w:val="both"/>
        <w:outlineLvl w:val="9"/>
        <w:rPr>
          <w:snapToGrid w:val="0"/>
          <w:sz w:val="20"/>
          <w:szCs w:val="22"/>
        </w:rPr>
      </w:pPr>
      <w:r w:rsidRPr="005644E5">
        <w:rPr>
          <w:snapToGrid w:val="0"/>
          <w:sz w:val="20"/>
          <w:szCs w:val="22"/>
        </w:rPr>
        <w:t>Los importes de los instrumentos financieros de activo al cierre del ejercicio 2021 es el siguiente:</w:t>
      </w:r>
    </w:p>
    <w:tbl>
      <w:tblPr>
        <w:tblW w:w="5000" w:type="pct"/>
        <w:tblCellMar>
          <w:left w:w="70" w:type="dxa"/>
          <w:right w:w="70" w:type="dxa"/>
        </w:tblCellMar>
        <w:tblLook w:val="04A0" w:firstRow="1" w:lastRow="0" w:firstColumn="1" w:lastColumn="0" w:noHBand="0" w:noVBand="1"/>
      </w:tblPr>
      <w:tblGrid>
        <w:gridCol w:w="2449"/>
        <w:gridCol w:w="1041"/>
        <w:gridCol w:w="952"/>
        <w:gridCol w:w="954"/>
        <w:gridCol w:w="954"/>
        <w:gridCol w:w="695"/>
        <w:gridCol w:w="695"/>
        <w:gridCol w:w="1041"/>
      </w:tblGrid>
      <w:tr w:rsidR="00EC29B8" w:rsidRPr="007E7835" w14:paraId="38CD66A0" w14:textId="77777777" w:rsidTr="00D61675">
        <w:trPr>
          <w:trHeight w:val="227"/>
        </w:trPr>
        <w:tc>
          <w:tcPr>
            <w:tcW w:w="5000" w:type="pct"/>
            <w:gridSpan w:val="8"/>
            <w:tcBorders>
              <w:top w:val="single" w:sz="4" w:space="0" w:color="auto"/>
              <w:left w:val="nil"/>
              <w:bottom w:val="nil"/>
              <w:right w:val="nil"/>
            </w:tcBorders>
            <w:shd w:val="clear" w:color="auto" w:fill="auto"/>
            <w:vAlign w:val="bottom"/>
            <w:hideMark/>
          </w:tcPr>
          <w:p w14:paraId="6667D7C4"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ACTIVOS FINANCIEROS</w:t>
            </w:r>
          </w:p>
        </w:tc>
      </w:tr>
      <w:tr w:rsidR="00EC29B8" w:rsidRPr="007E7835" w14:paraId="28EDFBF3" w14:textId="77777777" w:rsidTr="00D61675">
        <w:trPr>
          <w:trHeight w:val="227"/>
        </w:trPr>
        <w:tc>
          <w:tcPr>
            <w:tcW w:w="1394" w:type="pct"/>
            <w:tcBorders>
              <w:top w:val="single" w:sz="4" w:space="0" w:color="auto"/>
              <w:left w:val="nil"/>
              <w:bottom w:val="single" w:sz="4" w:space="0" w:color="auto"/>
              <w:right w:val="nil"/>
            </w:tcBorders>
            <w:shd w:val="clear" w:color="auto" w:fill="auto"/>
            <w:vAlign w:val="bottom"/>
            <w:hideMark/>
          </w:tcPr>
          <w:p w14:paraId="3AE6DB99"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593" w:type="pct"/>
            <w:tcBorders>
              <w:top w:val="single" w:sz="4" w:space="0" w:color="auto"/>
              <w:left w:val="nil"/>
              <w:bottom w:val="single" w:sz="4" w:space="0" w:color="auto"/>
              <w:right w:val="nil"/>
            </w:tcBorders>
            <w:shd w:val="clear" w:color="auto" w:fill="auto"/>
            <w:vAlign w:val="bottom"/>
            <w:hideMark/>
          </w:tcPr>
          <w:p w14:paraId="45833D65"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2</w:t>
            </w:r>
          </w:p>
        </w:tc>
        <w:tc>
          <w:tcPr>
            <w:tcW w:w="542" w:type="pct"/>
            <w:tcBorders>
              <w:top w:val="single" w:sz="4" w:space="0" w:color="auto"/>
              <w:left w:val="nil"/>
              <w:bottom w:val="single" w:sz="4" w:space="0" w:color="auto"/>
              <w:right w:val="nil"/>
            </w:tcBorders>
            <w:shd w:val="clear" w:color="auto" w:fill="auto"/>
            <w:vAlign w:val="bottom"/>
            <w:hideMark/>
          </w:tcPr>
          <w:p w14:paraId="56D72A1A"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3</w:t>
            </w:r>
          </w:p>
        </w:tc>
        <w:tc>
          <w:tcPr>
            <w:tcW w:w="543" w:type="pct"/>
            <w:tcBorders>
              <w:top w:val="single" w:sz="4" w:space="0" w:color="auto"/>
              <w:left w:val="nil"/>
              <w:bottom w:val="single" w:sz="4" w:space="0" w:color="auto"/>
              <w:right w:val="nil"/>
            </w:tcBorders>
            <w:shd w:val="clear" w:color="auto" w:fill="auto"/>
            <w:vAlign w:val="bottom"/>
            <w:hideMark/>
          </w:tcPr>
          <w:p w14:paraId="1776FC31"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4</w:t>
            </w:r>
          </w:p>
        </w:tc>
        <w:tc>
          <w:tcPr>
            <w:tcW w:w="543" w:type="pct"/>
            <w:tcBorders>
              <w:top w:val="single" w:sz="4" w:space="0" w:color="auto"/>
              <w:left w:val="nil"/>
              <w:bottom w:val="single" w:sz="4" w:space="0" w:color="auto"/>
              <w:right w:val="nil"/>
            </w:tcBorders>
            <w:shd w:val="clear" w:color="auto" w:fill="auto"/>
            <w:vAlign w:val="bottom"/>
            <w:hideMark/>
          </w:tcPr>
          <w:p w14:paraId="4AB5A7FC"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5</w:t>
            </w:r>
          </w:p>
        </w:tc>
        <w:tc>
          <w:tcPr>
            <w:tcW w:w="396" w:type="pct"/>
            <w:tcBorders>
              <w:top w:val="single" w:sz="4" w:space="0" w:color="auto"/>
              <w:left w:val="nil"/>
              <w:bottom w:val="single" w:sz="4" w:space="0" w:color="auto"/>
              <w:right w:val="nil"/>
            </w:tcBorders>
            <w:shd w:val="clear" w:color="auto" w:fill="auto"/>
            <w:vAlign w:val="bottom"/>
            <w:hideMark/>
          </w:tcPr>
          <w:p w14:paraId="35FA53A0"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6</w:t>
            </w:r>
          </w:p>
        </w:tc>
        <w:tc>
          <w:tcPr>
            <w:tcW w:w="396" w:type="pct"/>
            <w:tcBorders>
              <w:top w:val="single" w:sz="4" w:space="0" w:color="auto"/>
              <w:left w:val="nil"/>
              <w:bottom w:val="single" w:sz="4" w:space="0" w:color="auto"/>
              <w:right w:val="nil"/>
            </w:tcBorders>
            <w:shd w:val="clear" w:color="auto" w:fill="auto"/>
            <w:vAlign w:val="bottom"/>
            <w:hideMark/>
          </w:tcPr>
          <w:p w14:paraId="5F66FC3C"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7</w:t>
            </w:r>
          </w:p>
        </w:tc>
        <w:tc>
          <w:tcPr>
            <w:tcW w:w="593" w:type="pct"/>
            <w:tcBorders>
              <w:top w:val="single" w:sz="4" w:space="0" w:color="auto"/>
              <w:left w:val="nil"/>
              <w:bottom w:val="single" w:sz="4" w:space="0" w:color="auto"/>
              <w:right w:val="nil"/>
            </w:tcBorders>
            <w:shd w:val="clear" w:color="auto" w:fill="auto"/>
            <w:vAlign w:val="bottom"/>
            <w:hideMark/>
          </w:tcPr>
          <w:p w14:paraId="0CE78535"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Total</w:t>
            </w:r>
          </w:p>
        </w:tc>
      </w:tr>
      <w:tr w:rsidR="00EC29B8" w:rsidRPr="00EC29B8" w14:paraId="12C2A472" w14:textId="77777777" w:rsidTr="005644E5">
        <w:trPr>
          <w:trHeight w:val="283"/>
        </w:trPr>
        <w:tc>
          <w:tcPr>
            <w:tcW w:w="1394" w:type="pct"/>
            <w:tcBorders>
              <w:top w:val="nil"/>
              <w:left w:val="nil"/>
              <w:bottom w:val="nil"/>
              <w:right w:val="nil"/>
            </w:tcBorders>
            <w:shd w:val="clear" w:color="auto" w:fill="auto"/>
            <w:vAlign w:val="center"/>
            <w:hideMark/>
          </w:tcPr>
          <w:p w14:paraId="4CE76DDF"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Activos financieros a coste amortizado (Nota 8.1.a)</w:t>
            </w:r>
          </w:p>
        </w:tc>
        <w:tc>
          <w:tcPr>
            <w:tcW w:w="593" w:type="pct"/>
            <w:tcBorders>
              <w:top w:val="nil"/>
              <w:left w:val="nil"/>
              <w:bottom w:val="nil"/>
              <w:right w:val="nil"/>
            </w:tcBorders>
            <w:shd w:val="clear" w:color="auto" w:fill="auto"/>
            <w:vAlign w:val="center"/>
          </w:tcPr>
          <w:p w14:paraId="656EE09F"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sz w:val="16"/>
                <w:szCs w:val="16"/>
              </w:rPr>
              <w:t>572.032,14</w:t>
            </w:r>
          </w:p>
        </w:tc>
        <w:tc>
          <w:tcPr>
            <w:tcW w:w="542" w:type="pct"/>
            <w:tcBorders>
              <w:top w:val="nil"/>
              <w:left w:val="nil"/>
              <w:bottom w:val="nil"/>
              <w:right w:val="nil"/>
            </w:tcBorders>
            <w:shd w:val="clear" w:color="auto" w:fill="auto"/>
            <w:noWrap/>
            <w:vAlign w:val="center"/>
          </w:tcPr>
          <w:p w14:paraId="69AC2114" w14:textId="310BD952"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w:t>
            </w:r>
          </w:p>
        </w:tc>
        <w:tc>
          <w:tcPr>
            <w:tcW w:w="543" w:type="pct"/>
            <w:tcBorders>
              <w:top w:val="nil"/>
              <w:left w:val="nil"/>
              <w:bottom w:val="nil"/>
              <w:right w:val="nil"/>
            </w:tcBorders>
            <w:shd w:val="clear" w:color="auto" w:fill="auto"/>
            <w:noWrap/>
            <w:vAlign w:val="center"/>
          </w:tcPr>
          <w:p w14:paraId="0B7DFCFF"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sz w:val="16"/>
                <w:szCs w:val="16"/>
              </w:rPr>
              <w:t>9.107,70</w:t>
            </w:r>
          </w:p>
        </w:tc>
        <w:tc>
          <w:tcPr>
            <w:tcW w:w="543" w:type="pct"/>
            <w:tcBorders>
              <w:top w:val="nil"/>
              <w:left w:val="nil"/>
              <w:bottom w:val="nil"/>
              <w:right w:val="nil"/>
            </w:tcBorders>
            <w:shd w:val="clear" w:color="auto" w:fill="auto"/>
            <w:vAlign w:val="center"/>
          </w:tcPr>
          <w:p w14:paraId="7B5F785B" w14:textId="55F855CC"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w:t>
            </w:r>
          </w:p>
        </w:tc>
        <w:tc>
          <w:tcPr>
            <w:tcW w:w="396" w:type="pct"/>
            <w:tcBorders>
              <w:top w:val="nil"/>
              <w:left w:val="nil"/>
              <w:bottom w:val="nil"/>
              <w:right w:val="nil"/>
            </w:tcBorders>
            <w:shd w:val="clear" w:color="auto" w:fill="auto"/>
            <w:noWrap/>
            <w:vAlign w:val="center"/>
          </w:tcPr>
          <w:p w14:paraId="18994454" w14:textId="315AAC7F"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w:t>
            </w:r>
          </w:p>
        </w:tc>
        <w:tc>
          <w:tcPr>
            <w:tcW w:w="396" w:type="pct"/>
            <w:tcBorders>
              <w:top w:val="nil"/>
              <w:left w:val="nil"/>
              <w:bottom w:val="nil"/>
              <w:right w:val="nil"/>
            </w:tcBorders>
            <w:shd w:val="clear" w:color="auto" w:fill="auto"/>
            <w:vAlign w:val="center"/>
          </w:tcPr>
          <w:p w14:paraId="4ADF1B5D" w14:textId="35BED87A"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w:t>
            </w:r>
          </w:p>
        </w:tc>
        <w:tc>
          <w:tcPr>
            <w:tcW w:w="593" w:type="pct"/>
            <w:tcBorders>
              <w:top w:val="nil"/>
              <w:left w:val="nil"/>
              <w:bottom w:val="nil"/>
              <w:right w:val="nil"/>
            </w:tcBorders>
            <w:shd w:val="clear" w:color="auto" w:fill="auto"/>
            <w:vAlign w:val="center"/>
          </w:tcPr>
          <w:p w14:paraId="6C29983F"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b/>
                <w:bCs/>
                <w:sz w:val="16"/>
                <w:szCs w:val="16"/>
              </w:rPr>
            </w:pPr>
            <w:r w:rsidRPr="00EC29B8">
              <w:rPr>
                <w:b/>
                <w:bCs/>
                <w:sz w:val="16"/>
                <w:szCs w:val="16"/>
              </w:rPr>
              <w:t xml:space="preserve">581.139,84   </w:t>
            </w:r>
          </w:p>
        </w:tc>
      </w:tr>
      <w:tr w:rsidR="00EC29B8" w:rsidRPr="00EC29B8" w14:paraId="35A653B4" w14:textId="77777777" w:rsidTr="005644E5">
        <w:trPr>
          <w:trHeight w:val="283"/>
        </w:trPr>
        <w:tc>
          <w:tcPr>
            <w:tcW w:w="1394" w:type="pct"/>
            <w:tcBorders>
              <w:top w:val="single" w:sz="4" w:space="0" w:color="auto"/>
              <w:left w:val="nil"/>
              <w:bottom w:val="single" w:sz="4" w:space="0" w:color="auto"/>
              <w:right w:val="nil"/>
            </w:tcBorders>
            <w:shd w:val="clear" w:color="auto" w:fill="auto"/>
            <w:vAlign w:val="center"/>
            <w:hideMark/>
          </w:tcPr>
          <w:p w14:paraId="502B711F" w14:textId="6A381FCE" w:rsidR="00EC29B8" w:rsidRPr="005644E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5644E5">
              <w:rPr>
                <w:rFonts w:eastAsia="Times New Roman"/>
                <w:b/>
                <w:bCs/>
                <w:sz w:val="16"/>
                <w:szCs w:val="16"/>
                <w:bdr w:val="none" w:sz="0" w:space="0" w:color="auto"/>
                <w:lang w:eastAsia="es-ES"/>
              </w:rPr>
              <w:t> </w:t>
            </w:r>
            <w:r w:rsidR="005644E5" w:rsidRPr="005644E5">
              <w:rPr>
                <w:rFonts w:eastAsia="Times New Roman"/>
                <w:b/>
                <w:bCs/>
                <w:sz w:val="16"/>
                <w:szCs w:val="16"/>
                <w:bdr w:val="none" w:sz="0" w:space="0" w:color="auto"/>
                <w:lang w:eastAsia="es-ES"/>
              </w:rPr>
              <w:t>Total</w:t>
            </w:r>
          </w:p>
        </w:tc>
        <w:tc>
          <w:tcPr>
            <w:tcW w:w="593" w:type="pct"/>
            <w:tcBorders>
              <w:top w:val="single" w:sz="4" w:space="0" w:color="auto"/>
              <w:left w:val="nil"/>
              <w:bottom w:val="single" w:sz="4" w:space="0" w:color="auto"/>
              <w:right w:val="nil"/>
            </w:tcBorders>
            <w:shd w:val="clear" w:color="auto" w:fill="auto"/>
            <w:vAlign w:val="center"/>
          </w:tcPr>
          <w:p w14:paraId="2D9F8595"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EC29B8">
              <w:rPr>
                <w:b/>
                <w:bCs/>
                <w:sz w:val="16"/>
                <w:szCs w:val="16"/>
              </w:rPr>
              <w:t>572.032,14</w:t>
            </w:r>
          </w:p>
        </w:tc>
        <w:tc>
          <w:tcPr>
            <w:tcW w:w="542" w:type="pct"/>
            <w:tcBorders>
              <w:top w:val="single" w:sz="4" w:space="0" w:color="auto"/>
              <w:left w:val="nil"/>
              <w:bottom w:val="single" w:sz="4" w:space="0" w:color="auto"/>
              <w:right w:val="nil"/>
            </w:tcBorders>
            <w:shd w:val="clear" w:color="auto" w:fill="auto"/>
            <w:noWrap/>
            <w:vAlign w:val="center"/>
          </w:tcPr>
          <w:p w14:paraId="5BD47E5E" w14:textId="2E9CF1E3"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EC29B8">
              <w:rPr>
                <w:rFonts w:eastAsia="Times New Roman"/>
                <w:b/>
                <w:bCs/>
                <w:sz w:val="16"/>
                <w:szCs w:val="16"/>
                <w:bdr w:val="none" w:sz="0" w:space="0" w:color="auto"/>
                <w:lang w:eastAsia="es-ES"/>
              </w:rPr>
              <w:t>-</w:t>
            </w:r>
          </w:p>
        </w:tc>
        <w:tc>
          <w:tcPr>
            <w:tcW w:w="543" w:type="pct"/>
            <w:tcBorders>
              <w:top w:val="single" w:sz="4" w:space="0" w:color="auto"/>
              <w:left w:val="nil"/>
              <w:bottom w:val="single" w:sz="4" w:space="0" w:color="auto"/>
              <w:right w:val="nil"/>
            </w:tcBorders>
            <w:shd w:val="clear" w:color="auto" w:fill="auto"/>
            <w:noWrap/>
            <w:vAlign w:val="center"/>
          </w:tcPr>
          <w:p w14:paraId="0200C2CE"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EC29B8">
              <w:rPr>
                <w:b/>
                <w:bCs/>
                <w:sz w:val="16"/>
                <w:szCs w:val="16"/>
              </w:rPr>
              <w:t>9.107,70</w:t>
            </w:r>
          </w:p>
        </w:tc>
        <w:tc>
          <w:tcPr>
            <w:tcW w:w="543" w:type="pct"/>
            <w:tcBorders>
              <w:top w:val="single" w:sz="4" w:space="0" w:color="auto"/>
              <w:left w:val="nil"/>
              <w:bottom w:val="single" w:sz="4" w:space="0" w:color="auto"/>
              <w:right w:val="nil"/>
            </w:tcBorders>
            <w:shd w:val="clear" w:color="auto" w:fill="auto"/>
            <w:vAlign w:val="center"/>
          </w:tcPr>
          <w:p w14:paraId="723E0677" w14:textId="33006620"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EC29B8">
              <w:rPr>
                <w:rFonts w:eastAsia="Times New Roman"/>
                <w:b/>
                <w:bCs/>
                <w:sz w:val="16"/>
                <w:szCs w:val="16"/>
                <w:bdr w:val="none" w:sz="0" w:space="0" w:color="auto"/>
                <w:lang w:eastAsia="es-ES"/>
              </w:rPr>
              <w:t>-</w:t>
            </w:r>
          </w:p>
        </w:tc>
        <w:tc>
          <w:tcPr>
            <w:tcW w:w="396" w:type="pct"/>
            <w:tcBorders>
              <w:top w:val="single" w:sz="4" w:space="0" w:color="auto"/>
              <w:left w:val="nil"/>
              <w:bottom w:val="single" w:sz="4" w:space="0" w:color="auto"/>
              <w:right w:val="nil"/>
            </w:tcBorders>
            <w:shd w:val="clear" w:color="auto" w:fill="auto"/>
            <w:noWrap/>
            <w:vAlign w:val="center"/>
          </w:tcPr>
          <w:p w14:paraId="508AF4D3" w14:textId="7E9859ED"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EC29B8">
              <w:rPr>
                <w:rFonts w:eastAsia="Times New Roman"/>
                <w:b/>
                <w:bCs/>
                <w:sz w:val="16"/>
                <w:szCs w:val="16"/>
                <w:bdr w:val="none" w:sz="0" w:space="0" w:color="auto"/>
                <w:lang w:eastAsia="es-ES"/>
              </w:rPr>
              <w:t>-</w:t>
            </w:r>
          </w:p>
        </w:tc>
        <w:tc>
          <w:tcPr>
            <w:tcW w:w="396" w:type="pct"/>
            <w:tcBorders>
              <w:top w:val="single" w:sz="4" w:space="0" w:color="auto"/>
              <w:left w:val="nil"/>
              <w:bottom w:val="single" w:sz="4" w:space="0" w:color="auto"/>
              <w:right w:val="nil"/>
            </w:tcBorders>
            <w:shd w:val="clear" w:color="auto" w:fill="auto"/>
            <w:vAlign w:val="center"/>
          </w:tcPr>
          <w:p w14:paraId="7DDF1B4A" w14:textId="75839210"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EC29B8">
              <w:rPr>
                <w:rFonts w:eastAsia="Times New Roman"/>
                <w:b/>
                <w:bCs/>
                <w:sz w:val="16"/>
                <w:szCs w:val="16"/>
                <w:bdr w:val="none" w:sz="0" w:space="0" w:color="auto"/>
                <w:lang w:eastAsia="es-ES"/>
              </w:rPr>
              <w:t>-</w:t>
            </w:r>
          </w:p>
        </w:tc>
        <w:tc>
          <w:tcPr>
            <w:tcW w:w="593" w:type="pct"/>
            <w:tcBorders>
              <w:top w:val="single" w:sz="4" w:space="0" w:color="auto"/>
              <w:left w:val="nil"/>
              <w:bottom w:val="single" w:sz="4" w:space="0" w:color="auto"/>
              <w:right w:val="nil"/>
            </w:tcBorders>
            <w:shd w:val="clear" w:color="auto" w:fill="auto"/>
            <w:vAlign w:val="center"/>
          </w:tcPr>
          <w:p w14:paraId="7326E183" w14:textId="77777777" w:rsidR="00EC29B8" w:rsidRPr="00EC29B8" w:rsidRDefault="00EC29B8" w:rsidP="00D61675">
            <w:pPr>
              <w:jc w:val="right"/>
              <w:rPr>
                <w:b/>
                <w:bCs/>
                <w:sz w:val="16"/>
                <w:szCs w:val="16"/>
              </w:rPr>
            </w:pPr>
            <w:r w:rsidRPr="00EC29B8">
              <w:rPr>
                <w:b/>
                <w:bCs/>
                <w:sz w:val="16"/>
                <w:szCs w:val="16"/>
              </w:rPr>
              <w:t>581.139,84</w:t>
            </w:r>
          </w:p>
        </w:tc>
      </w:tr>
    </w:tbl>
    <w:p w14:paraId="48E5F6A2" w14:textId="77777777" w:rsidR="00EC29B8" w:rsidRPr="005644E5" w:rsidRDefault="00EC29B8" w:rsidP="005644E5">
      <w:pPr>
        <w:widowControl w:val="0"/>
        <w:spacing w:before="120" w:after="120" w:line="260" w:lineRule="exact"/>
        <w:ind w:left="284"/>
        <w:jc w:val="both"/>
        <w:outlineLvl w:val="9"/>
        <w:rPr>
          <w:snapToGrid w:val="0"/>
          <w:sz w:val="20"/>
          <w:szCs w:val="22"/>
        </w:rPr>
      </w:pPr>
      <w:r w:rsidRPr="005644E5">
        <w:rPr>
          <w:snapToGrid w:val="0"/>
          <w:sz w:val="20"/>
          <w:szCs w:val="22"/>
        </w:rPr>
        <w:t>Los importes de los instrumentos financieros de activo al cierre del ejercicio 2020 es el siguiente:</w:t>
      </w:r>
    </w:p>
    <w:tbl>
      <w:tblPr>
        <w:tblW w:w="5000" w:type="pct"/>
        <w:tblCellMar>
          <w:left w:w="70" w:type="dxa"/>
          <w:right w:w="70" w:type="dxa"/>
        </w:tblCellMar>
        <w:tblLook w:val="04A0" w:firstRow="1" w:lastRow="0" w:firstColumn="1" w:lastColumn="0" w:noHBand="0" w:noVBand="1"/>
      </w:tblPr>
      <w:tblGrid>
        <w:gridCol w:w="2467"/>
        <w:gridCol w:w="973"/>
        <w:gridCol w:w="973"/>
        <w:gridCol w:w="975"/>
        <w:gridCol w:w="975"/>
        <w:gridCol w:w="762"/>
        <w:gridCol w:w="715"/>
        <w:gridCol w:w="941"/>
      </w:tblGrid>
      <w:tr w:rsidR="00EC29B8" w:rsidRPr="00EC29B8" w14:paraId="07F4B973" w14:textId="77777777" w:rsidTr="00D61675">
        <w:trPr>
          <w:trHeight w:val="225"/>
        </w:trPr>
        <w:tc>
          <w:tcPr>
            <w:tcW w:w="5000" w:type="pct"/>
            <w:gridSpan w:val="8"/>
            <w:tcBorders>
              <w:top w:val="single" w:sz="4" w:space="0" w:color="auto"/>
              <w:left w:val="nil"/>
              <w:bottom w:val="nil"/>
              <w:right w:val="nil"/>
            </w:tcBorders>
            <w:shd w:val="clear" w:color="auto" w:fill="auto"/>
            <w:vAlign w:val="bottom"/>
            <w:hideMark/>
          </w:tcPr>
          <w:p w14:paraId="39338150"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C29B8">
              <w:rPr>
                <w:rFonts w:eastAsia="Times New Roman"/>
                <w:b/>
                <w:bCs/>
                <w:sz w:val="16"/>
                <w:szCs w:val="16"/>
                <w:bdr w:val="none" w:sz="0" w:space="0" w:color="auto"/>
                <w:lang w:eastAsia="es-ES"/>
              </w:rPr>
              <w:t>ACTIVOS FINANCIEROS</w:t>
            </w:r>
          </w:p>
        </w:tc>
      </w:tr>
      <w:tr w:rsidR="00EC29B8" w:rsidRPr="00EC29B8" w14:paraId="50216FA6" w14:textId="77777777" w:rsidTr="00D61675">
        <w:trPr>
          <w:trHeight w:val="225"/>
        </w:trPr>
        <w:tc>
          <w:tcPr>
            <w:tcW w:w="1405" w:type="pct"/>
            <w:tcBorders>
              <w:top w:val="single" w:sz="4" w:space="0" w:color="auto"/>
              <w:left w:val="nil"/>
              <w:bottom w:val="single" w:sz="4" w:space="0" w:color="auto"/>
              <w:right w:val="nil"/>
            </w:tcBorders>
            <w:shd w:val="clear" w:color="auto" w:fill="auto"/>
            <w:vAlign w:val="bottom"/>
            <w:hideMark/>
          </w:tcPr>
          <w:p w14:paraId="527B2D05"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w:eastAsia="Times New Roman" w:hAnsi="Times" w:cs="Times"/>
                <w:sz w:val="16"/>
                <w:szCs w:val="16"/>
                <w:bdr w:val="none" w:sz="0" w:space="0" w:color="auto"/>
                <w:lang w:eastAsia="es-ES"/>
              </w:rPr>
            </w:pPr>
          </w:p>
        </w:tc>
        <w:tc>
          <w:tcPr>
            <w:tcW w:w="554" w:type="pct"/>
            <w:tcBorders>
              <w:top w:val="single" w:sz="4" w:space="0" w:color="auto"/>
              <w:left w:val="nil"/>
              <w:bottom w:val="single" w:sz="4" w:space="0" w:color="auto"/>
              <w:right w:val="nil"/>
            </w:tcBorders>
            <w:shd w:val="clear" w:color="auto" w:fill="auto"/>
            <w:vAlign w:val="bottom"/>
            <w:hideMark/>
          </w:tcPr>
          <w:p w14:paraId="5A7AF427"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C29B8">
              <w:rPr>
                <w:rFonts w:eastAsia="Times New Roman"/>
                <w:b/>
                <w:bCs/>
                <w:sz w:val="16"/>
                <w:szCs w:val="16"/>
                <w:bdr w:val="none" w:sz="0" w:space="0" w:color="auto"/>
                <w:lang w:eastAsia="es-ES"/>
              </w:rPr>
              <w:t>2021</w:t>
            </w:r>
          </w:p>
        </w:tc>
        <w:tc>
          <w:tcPr>
            <w:tcW w:w="554" w:type="pct"/>
            <w:tcBorders>
              <w:top w:val="single" w:sz="4" w:space="0" w:color="auto"/>
              <w:left w:val="nil"/>
              <w:bottom w:val="single" w:sz="4" w:space="0" w:color="auto"/>
              <w:right w:val="nil"/>
            </w:tcBorders>
            <w:shd w:val="clear" w:color="auto" w:fill="auto"/>
            <w:vAlign w:val="bottom"/>
            <w:hideMark/>
          </w:tcPr>
          <w:p w14:paraId="39F5661E"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C29B8">
              <w:rPr>
                <w:rFonts w:eastAsia="Times New Roman"/>
                <w:b/>
                <w:bCs/>
                <w:sz w:val="16"/>
                <w:szCs w:val="16"/>
                <w:bdr w:val="none" w:sz="0" w:space="0" w:color="auto"/>
                <w:lang w:eastAsia="es-ES"/>
              </w:rPr>
              <w:t>2022</w:t>
            </w:r>
          </w:p>
        </w:tc>
        <w:tc>
          <w:tcPr>
            <w:tcW w:w="555" w:type="pct"/>
            <w:tcBorders>
              <w:top w:val="single" w:sz="4" w:space="0" w:color="auto"/>
              <w:left w:val="nil"/>
              <w:bottom w:val="single" w:sz="4" w:space="0" w:color="auto"/>
              <w:right w:val="nil"/>
            </w:tcBorders>
            <w:shd w:val="clear" w:color="auto" w:fill="auto"/>
            <w:vAlign w:val="bottom"/>
            <w:hideMark/>
          </w:tcPr>
          <w:p w14:paraId="165B6099"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C29B8">
              <w:rPr>
                <w:rFonts w:eastAsia="Times New Roman"/>
                <w:b/>
                <w:bCs/>
                <w:sz w:val="16"/>
                <w:szCs w:val="16"/>
                <w:bdr w:val="none" w:sz="0" w:space="0" w:color="auto"/>
                <w:lang w:eastAsia="es-ES"/>
              </w:rPr>
              <w:t>2023</w:t>
            </w:r>
          </w:p>
        </w:tc>
        <w:tc>
          <w:tcPr>
            <w:tcW w:w="555" w:type="pct"/>
            <w:tcBorders>
              <w:top w:val="single" w:sz="4" w:space="0" w:color="auto"/>
              <w:left w:val="nil"/>
              <w:bottom w:val="single" w:sz="4" w:space="0" w:color="auto"/>
              <w:right w:val="nil"/>
            </w:tcBorders>
            <w:shd w:val="clear" w:color="auto" w:fill="auto"/>
            <w:vAlign w:val="bottom"/>
            <w:hideMark/>
          </w:tcPr>
          <w:p w14:paraId="4A957CF0"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C29B8">
              <w:rPr>
                <w:rFonts w:eastAsia="Times New Roman"/>
                <w:b/>
                <w:bCs/>
                <w:sz w:val="16"/>
                <w:szCs w:val="16"/>
                <w:bdr w:val="none" w:sz="0" w:space="0" w:color="auto"/>
                <w:lang w:eastAsia="es-ES"/>
              </w:rPr>
              <w:t>2024</w:t>
            </w:r>
          </w:p>
        </w:tc>
        <w:tc>
          <w:tcPr>
            <w:tcW w:w="434" w:type="pct"/>
            <w:tcBorders>
              <w:top w:val="single" w:sz="4" w:space="0" w:color="auto"/>
              <w:left w:val="nil"/>
              <w:bottom w:val="single" w:sz="4" w:space="0" w:color="auto"/>
              <w:right w:val="nil"/>
            </w:tcBorders>
            <w:shd w:val="clear" w:color="auto" w:fill="auto"/>
            <w:vAlign w:val="bottom"/>
            <w:hideMark/>
          </w:tcPr>
          <w:p w14:paraId="63E6D53B"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C29B8">
              <w:rPr>
                <w:rFonts w:eastAsia="Times New Roman"/>
                <w:b/>
                <w:bCs/>
                <w:sz w:val="16"/>
                <w:szCs w:val="16"/>
                <w:bdr w:val="none" w:sz="0" w:space="0" w:color="auto"/>
                <w:lang w:eastAsia="es-ES"/>
              </w:rPr>
              <w:t>2025</w:t>
            </w:r>
          </w:p>
        </w:tc>
        <w:tc>
          <w:tcPr>
            <w:tcW w:w="407" w:type="pct"/>
            <w:tcBorders>
              <w:top w:val="single" w:sz="4" w:space="0" w:color="auto"/>
              <w:left w:val="nil"/>
              <w:bottom w:val="single" w:sz="4" w:space="0" w:color="auto"/>
              <w:right w:val="nil"/>
            </w:tcBorders>
            <w:shd w:val="clear" w:color="auto" w:fill="auto"/>
            <w:vAlign w:val="bottom"/>
            <w:hideMark/>
          </w:tcPr>
          <w:p w14:paraId="298F34AB"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C29B8">
              <w:rPr>
                <w:rFonts w:eastAsia="Times New Roman"/>
                <w:b/>
                <w:bCs/>
                <w:sz w:val="16"/>
                <w:szCs w:val="16"/>
                <w:bdr w:val="none" w:sz="0" w:space="0" w:color="auto"/>
                <w:lang w:eastAsia="es-ES"/>
              </w:rPr>
              <w:t>2026</w:t>
            </w:r>
          </w:p>
        </w:tc>
        <w:tc>
          <w:tcPr>
            <w:tcW w:w="535" w:type="pct"/>
            <w:tcBorders>
              <w:top w:val="single" w:sz="4" w:space="0" w:color="auto"/>
              <w:left w:val="nil"/>
              <w:bottom w:val="single" w:sz="4" w:space="0" w:color="auto"/>
              <w:right w:val="nil"/>
            </w:tcBorders>
            <w:shd w:val="clear" w:color="auto" w:fill="auto"/>
            <w:vAlign w:val="bottom"/>
            <w:hideMark/>
          </w:tcPr>
          <w:p w14:paraId="75E43DBD"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C29B8">
              <w:rPr>
                <w:rFonts w:eastAsia="Times New Roman"/>
                <w:b/>
                <w:bCs/>
                <w:sz w:val="16"/>
                <w:szCs w:val="16"/>
                <w:bdr w:val="none" w:sz="0" w:space="0" w:color="auto"/>
                <w:lang w:eastAsia="es-ES"/>
              </w:rPr>
              <w:t>Total</w:t>
            </w:r>
          </w:p>
        </w:tc>
      </w:tr>
      <w:tr w:rsidR="00EC29B8" w:rsidRPr="007E7835" w14:paraId="10B51901" w14:textId="77777777" w:rsidTr="005644E5">
        <w:trPr>
          <w:trHeight w:val="283"/>
        </w:trPr>
        <w:tc>
          <w:tcPr>
            <w:tcW w:w="1405" w:type="pct"/>
            <w:tcBorders>
              <w:top w:val="nil"/>
              <w:left w:val="nil"/>
              <w:bottom w:val="nil"/>
              <w:right w:val="nil"/>
            </w:tcBorders>
            <w:shd w:val="clear" w:color="auto" w:fill="auto"/>
            <w:vAlign w:val="center"/>
            <w:hideMark/>
          </w:tcPr>
          <w:p w14:paraId="2DC5140A"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Activos financieros a coste amortizado (Nota 8.1.a)</w:t>
            </w:r>
          </w:p>
        </w:tc>
        <w:tc>
          <w:tcPr>
            <w:tcW w:w="554" w:type="pct"/>
            <w:tcBorders>
              <w:top w:val="nil"/>
              <w:left w:val="nil"/>
              <w:bottom w:val="nil"/>
              <w:right w:val="nil"/>
            </w:tcBorders>
            <w:shd w:val="clear" w:color="auto" w:fill="auto"/>
            <w:vAlign w:val="center"/>
            <w:hideMark/>
          </w:tcPr>
          <w:p w14:paraId="7C9E8A36"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sz w:val="16"/>
                <w:szCs w:val="16"/>
              </w:rPr>
              <w:t>8.534,09</w:t>
            </w:r>
          </w:p>
        </w:tc>
        <w:tc>
          <w:tcPr>
            <w:tcW w:w="554" w:type="pct"/>
            <w:tcBorders>
              <w:top w:val="nil"/>
              <w:left w:val="nil"/>
              <w:bottom w:val="nil"/>
              <w:right w:val="nil"/>
            </w:tcBorders>
            <w:shd w:val="clear" w:color="auto" w:fill="auto"/>
            <w:noWrap/>
            <w:vAlign w:val="center"/>
            <w:hideMark/>
          </w:tcPr>
          <w:p w14:paraId="69293DDD"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 xml:space="preserve"> -</w:t>
            </w:r>
          </w:p>
        </w:tc>
        <w:tc>
          <w:tcPr>
            <w:tcW w:w="555" w:type="pct"/>
            <w:tcBorders>
              <w:top w:val="nil"/>
              <w:left w:val="nil"/>
              <w:bottom w:val="nil"/>
              <w:right w:val="nil"/>
            </w:tcBorders>
            <w:shd w:val="clear" w:color="auto" w:fill="auto"/>
            <w:noWrap/>
            <w:vAlign w:val="center"/>
            <w:hideMark/>
          </w:tcPr>
          <w:p w14:paraId="6E37380D"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 xml:space="preserve"> -</w:t>
            </w:r>
          </w:p>
        </w:tc>
        <w:tc>
          <w:tcPr>
            <w:tcW w:w="555" w:type="pct"/>
            <w:tcBorders>
              <w:top w:val="nil"/>
              <w:left w:val="nil"/>
              <w:bottom w:val="nil"/>
              <w:right w:val="nil"/>
            </w:tcBorders>
            <w:shd w:val="clear" w:color="auto" w:fill="auto"/>
            <w:vAlign w:val="center"/>
            <w:hideMark/>
          </w:tcPr>
          <w:p w14:paraId="576E32B9"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 xml:space="preserve">9.107,70   </w:t>
            </w:r>
          </w:p>
        </w:tc>
        <w:tc>
          <w:tcPr>
            <w:tcW w:w="434" w:type="pct"/>
            <w:tcBorders>
              <w:top w:val="nil"/>
              <w:left w:val="nil"/>
              <w:bottom w:val="nil"/>
              <w:right w:val="nil"/>
            </w:tcBorders>
            <w:shd w:val="clear" w:color="auto" w:fill="auto"/>
            <w:noWrap/>
            <w:vAlign w:val="center"/>
            <w:hideMark/>
          </w:tcPr>
          <w:p w14:paraId="399CC18B"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 xml:space="preserve"> -</w:t>
            </w:r>
          </w:p>
        </w:tc>
        <w:tc>
          <w:tcPr>
            <w:tcW w:w="407" w:type="pct"/>
            <w:tcBorders>
              <w:top w:val="nil"/>
              <w:left w:val="nil"/>
              <w:bottom w:val="nil"/>
              <w:right w:val="nil"/>
            </w:tcBorders>
            <w:shd w:val="clear" w:color="auto" w:fill="auto"/>
            <w:vAlign w:val="center"/>
            <w:hideMark/>
          </w:tcPr>
          <w:p w14:paraId="4DB9BF45" w14:textId="77777777" w:rsidR="00EC29B8" w:rsidRPr="00EC29B8"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 xml:space="preserve">-     </w:t>
            </w:r>
          </w:p>
        </w:tc>
        <w:tc>
          <w:tcPr>
            <w:tcW w:w="535" w:type="pct"/>
            <w:tcBorders>
              <w:top w:val="nil"/>
              <w:left w:val="nil"/>
              <w:bottom w:val="nil"/>
              <w:right w:val="nil"/>
            </w:tcBorders>
            <w:shd w:val="clear" w:color="auto" w:fill="auto"/>
            <w:vAlign w:val="center"/>
            <w:hideMark/>
          </w:tcPr>
          <w:p w14:paraId="69EBA8BC"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EC29B8">
              <w:rPr>
                <w:b/>
                <w:bCs/>
                <w:sz w:val="16"/>
                <w:szCs w:val="16"/>
              </w:rPr>
              <w:t>17.641,79</w:t>
            </w:r>
            <w:r w:rsidRPr="007E7835">
              <w:rPr>
                <w:b/>
                <w:bCs/>
                <w:sz w:val="16"/>
                <w:szCs w:val="16"/>
              </w:rPr>
              <w:t xml:space="preserve">   </w:t>
            </w:r>
          </w:p>
        </w:tc>
      </w:tr>
      <w:tr w:rsidR="00EC29B8" w:rsidRPr="007E7835" w14:paraId="2A7724E8" w14:textId="77777777" w:rsidTr="005644E5">
        <w:trPr>
          <w:trHeight w:val="283"/>
        </w:trPr>
        <w:tc>
          <w:tcPr>
            <w:tcW w:w="1405" w:type="pct"/>
            <w:tcBorders>
              <w:top w:val="single" w:sz="4" w:space="0" w:color="auto"/>
              <w:left w:val="nil"/>
              <w:bottom w:val="single" w:sz="4" w:space="0" w:color="auto"/>
              <w:right w:val="nil"/>
            </w:tcBorders>
            <w:shd w:val="clear" w:color="auto" w:fill="auto"/>
            <w:vAlign w:val="center"/>
            <w:hideMark/>
          </w:tcPr>
          <w:p w14:paraId="0E8CF3A3" w14:textId="2EC880E2" w:rsidR="00EC29B8" w:rsidRPr="005644E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New Roman" w:hAnsi="Times" w:cs="Times"/>
                <w:b/>
                <w:bCs/>
                <w:sz w:val="16"/>
                <w:szCs w:val="16"/>
                <w:bdr w:val="none" w:sz="0" w:space="0" w:color="auto"/>
                <w:lang w:eastAsia="es-ES"/>
              </w:rPr>
            </w:pPr>
            <w:r w:rsidRPr="005644E5">
              <w:rPr>
                <w:rFonts w:eastAsia="Times New Roman"/>
                <w:b/>
                <w:bCs/>
                <w:sz w:val="16"/>
                <w:szCs w:val="16"/>
                <w:bdr w:val="none" w:sz="0" w:space="0" w:color="auto"/>
                <w:lang w:eastAsia="es-ES"/>
              </w:rPr>
              <w:t> </w:t>
            </w:r>
            <w:r w:rsidR="005644E5" w:rsidRPr="005644E5">
              <w:rPr>
                <w:rFonts w:eastAsia="Times New Roman"/>
                <w:b/>
                <w:bCs/>
                <w:sz w:val="16"/>
                <w:szCs w:val="16"/>
                <w:bdr w:val="none" w:sz="0" w:space="0" w:color="auto"/>
                <w:lang w:eastAsia="es-ES"/>
              </w:rPr>
              <w:t>Total</w:t>
            </w:r>
          </w:p>
        </w:tc>
        <w:tc>
          <w:tcPr>
            <w:tcW w:w="554" w:type="pct"/>
            <w:tcBorders>
              <w:top w:val="single" w:sz="4" w:space="0" w:color="auto"/>
              <w:left w:val="nil"/>
              <w:bottom w:val="single" w:sz="4" w:space="0" w:color="auto"/>
              <w:right w:val="nil"/>
            </w:tcBorders>
            <w:shd w:val="clear" w:color="auto" w:fill="auto"/>
            <w:vAlign w:val="center"/>
            <w:hideMark/>
          </w:tcPr>
          <w:p w14:paraId="506B7780"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b/>
                <w:bCs/>
                <w:sz w:val="16"/>
                <w:szCs w:val="16"/>
              </w:rPr>
              <w:t>8.534,09</w:t>
            </w:r>
          </w:p>
        </w:tc>
        <w:tc>
          <w:tcPr>
            <w:tcW w:w="554" w:type="pct"/>
            <w:tcBorders>
              <w:top w:val="single" w:sz="4" w:space="0" w:color="auto"/>
              <w:left w:val="nil"/>
              <w:bottom w:val="single" w:sz="4" w:space="0" w:color="auto"/>
              <w:right w:val="nil"/>
            </w:tcBorders>
            <w:shd w:val="clear" w:color="auto" w:fill="auto"/>
            <w:noWrap/>
            <w:vAlign w:val="center"/>
            <w:hideMark/>
          </w:tcPr>
          <w:p w14:paraId="45D447AF"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555" w:type="pct"/>
            <w:tcBorders>
              <w:top w:val="single" w:sz="4" w:space="0" w:color="auto"/>
              <w:left w:val="nil"/>
              <w:bottom w:val="single" w:sz="4" w:space="0" w:color="auto"/>
              <w:right w:val="nil"/>
            </w:tcBorders>
            <w:shd w:val="clear" w:color="auto" w:fill="auto"/>
            <w:noWrap/>
            <w:vAlign w:val="center"/>
            <w:hideMark/>
          </w:tcPr>
          <w:p w14:paraId="7BCEEAC6"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555" w:type="pct"/>
            <w:tcBorders>
              <w:top w:val="single" w:sz="4" w:space="0" w:color="auto"/>
              <w:left w:val="nil"/>
              <w:bottom w:val="single" w:sz="4" w:space="0" w:color="auto"/>
              <w:right w:val="nil"/>
            </w:tcBorders>
            <w:shd w:val="clear" w:color="auto" w:fill="auto"/>
            <w:vAlign w:val="center"/>
            <w:hideMark/>
          </w:tcPr>
          <w:p w14:paraId="4C11A4D7"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9.107,70</w:t>
            </w:r>
          </w:p>
        </w:tc>
        <w:tc>
          <w:tcPr>
            <w:tcW w:w="434" w:type="pct"/>
            <w:tcBorders>
              <w:top w:val="single" w:sz="4" w:space="0" w:color="auto"/>
              <w:left w:val="nil"/>
              <w:bottom w:val="single" w:sz="4" w:space="0" w:color="auto"/>
              <w:right w:val="nil"/>
            </w:tcBorders>
            <w:shd w:val="clear" w:color="auto" w:fill="auto"/>
            <w:noWrap/>
            <w:vAlign w:val="center"/>
            <w:hideMark/>
          </w:tcPr>
          <w:p w14:paraId="5BEDB022"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407" w:type="pct"/>
            <w:tcBorders>
              <w:top w:val="single" w:sz="4" w:space="0" w:color="auto"/>
              <w:left w:val="nil"/>
              <w:bottom w:val="single" w:sz="4" w:space="0" w:color="auto"/>
              <w:right w:val="nil"/>
            </w:tcBorders>
            <w:shd w:val="clear" w:color="auto" w:fill="auto"/>
            <w:vAlign w:val="center"/>
            <w:hideMark/>
          </w:tcPr>
          <w:p w14:paraId="488AF4FF"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     </w:t>
            </w:r>
          </w:p>
        </w:tc>
        <w:tc>
          <w:tcPr>
            <w:tcW w:w="535" w:type="pct"/>
            <w:tcBorders>
              <w:top w:val="single" w:sz="4" w:space="0" w:color="auto"/>
              <w:left w:val="nil"/>
              <w:bottom w:val="single" w:sz="4" w:space="0" w:color="auto"/>
              <w:right w:val="nil"/>
            </w:tcBorders>
            <w:shd w:val="clear" w:color="auto" w:fill="auto"/>
            <w:vAlign w:val="center"/>
            <w:hideMark/>
          </w:tcPr>
          <w:p w14:paraId="15E5C304" w14:textId="77777777" w:rsidR="00EC29B8" w:rsidRPr="007E7835" w:rsidRDefault="00EC29B8"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E7835">
              <w:rPr>
                <w:b/>
                <w:bCs/>
                <w:sz w:val="16"/>
                <w:szCs w:val="16"/>
              </w:rPr>
              <w:t>17.641,79</w:t>
            </w:r>
          </w:p>
        </w:tc>
      </w:tr>
    </w:tbl>
    <w:p w14:paraId="45655385" w14:textId="77777777" w:rsidR="007B55EF" w:rsidRPr="0083433F" w:rsidRDefault="007B55EF" w:rsidP="007B55EF">
      <w:pPr>
        <w:keepNext/>
        <w:keepLines/>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napToGrid w:val="0"/>
          <w:sz w:val="20"/>
          <w:szCs w:val="22"/>
          <w:u w:val="single"/>
        </w:rPr>
      </w:pPr>
      <w:r w:rsidRPr="0083433F">
        <w:rPr>
          <w:i/>
          <w:sz w:val="20"/>
          <w:szCs w:val="22"/>
          <w:u w:val="single"/>
        </w:rPr>
        <w:t>Periodificaciones a corto plazo</w:t>
      </w:r>
    </w:p>
    <w:p w14:paraId="5B41F2FA" w14:textId="77777777" w:rsidR="007B55EF" w:rsidRDefault="007B55EF" w:rsidP="005644E5">
      <w:pPr>
        <w:widowControl w:val="0"/>
        <w:spacing w:before="120" w:after="120" w:line="260" w:lineRule="exact"/>
        <w:ind w:left="284"/>
        <w:jc w:val="both"/>
        <w:outlineLvl w:val="9"/>
        <w:rPr>
          <w:snapToGrid w:val="0"/>
          <w:sz w:val="20"/>
          <w:szCs w:val="22"/>
        </w:rPr>
      </w:pPr>
      <w:r w:rsidRPr="00714155">
        <w:rPr>
          <w:snapToGrid w:val="0"/>
          <w:sz w:val="20"/>
          <w:szCs w:val="22"/>
        </w:rPr>
        <w:t>Los ajustes por periodificación de activos contienen principalmente los gastos anticipados de las reservas de espacio y stand de la feria FITUR.</w:t>
      </w:r>
    </w:p>
    <w:p w14:paraId="0C133C9C" w14:textId="2ED62D97" w:rsidR="007B55EF" w:rsidRPr="007E7835" w:rsidRDefault="007B55EF" w:rsidP="005644E5">
      <w:pPr>
        <w:widowControl w:val="0"/>
        <w:spacing w:before="120" w:after="120" w:line="260" w:lineRule="exact"/>
        <w:ind w:left="284"/>
        <w:jc w:val="both"/>
        <w:outlineLvl w:val="9"/>
        <w:rPr>
          <w:snapToGrid w:val="0"/>
          <w:sz w:val="20"/>
          <w:szCs w:val="22"/>
        </w:rPr>
      </w:pPr>
      <w:r>
        <w:rPr>
          <w:snapToGrid w:val="0"/>
          <w:sz w:val="20"/>
          <w:szCs w:val="22"/>
        </w:rPr>
        <w:t>E</w:t>
      </w:r>
      <w:r w:rsidRPr="007E7835">
        <w:rPr>
          <w:snapToGrid w:val="0"/>
          <w:sz w:val="20"/>
          <w:szCs w:val="22"/>
        </w:rPr>
        <w:t xml:space="preserve">n el ejercicio 2020 </w:t>
      </w:r>
      <w:r>
        <w:rPr>
          <w:snapToGrid w:val="0"/>
          <w:sz w:val="20"/>
          <w:szCs w:val="22"/>
        </w:rPr>
        <w:t>l</w:t>
      </w:r>
      <w:r w:rsidRPr="00714155">
        <w:rPr>
          <w:snapToGrid w:val="0"/>
          <w:sz w:val="20"/>
          <w:szCs w:val="22"/>
        </w:rPr>
        <w:t>os ajustes por periodificación de activo</w:t>
      </w:r>
      <w:r>
        <w:rPr>
          <w:snapToGrid w:val="0"/>
          <w:sz w:val="20"/>
          <w:szCs w:val="22"/>
        </w:rPr>
        <w:t xml:space="preserve">s contenían principalmente los gastos anticipados del contrato formalizado </w:t>
      </w:r>
      <w:r w:rsidRPr="007E7835">
        <w:rPr>
          <w:snapToGrid w:val="0"/>
          <w:sz w:val="20"/>
          <w:szCs w:val="22"/>
        </w:rPr>
        <w:t xml:space="preserve">con AXA Seguros, por el servicio de póliza de seguro para los turistas extranjeros y nacionales que visiten Canarias, así como los residentes canarios que visiten otros territorios del Archipiélago, y que cubre sanitariamente el transporte o repatriación de heridos </w:t>
      </w:r>
      <w:r>
        <w:rPr>
          <w:snapToGrid w:val="0"/>
          <w:sz w:val="20"/>
          <w:szCs w:val="22"/>
        </w:rPr>
        <w:t>e</w:t>
      </w:r>
      <w:r w:rsidRPr="007E7835">
        <w:rPr>
          <w:snapToGrid w:val="0"/>
          <w:sz w:val="20"/>
          <w:szCs w:val="22"/>
        </w:rPr>
        <w:t xml:space="preserve"> informes por Covid-19, los gastos médicos y de hospitalización.</w:t>
      </w:r>
    </w:p>
    <w:p w14:paraId="1C5862F8" w14:textId="49B06E40" w:rsidR="006220A2" w:rsidRPr="00573442" w:rsidRDefault="005644E5" w:rsidP="005644E5">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00" w:after="120" w:line="260" w:lineRule="exact"/>
        <w:ind w:left="284" w:hanging="284"/>
        <w:outlineLvl w:val="9"/>
        <w:rPr>
          <w:b/>
          <w:sz w:val="20"/>
          <w:szCs w:val="22"/>
        </w:rPr>
      </w:pPr>
      <w:r>
        <w:rPr>
          <w:b/>
          <w:sz w:val="20"/>
          <w:szCs w:val="22"/>
        </w:rPr>
        <w:t xml:space="preserve"> </w:t>
      </w:r>
      <w:r w:rsidR="006220A2" w:rsidRPr="00573442">
        <w:rPr>
          <w:b/>
          <w:sz w:val="20"/>
          <w:szCs w:val="22"/>
        </w:rPr>
        <w:t>Efectivo y otros activos líquidos equivalentes</w:t>
      </w:r>
    </w:p>
    <w:p w14:paraId="05D98237" w14:textId="77777777" w:rsidR="007F3953"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El detalle del efectivo y otros activos líquidos equivalentes es el siguiente:</w:t>
      </w:r>
    </w:p>
    <w:tbl>
      <w:tblPr>
        <w:tblW w:w="5000" w:type="pct"/>
        <w:jc w:val="center"/>
        <w:tblCellMar>
          <w:left w:w="70" w:type="dxa"/>
          <w:right w:w="70" w:type="dxa"/>
        </w:tblCellMar>
        <w:tblLook w:val="04A0" w:firstRow="1" w:lastRow="0" w:firstColumn="1" w:lastColumn="0" w:noHBand="0" w:noVBand="1"/>
      </w:tblPr>
      <w:tblGrid>
        <w:gridCol w:w="4511"/>
        <w:gridCol w:w="2134"/>
        <w:gridCol w:w="2136"/>
      </w:tblGrid>
      <w:tr w:rsidR="006220A2" w:rsidRPr="005644E5" w14:paraId="12811E3F" w14:textId="77777777" w:rsidTr="007E7835">
        <w:trPr>
          <w:trHeight w:val="227"/>
          <w:jc w:val="center"/>
        </w:trPr>
        <w:tc>
          <w:tcPr>
            <w:tcW w:w="2569" w:type="pct"/>
            <w:tcBorders>
              <w:top w:val="single" w:sz="4" w:space="0" w:color="auto"/>
              <w:left w:val="nil"/>
              <w:bottom w:val="nil"/>
              <w:right w:val="nil"/>
            </w:tcBorders>
            <w:shd w:val="clear" w:color="auto" w:fill="auto"/>
            <w:vAlign w:val="center"/>
            <w:hideMark/>
          </w:tcPr>
          <w:p w14:paraId="04651B5A" w14:textId="77777777" w:rsidR="006220A2" w:rsidRPr="005644E5" w:rsidRDefault="006220A2" w:rsidP="005644E5">
            <w:pPr>
              <w:ind w:left="217"/>
              <w:rPr>
                <w:rFonts w:eastAsia="Times New Roman"/>
                <w:sz w:val="18"/>
                <w:szCs w:val="18"/>
              </w:rPr>
            </w:pPr>
            <w:r w:rsidRPr="005644E5">
              <w:rPr>
                <w:rFonts w:eastAsia="Times New Roman"/>
                <w:sz w:val="18"/>
                <w:szCs w:val="18"/>
              </w:rPr>
              <w:t> </w:t>
            </w:r>
          </w:p>
        </w:tc>
        <w:tc>
          <w:tcPr>
            <w:tcW w:w="2431" w:type="pct"/>
            <w:gridSpan w:val="2"/>
            <w:tcBorders>
              <w:top w:val="single" w:sz="4" w:space="0" w:color="auto"/>
              <w:left w:val="nil"/>
              <w:bottom w:val="single" w:sz="4" w:space="0" w:color="auto"/>
              <w:right w:val="nil"/>
            </w:tcBorders>
            <w:shd w:val="clear" w:color="auto" w:fill="auto"/>
            <w:vAlign w:val="bottom"/>
            <w:hideMark/>
          </w:tcPr>
          <w:p w14:paraId="35D6F4FB" w14:textId="77777777" w:rsidR="006220A2" w:rsidRPr="005644E5" w:rsidRDefault="003B2290" w:rsidP="005644E5">
            <w:pPr>
              <w:ind w:right="194"/>
              <w:jc w:val="center"/>
              <w:rPr>
                <w:rFonts w:eastAsia="Times New Roman"/>
                <w:b/>
                <w:bCs/>
                <w:sz w:val="18"/>
                <w:szCs w:val="18"/>
              </w:rPr>
            </w:pPr>
            <w:r w:rsidRPr="005644E5">
              <w:rPr>
                <w:rFonts w:eastAsia="Times New Roman"/>
                <w:b/>
                <w:bCs/>
                <w:sz w:val="18"/>
                <w:szCs w:val="18"/>
              </w:rPr>
              <w:t>Eur</w:t>
            </w:r>
            <w:r w:rsidR="006220A2" w:rsidRPr="005644E5">
              <w:rPr>
                <w:rFonts w:eastAsia="Times New Roman"/>
                <w:b/>
                <w:bCs/>
                <w:sz w:val="18"/>
                <w:szCs w:val="18"/>
              </w:rPr>
              <w:t>os</w:t>
            </w:r>
          </w:p>
        </w:tc>
      </w:tr>
      <w:tr w:rsidR="00AC38AC" w:rsidRPr="005644E5" w14:paraId="3E5EF58A" w14:textId="77777777" w:rsidTr="00AC38AC">
        <w:trPr>
          <w:trHeight w:val="227"/>
          <w:jc w:val="center"/>
        </w:trPr>
        <w:tc>
          <w:tcPr>
            <w:tcW w:w="2569" w:type="pct"/>
            <w:tcBorders>
              <w:top w:val="nil"/>
              <w:left w:val="nil"/>
              <w:bottom w:val="single" w:sz="4" w:space="0" w:color="auto"/>
              <w:right w:val="nil"/>
            </w:tcBorders>
            <w:shd w:val="clear" w:color="auto" w:fill="auto"/>
            <w:vAlign w:val="center"/>
            <w:hideMark/>
          </w:tcPr>
          <w:p w14:paraId="7E722149" w14:textId="77777777" w:rsidR="00AC38AC" w:rsidRPr="005644E5" w:rsidRDefault="00AC38AC" w:rsidP="005644E5">
            <w:pPr>
              <w:ind w:left="217"/>
              <w:rPr>
                <w:rFonts w:eastAsia="Times New Roman"/>
                <w:sz w:val="18"/>
                <w:szCs w:val="18"/>
              </w:rPr>
            </w:pPr>
            <w:r w:rsidRPr="005644E5">
              <w:rPr>
                <w:rFonts w:eastAsia="Times New Roman"/>
                <w:sz w:val="18"/>
                <w:szCs w:val="18"/>
              </w:rPr>
              <w:t> </w:t>
            </w:r>
          </w:p>
        </w:tc>
        <w:tc>
          <w:tcPr>
            <w:tcW w:w="1215" w:type="pct"/>
            <w:tcBorders>
              <w:top w:val="nil"/>
              <w:left w:val="nil"/>
              <w:bottom w:val="single" w:sz="4" w:space="0" w:color="auto"/>
              <w:right w:val="nil"/>
            </w:tcBorders>
            <w:shd w:val="clear" w:color="auto" w:fill="auto"/>
            <w:vAlign w:val="bottom"/>
            <w:hideMark/>
          </w:tcPr>
          <w:p w14:paraId="7B73FBE1" w14:textId="1EF23DF1" w:rsidR="00AC38AC" w:rsidRPr="005644E5" w:rsidRDefault="00AC38AC" w:rsidP="005644E5">
            <w:pPr>
              <w:ind w:right="194"/>
              <w:jc w:val="center"/>
              <w:rPr>
                <w:rFonts w:eastAsia="Times New Roman"/>
                <w:b/>
                <w:bCs/>
                <w:sz w:val="18"/>
                <w:szCs w:val="18"/>
              </w:rPr>
            </w:pPr>
            <w:r w:rsidRPr="005644E5">
              <w:rPr>
                <w:rFonts w:eastAsia="Times New Roman"/>
                <w:b/>
                <w:bCs/>
                <w:sz w:val="18"/>
                <w:szCs w:val="18"/>
              </w:rPr>
              <w:t>31/12/2021</w:t>
            </w:r>
          </w:p>
        </w:tc>
        <w:tc>
          <w:tcPr>
            <w:tcW w:w="1216" w:type="pct"/>
            <w:tcBorders>
              <w:top w:val="nil"/>
              <w:left w:val="nil"/>
              <w:bottom w:val="single" w:sz="4" w:space="0" w:color="auto"/>
              <w:right w:val="nil"/>
            </w:tcBorders>
            <w:shd w:val="clear" w:color="auto" w:fill="auto"/>
            <w:vAlign w:val="bottom"/>
            <w:hideMark/>
          </w:tcPr>
          <w:p w14:paraId="2B92EB70" w14:textId="6363E995" w:rsidR="00AC38AC" w:rsidRPr="005644E5" w:rsidRDefault="00AC38AC" w:rsidP="005644E5">
            <w:pPr>
              <w:ind w:right="194"/>
              <w:jc w:val="center"/>
              <w:rPr>
                <w:rFonts w:eastAsia="Times New Roman"/>
                <w:b/>
                <w:bCs/>
                <w:sz w:val="18"/>
                <w:szCs w:val="18"/>
              </w:rPr>
            </w:pPr>
            <w:r w:rsidRPr="005644E5">
              <w:rPr>
                <w:rFonts w:eastAsia="Times New Roman"/>
                <w:b/>
                <w:bCs/>
                <w:sz w:val="18"/>
                <w:szCs w:val="18"/>
              </w:rPr>
              <w:t>31/12/2020</w:t>
            </w:r>
          </w:p>
        </w:tc>
      </w:tr>
      <w:tr w:rsidR="00AC38AC" w:rsidRPr="005644E5" w14:paraId="3D5B43E0" w14:textId="77777777" w:rsidTr="00AC38AC">
        <w:trPr>
          <w:trHeight w:val="255"/>
          <w:jc w:val="center"/>
        </w:trPr>
        <w:tc>
          <w:tcPr>
            <w:tcW w:w="2569" w:type="pct"/>
            <w:tcBorders>
              <w:top w:val="nil"/>
              <w:left w:val="nil"/>
              <w:bottom w:val="nil"/>
              <w:right w:val="nil"/>
            </w:tcBorders>
            <w:shd w:val="clear" w:color="auto" w:fill="auto"/>
            <w:vAlign w:val="center"/>
            <w:hideMark/>
          </w:tcPr>
          <w:p w14:paraId="5BFE7E68" w14:textId="77777777" w:rsidR="00AC38AC" w:rsidRPr="005644E5" w:rsidRDefault="00AC38AC" w:rsidP="005644E5">
            <w:pPr>
              <w:ind w:left="217"/>
              <w:rPr>
                <w:rFonts w:eastAsia="Times New Roman"/>
                <w:sz w:val="18"/>
                <w:szCs w:val="18"/>
              </w:rPr>
            </w:pPr>
            <w:r w:rsidRPr="005644E5">
              <w:rPr>
                <w:rFonts w:eastAsia="Times New Roman"/>
                <w:sz w:val="18"/>
                <w:szCs w:val="18"/>
              </w:rPr>
              <w:t>Tesorería</w:t>
            </w:r>
          </w:p>
        </w:tc>
        <w:tc>
          <w:tcPr>
            <w:tcW w:w="1215" w:type="pct"/>
            <w:tcBorders>
              <w:top w:val="nil"/>
              <w:left w:val="nil"/>
              <w:bottom w:val="nil"/>
              <w:right w:val="nil"/>
            </w:tcBorders>
            <w:shd w:val="clear" w:color="auto" w:fill="auto"/>
            <w:vAlign w:val="center"/>
          </w:tcPr>
          <w:p w14:paraId="4D443C5D" w14:textId="0AA5D6D6" w:rsidR="00AC38AC" w:rsidRPr="005644E5" w:rsidRDefault="00AC38AC" w:rsidP="005644E5">
            <w:pPr>
              <w:pBdr>
                <w:top w:val="none" w:sz="0" w:space="0" w:color="auto"/>
                <w:left w:val="none" w:sz="0" w:space="0" w:color="auto"/>
                <w:bottom w:val="none" w:sz="0" w:space="0" w:color="auto"/>
                <w:right w:val="none" w:sz="0" w:space="0" w:color="auto"/>
                <w:between w:val="none" w:sz="0" w:space="0" w:color="auto"/>
                <w:bar w:val="none" w:sz="0" w:color="auto"/>
              </w:pBdr>
              <w:ind w:right="194"/>
              <w:jc w:val="right"/>
              <w:outlineLvl w:val="9"/>
              <w:rPr>
                <w:rFonts w:eastAsia="Times New Roman"/>
                <w:sz w:val="18"/>
                <w:szCs w:val="18"/>
                <w:bdr w:val="none" w:sz="0" w:space="0" w:color="auto"/>
                <w:lang w:eastAsia="es-ES"/>
              </w:rPr>
            </w:pPr>
            <w:r w:rsidRPr="005644E5">
              <w:rPr>
                <w:sz w:val="18"/>
                <w:szCs w:val="18"/>
              </w:rPr>
              <w:t>14.492.095,98</w:t>
            </w:r>
          </w:p>
        </w:tc>
        <w:tc>
          <w:tcPr>
            <w:tcW w:w="1216" w:type="pct"/>
            <w:tcBorders>
              <w:top w:val="nil"/>
              <w:left w:val="nil"/>
              <w:bottom w:val="nil"/>
              <w:right w:val="nil"/>
            </w:tcBorders>
            <w:shd w:val="clear" w:color="auto" w:fill="auto"/>
            <w:vAlign w:val="center"/>
            <w:hideMark/>
          </w:tcPr>
          <w:p w14:paraId="4DCC9ACB" w14:textId="56AD7CC5" w:rsidR="00AC38AC" w:rsidRPr="005644E5" w:rsidRDefault="00AC38AC" w:rsidP="005644E5">
            <w:pPr>
              <w:pBdr>
                <w:top w:val="none" w:sz="0" w:space="0" w:color="auto"/>
                <w:left w:val="none" w:sz="0" w:space="0" w:color="auto"/>
                <w:bottom w:val="none" w:sz="0" w:space="0" w:color="auto"/>
                <w:right w:val="none" w:sz="0" w:space="0" w:color="auto"/>
                <w:between w:val="none" w:sz="0" w:space="0" w:color="auto"/>
                <w:bar w:val="none" w:sz="0" w:color="auto"/>
              </w:pBdr>
              <w:ind w:right="194"/>
              <w:jc w:val="right"/>
              <w:outlineLvl w:val="9"/>
              <w:rPr>
                <w:rFonts w:eastAsia="Times New Roman"/>
                <w:sz w:val="18"/>
                <w:szCs w:val="18"/>
                <w:bdr w:val="none" w:sz="0" w:space="0" w:color="auto"/>
                <w:lang w:eastAsia="es-ES"/>
              </w:rPr>
            </w:pPr>
            <w:r w:rsidRPr="005644E5">
              <w:rPr>
                <w:sz w:val="18"/>
                <w:szCs w:val="18"/>
              </w:rPr>
              <w:t>13.346.294,15</w:t>
            </w:r>
          </w:p>
        </w:tc>
      </w:tr>
      <w:tr w:rsidR="00AC38AC" w:rsidRPr="005644E5" w14:paraId="77F6E28B" w14:textId="77777777" w:rsidTr="00AC38AC">
        <w:trPr>
          <w:trHeight w:val="255"/>
          <w:jc w:val="center"/>
        </w:trPr>
        <w:tc>
          <w:tcPr>
            <w:tcW w:w="2569" w:type="pct"/>
            <w:tcBorders>
              <w:top w:val="single" w:sz="4" w:space="0" w:color="auto"/>
              <w:left w:val="nil"/>
              <w:bottom w:val="single" w:sz="4" w:space="0" w:color="auto"/>
              <w:right w:val="nil"/>
            </w:tcBorders>
            <w:shd w:val="clear" w:color="auto" w:fill="auto"/>
            <w:vAlign w:val="center"/>
            <w:hideMark/>
          </w:tcPr>
          <w:p w14:paraId="7147B1F4" w14:textId="77777777" w:rsidR="00AC38AC" w:rsidRPr="005644E5" w:rsidRDefault="00AC38AC" w:rsidP="005644E5">
            <w:pPr>
              <w:ind w:left="217"/>
              <w:rPr>
                <w:rFonts w:eastAsia="Times New Roman"/>
                <w:b/>
                <w:bCs/>
                <w:sz w:val="18"/>
                <w:szCs w:val="18"/>
              </w:rPr>
            </w:pPr>
            <w:r w:rsidRPr="005644E5">
              <w:rPr>
                <w:rFonts w:eastAsia="Times New Roman"/>
                <w:b/>
                <w:bCs/>
                <w:sz w:val="18"/>
                <w:szCs w:val="18"/>
              </w:rPr>
              <w:t>Total</w:t>
            </w:r>
          </w:p>
        </w:tc>
        <w:tc>
          <w:tcPr>
            <w:tcW w:w="1215" w:type="pct"/>
            <w:tcBorders>
              <w:top w:val="single" w:sz="4" w:space="0" w:color="auto"/>
              <w:left w:val="nil"/>
              <w:bottom w:val="single" w:sz="4" w:space="0" w:color="auto"/>
              <w:right w:val="nil"/>
            </w:tcBorders>
            <w:shd w:val="clear" w:color="auto" w:fill="auto"/>
            <w:vAlign w:val="center"/>
          </w:tcPr>
          <w:p w14:paraId="6682C5B7" w14:textId="1970A868" w:rsidR="00AC38AC" w:rsidRPr="005644E5" w:rsidRDefault="00AC38AC" w:rsidP="005644E5">
            <w:pPr>
              <w:pBdr>
                <w:top w:val="none" w:sz="0" w:space="0" w:color="auto"/>
                <w:left w:val="none" w:sz="0" w:space="0" w:color="auto"/>
                <w:bottom w:val="none" w:sz="0" w:space="0" w:color="auto"/>
                <w:right w:val="none" w:sz="0" w:space="0" w:color="auto"/>
                <w:between w:val="none" w:sz="0" w:space="0" w:color="auto"/>
                <w:bar w:val="none" w:sz="0" w:color="auto"/>
              </w:pBdr>
              <w:ind w:right="194"/>
              <w:jc w:val="right"/>
              <w:outlineLvl w:val="9"/>
              <w:rPr>
                <w:rFonts w:eastAsia="Times New Roman"/>
                <w:b/>
                <w:bCs/>
                <w:sz w:val="18"/>
                <w:szCs w:val="18"/>
                <w:bdr w:val="none" w:sz="0" w:space="0" w:color="auto"/>
                <w:lang w:eastAsia="es-ES"/>
              </w:rPr>
            </w:pPr>
            <w:r w:rsidRPr="005644E5">
              <w:rPr>
                <w:b/>
                <w:bCs/>
                <w:sz w:val="18"/>
                <w:szCs w:val="18"/>
              </w:rPr>
              <w:t>14.492.095,98</w:t>
            </w:r>
          </w:p>
        </w:tc>
        <w:tc>
          <w:tcPr>
            <w:tcW w:w="1216" w:type="pct"/>
            <w:tcBorders>
              <w:top w:val="single" w:sz="4" w:space="0" w:color="auto"/>
              <w:left w:val="nil"/>
              <w:bottom w:val="single" w:sz="4" w:space="0" w:color="auto"/>
              <w:right w:val="nil"/>
            </w:tcBorders>
            <w:shd w:val="clear" w:color="auto" w:fill="auto"/>
            <w:vAlign w:val="center"/>
            <w:hideMark/>
          </w:tcPr>
          <w:p w14:paraId="41E7E2DC" w14:textId="69FE6AB8" w:rsidR="00AC38AC" w:rsidRPr="005644E5" w:rsidRDefault="00AC38AC" w:rsidP="005644E5">
            <w:pPr>
              <w:ind w:right="194"/>
              <w:jc w:val="right"/>
              <w:rPr>
                <w:b/>
                <w:bCs/>
                <w:sz w:val="18"/>
                <w:szCs w:val="18"/>
              </w:rPr>
            </w:pPr>
            <w:r w:rsidRPr="005644E5">
              <w:rPr>
                <w:b/>
                <w:bCs/>
                <w:sz w:val="18"/>
                <w:szCs w:val="18"/>
              </w:rPr>
              <w:t>13.346.294,15</w:t>
            </w:r>
          </w:p>
        </w:tc>
      </w:tr>
    </w:tbl>
    <w:p w14:paraId="44807E67" w14:textId="543CF749" w:rsidR="006220A2" w:rsidRPr="0083433F" w:rsidRDefault="005644E5" w:rsidP="005644E5">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00" w:after="120" w:line="260" w:lineRule="exact"/>
        <w:ind w:left="284" w:hanging="284"/>
        <w:outlineLvl w:val="9"/>
        <w:rPr>
          <w:b/>
          <w:sz w:val="20"/>
          <w:szCs w:val="22"/>
        </w:rPr>
      </w:pPr>
      <w:r>
        <w:rPr>
          <w:b/>
          <w:sz w:val="20"/>
          <w:szCs w:val="22"/>
        </w:rPr>
        <w:t xml:space="preserve"> </w:t>
      </w:r>
      <w:r w:rsidR="006220A2" w:rsidRPr="0083433F">
        <w:rPr>
          <w:b/>
          <w:sz w:val="20"/>
          <w:szCs w:val="22"/>
        </w:rPr>
        <w:t>Pasivos financieros</w:t>
      </w:r>
    </w:p>
    <w:p w14:paraId="107E0811" w14:textId="77777777" w:rsidR="003E27B2"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 xml:space="preserve">El detalle de los pasivos financieros a </w:t>
      </w:r>
      <w:r w:rsidR="00077070" w:rsidRPr="005644E5">
        <w:rPr>
          <w:snapToGrid w:val="0"/>
          <w:sz w:val="20"/>
          <w:szCs w:val="22"/>
        </w:rPr>
        <w:t>largo</w:t>
      </w:r>
      <w:r w:rsidRPr="005644E5">
        <w:rPr>
          <w:snapToGrid w:val="0"/>
          <w:sz w:val="20"/>
          <w:szCs w:val="22"/>
        </w:rPr>
        <w:t xml:space="preserve"> </w:t>
      </w:r>
      <w:r w:rsidR="00716A99" w:rsidRPr="005644E5">
        <w:rPr>
          <w:snapToGrid w:val="0"/>
          <w:sz w:val="20"/>
          <w:szCs w:val="22"/>
        </w:rPr>
        <w:t>plazo</w:t>
      </w:r>
      <w:r w:rsidRPr="005644E5">
        <w:rPr>
          <w:snapToGrid w:val="0"/>
          <w:sz w:val="20"/>
          <w:szCs w:val="22"/>
        </w:rPr>
        <w:t xml:space="preserve"> es el siguiente, en euros:</w:t>
      </w:r>
    </w:p>
    <w:tbl>
      <w:tblPr>
        <w:tblW w:w="5000" w:type="pct"/>
        <w:tblCellMar>
          <w:left w:w="70" w:type="dxa"/>
          <w:right w:w="70" w:type="dxa"/>
        </w:tblCellMar>
        <w:tblLook w:val="04A0" w:firstRow="1" w:lastRow="0" w:firstColumn="1" w:lastColumn="0" w:noHBand="0" w:noVBand="1"/>
      </w:tblPr>
      <w:tblGrid>
        <w:gridCol w:w="3789"/>
        <w:gridCol w:w="1088"/>
        <w:gridCol w:w="1632"/>
        <w:gridCol w:w="1231"/>
        <w:gridCol w:w="1041"/>
      </w:tblGrid>
      <w:tr w:rsidR="009527C4" w:rsidRPr="005644E5" w14:paraId="1357046D" w14:textId="77777777" w:rsidTr="00BC7948">
        <w:trPr>
          <w:trHeight w:val="227"/>
        </w:trPr>
        <w:tc>
          <w:tcPr>
            <w:tcW w:w="2166" w:type="pct"/>
            <w:tcBorders>
              <w:top w:val="single" w:sz="4" w:space="0" w:color="auto"/>
              <w:left w:val="nil"/>
              <w:bottom w:val="nil"/>
              <w:right w:val="nil"/>
            </w:tcBorders>
            <w:shd w:val="clear" w:color="auto" w:fill="auto"/>
            <w:noWrap/>
            <w:vAlign w:val="center"/>
            <w:hideMark/>
          </w:tcPr>
          <w:p w14:paraId="4E083510" w14:textId="77777777" w:rsidR="009527C4" w:rsidRPr="005644E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p>
        </w:tc>
        <w:tc>
          <w:tcPr>
            <w:tcW w:w="2834" w:type="pct"/>
            <w:gridSpan w:val="4"/>
            <w:tcBorders>
              <w:top w:val="single" w:sz="4" w:space="0" w:color="auto"/>
              <w:left w:val="nil"/>
              <w:bottom w:val="nil"/>
              <w:right w:val="nil"/>
            </w:tcBorders>
            <w:shd w:val="clear" w:color="auto" w:fill="auto"/>
            <w:noWrap/>
            <w:vAlign w:val="bottom"/>
            <w:hideMark/>
          </w:tcPr>
          <w:p w14:paraId="2BE88C31" w14:textId="77777777" w:rsidR="009527C4" w:rsidRPr="005644E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Euros</w:t>
            </w:r>
          </w:p>
        </w:tc>
      </w:tr>
      <w:tr w:rsidR="000715CB" w:rsidRPr="005644E5" w14:paraId="120A16DE" w14:textId="77777777" w:rsidTr="00BC7948">
        <w:trPr>
          <w:trHeight w:val="227"/>
        </w:trPr>
        <w:tc>
          <w:tcPr>
            <w:tcW w:w="2166" w:type="pct"/>
            <w:tcBorders>
              <w:top w:val="nil"/>
              <w:left w:val="nil"/>
              <w:right w:val="nil"/>
            </w:tcBorders>
            <w:shd w:val="clear" w:color="auto" w:fill="auto"/>
            <w:noWrap/>
            <w:vAlign w:val="center"/>
            <w:hideMark/>
          </w:tcPr>
          <w:p w14:paraId="0C518E29" w14:textId="77777777" w:rsidR="009527C4" w:rsidRPr="005644E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2834" w:type="pct"/>
            <w:gridSpan w:val="4"/>
            <w:tcBorders>
              <w:top w:val="single" w:sz="4" w:space="0" w:color="auto"/>
              <w:left w:val="nil"/>
              <w:bottom w:val="single" w:sz="4" w:space="0" w:color="auto"/>
              <w:right w:val="nil"/>
            </w:tcBorders>
            <w:shd w:val="clear" w:color="auto" w:fill="auto"/>
            <w:noWrap/>
            <w:vAlign w:val="bottom"/>
            <w:hideMark/>
          </w:tcPr>
          <w:p w14:paraId="2FC77617" w14:textId="77777777" w:rsidR="009527C4" w:rsidRPr="005644E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Pasivos financieros a largo plazo</w:t>
            </w:r>
          </w:p>
        </w:tc>
      </w:tr>
      <w:tr w:rsidR="000715CB" w:rsidRPr="005644E5" w14:paraId="52C1D251" w14:textId="77777777" w:rsidTr="00BC7948">
        <w:trPr>
          <w:trHeight w:val="227"/>
        </w:trPr>
        <w:tc>
          <w:tcPr>
            <w:tcW w:w="2166" w:type="pct"/>
            <w:vMerge w:val="restart"/>
            <w:tcBorders>
              <w:top w:val="nil"/>
              <w:left w:val="nil"/>
              <w:bottom w:val="nil"/>
              <w:right w:val="nil"/>
            </w:tcBorders>
            <w:shd w:val="clear" w:color="auto" w:fill="auto"/>
            <w:noWrap/>
            <w:vAlign w:val="center"/>
            <w:hideMark/>
          </w:tcPr>
          <w:p w14:paraId="281BF334" w14:textId="77777777" w:rsidR="009527C4" w:rsidRPr="005644E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566" w:type="pct"/>
            <w:gridSpan w:val="2"/>
            <w:vMerge w:val="restart"/>
            <w:tcBorders>
              <w:top w:val="nil"/>
              <w:left w:val="nil"/>
              <w:bottom w:val="nil"/>
              <w:right w:val="nil"/>
            </w:tcBorders>
            <w:shd w:val="clear" w:color="auto" w:fill="auto"/>
            <w:vAlign w:val="bottom"/>
            <w:hideMark/>
          </w:tcPr>
          <w:p w14:paraId="6EF735B4" w14:textId="77777777" w:rsidR="007E7835" w:rsidRPr="005644E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 xml:space="preserve">Deudas con </w:t>
            </w:r>
          </w:p>
          <w:p w14:paraId="534DE057" w14:textId="24BC82EB" w:rsidR="009527C4" w:rsidRPr="005644E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entidades de crédito</w:t>
            </w:r>
          </w:p>
        </w:tc>
        <w:tc>
          <w:tcPr>
            <w:tcW w:w="1268" w:type="pct"/>
            <w:gridSpan w:val="2"/>
            <w:tcBorders>
              <w:left w:val="nil"/>
              <w:right w:val="nil"/>
            </w:tcBorders>
            <w:shd w:val="clear" w:color="auto" w:fill="auto"/>
            <w:noWrap/>
            <w:vAlign w:val="bottom"/>
            <w:hideMark/>
          </w:tcPr>
          <w:p w14:paraId="6DA44A43" w14:textId="77777777" w:rsidR="009527C4" w:rsidRPr="005644E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Derivados</w:t>
            </w:r>
          </w:p>
        </w:tc>
      </w:tr>
      <w:tr w:rsidR="000715CB" w:rsidRPr="005644E5" w14:paraId="0918363C" w14:textId="77777777" w:rsidTr="00BC7948">
        <w:trPr>
          <w:trHeight w:val="227"/>
        </w:trPr>
        <w:tc>
          <w:tcPr>
            <w:tcW w:w="2166" w:type="pct"/>
            <w:vMerge/>
            <w:tcBorders>
              <w:left w:val="nil"/>
              <w:right w:val="nil"/>
            </w:tcBorders>
            <w:vAlign w:val="center"/>
            <w:hideMark/>
          </w:tcPr>
          <w:p w14:paraId="70AE4F81" w14:textId="77777777" w:rsidR="009527C4" w:rsidRPr="005644E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566" w:type="pct"/>
            <w:gridSpan w:val="2"/>
            <w:vMerge/>
            <w:tcBorders>
              <w:left w:val="nil"/>
              <w:bottom w:val="nil"/>
              <w:right w:val="nil"/>
            </w:tcBorders>
            <w:vAlign w:val="bottom"/>
            <w:hideMark/>
          </w:tcPr>
          <w:p w14:paraId="6A2CFF26" w14:textId="77777777" w:rsidR="009527C4" w:rsidRPr="005644E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268" w:type="pct"/>
            <w:gridSpan w:val="2"/>
            <w:tcBorders>
              <w:left w:val="nil"/>
              <w:bottom w:val="nil"/>
              <w:right w:val="nil"/>
            </w:tcBorders>
            <w:shd w:val="clear" w:color="auto" w:fill="auto"/>
            <w:noWrap/>
            <w:vAlign w:val="bottom"/>
            <w:hideMark/>
          </w:tcPr>
          <w:p w14:paraId="5B45353C" w14:textId="77777777" w:rsidR="009527C4" w:rsidRPr="005644E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Otros</w:t>
            </w:r>
          </w:p>
        </w:tc>
      </w:tr>
      <w:tr w:rsidR="009527C4" w:rsidRPr="005644E5" w14:paraId="01877A3B" w14:textId="77777777" w:rsidTr="005644E5">
        <w:trPr>
          <w:trHeight w:val="283"/>
        </w:trPr>
        <w:tc>
          <w:tcPr>
            <w:tcW w:w="2166" w:type="pct"/>
            <w:tcBorders>
              <w:left w:val="nil"/>
              <w:bottom w:val="nil"/>
              <w:right w:val="nil"/>
            </w:tcBorders>
            <w:shd w:val="clear" w:color="auto" w:fill="auto"/>
            <w:noWrap/>
            <w:vAlign w:val="center"/>
            <w:hideMark/>
          </w:tcPr>
          <w:p w14:paraId="00E563CF" w14:textId="77777777" w:rsidR="009527C4" w:rsidRPr="005644E5"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w:t>
            </w:r>
          </w:p>
        </w:tc>
        <w:tc>
          <w:tcPr>
            <w:tcW w:w="628" w:type="pct"/>
            <w:tcBorders>
              <w:top w:val="single" w:sz="4" w:space="0" w:color="auto"/>
              <w:left w:val="nil"/>
              <w:bottom w:val="nil"/>
              <w:right w:val="nil"/>
            </w:tcBorders>
            <w:shd w:val="clear" w:color="auto" w:fill="auto"/>
            <w:noWrap/>
            <w:vAlign w:val="bottom"/>
            <w:hideMark/>
          </w:tcPr>
          <w:p w14:paraId="7B329EAA" w14:textId="20D8A05B" w:rsidR="009527C4" w:rsidRPr="005644E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31/12/202</w:t>
            </w:r>
            <w:r w:rsidR="002B29DF" w:rsidRPr="005644E5">
              <w:rPr>
                <w:rFonts w:eastAsia="Times New Roman"/>
                <w:b/>
                <w:bCs/>
                <w:sz w:val="18"/>
                <w:szCs w:val="18"/>
                <w:bdr w:val="none" w:sz="0" w:space="0" w:color="auto"/>
                <w:lang w:eastAsia="es-ES"/>
              </w:rPr>
              <w:t>1</w:t>
            </w:r>
          </w:p>
        </w:tc>
        <w:tc>
          <w:tcPr>
            <w:tcW w:w="938" w:type="pct"/>
            <w:tcBorders>
              <w:top w:val="single" w:sz="4" w:space="0" w:color="auto"/>
              <w:left w:val="nil"/>
              <w:bottom w:val="nil"/>
              <w:right w:val="nil"/>
            </w:tcBorders>
            <w:shd w:val="clear" w:color="auto" w:fill="auto"/>
            <w:noWrap/>
            <w:vAlign w:val="bottom"/>
            <w:hideMark/>
          </w:tcPr>
          <w:p w14:paraId="5FFDCEE0" w14:textId="16366BEF" w:rsidR="009527C4" w:rsidRPr="005644E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w:t>
            </w:r>
            <w:r w:rsidR="002B29DF" w:rsidRPr="005644E5">
              <w:rPr>
                <w:rFonts w:eastAsia="Times New Roman"/>
                <w:b/>
                <w:bCs/>
                <w:sz w:val="18"/>
                <w:szCs w:val="18"/>
                <w:bdr w:val="none" w:sz="0" w:space="0" w:color="auto"/>
                <w:lang w:eastAsia="es-ES"/>
              </w:rPr>
              <w:t>20</w:t>
            </w:r>
          </w:p>
        </w:tc>
        <w:tc>
          <w:tcPr>
            <w:tcW w:w="709" w:type="pct"/>
            <w:tcBorders>
              <w:top w:val="single" w:sz="4" w:space="0" w:color="auto"/>
              <w:left w:val="nil"/>
              <w:bottom w:val="nil"/>
              <w:right w:val="nil"/>
            </w:tcBorders>
            <w:shd w:val="clear" w:color="auto" w:fill="auto"/>
            <w:noWrap/>
            <w:vAlign w:val="bottom"/>
            <w:hideMark/>
          </w:tcPr>
          <w:p w14:paraId="26F65B24" w14:textId="76D41E9C" w:rsidR="009527C4" w:rsidRPr="005644E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31/12/202</w:t>
            </w:r>
            <w:r w:rsidR="002B29DF" w:rsidRPr="005644E5">
              <w:rPr>
                <w:rFonts w:eastAsia="Times New Roman"/>
                <w:b/>
                <w:bCs/>
                <w:sz w:val="18"/>
                <w:szCs w:val="18"/>
                <w:bdr w:val="none" w:sz="0" w:space="0" w:color="auto"/>
                <w:lang w:eastAsia="es-ES"/>
              </w:rPr>
              <w:t>1</w:t>
            </w:r>
          </w:p>
        </w:tc>
        <w:tc>
          <w:tcPr>
            <w:tcW w:w="559" w:type="pct"/>
            <w:tcBorders>
              <w:top w:val="single" w:sz="4" w:space="0" w:color="auto"/>
              <w:left w:val="nil"/>
              <w:bottom w:val="nil"/>
              <w:right w:val="nil"/>
            </w:tcBorders>
            <w:shd w:val="clear" w:color="auto" w:fill="auto"/>
            <w:noWrap/>
            <w:vAlign w:val="bottom"/>
            <w:hideMark/>
          </w:tcPr>
          <w:p w14:paraId="54133FE8" w14:textId="7888E5C3" w:rsidR="009527C4" w:rsidRPr="005644E5"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w:t>
            </w:r>
            <w:r w:rsidR="002B29DF" w:rsidRPr="005644E5">
              <w:rPr>
                <w:rFonts w:eastAsia="Times New Roman"/>
                <w:b/>
                <w:bCs/>
                <w:sz w:val="18"/>
                <w:szCs w:val="18"/>
                <w:bdr w:val="none" w:sz="0" w:space="0" w:color="auto"/>
                <w:lang w:eastAsia="es-ES"/>
              </w:rPr>
              <w:t>20</w:t>
            </w:r>
          </w:p>
        </w:tc>
      </w:tr>
      <w:tr w:rsidR="00BC7948" w:rsidRPr="005644E5" w14:paraId="7139B515" w14:textId="77777777" w:rsidTr="005644E5">
        <w:trPr>
          <w:trHeight w:val="283"/>
        </w:trPr>
        <w:tc>
          <w:tcPr>
            <w:tcW w:w="2166" w:type="pct"/>
            <w:tcBorders>
              <w:top w:val="single" w:sz="4" w:space="0" w:color="auto"/>
              <w:left w:val="nil"/>
              <w:bottom w:val="nil"/>
              <w:right w:val="nil"/>
            </w:tcBorders>
            <w:shd w:val="clear" w:color="auto" w:fill="auto"/>
            <w:noWrap/>
            <w:vAlign w:val="center"/>
            <w:hideMark/>
          </w:tcPr>
          <w:p w14:paraId="20FECB23" w14:textId="77777777" w:rsidR="00176BA0" w:rsidRDefault="00BC7948" w:rsidP="00BC794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Pasivos financieros a coste amortizado</w:t>
            </w:r>
          </w:p>
          <w:p w14:paraId="4568DFD5" w14:textId="69C3BB74" w:rsidR="00BC7948" w:rsidRPr="005644E5" w:rsidRDefault="00BC7948" w:rsidP="00BC794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(Nota 8.</w:t>
            </w:r>
            <w:r w:rsidR="00A86B67" w:rsidRPr="005644E5">
              <w:rPr>
                <w:rFonts w:eastAsia="Times New Roman"/>
                <w:sz w:val="18"/>
                <w:szCs w:val="18"/>
                <w:bdr w:val="none" w:sz="0" w:space="0" w:color="auto"/>
                <w:lang w:eastAsia="es-ES"/>
              </w:rPr>
              <w:t>3</w:t>
            </w:r>
            <w:r w:rsidRPr="005644E5">
              <w:rPr>
                <w:rFonts w:eastAsia="Times New Roman"/>
                <w:sz w:val="18"/>
                <w:szCs w:val="18"/>
                <w:bdr w:val="none" w:sz="0" w:space="0" w:color="auto"/>
                <w:lang w:eastAsia="es-ES"/>
              </w:rPr>
              <w:t>.a)</w:t>
            </w:r>
          </w:p>
        </w:tc>
        <w:tc>
          <w:tcPr>
            <w:tcW w:w="628" w:type="pct"/>
            <w:tcBorders>
              <w:top w:val="single" w:sz="4" w:space="0" w:color="auto"/>
              <w:left w:val="nil"/>
              <w:bottom w:val="nil"/>
              <w:right w:val="nil"/>
            </w:tcBorders>
            <w:shd w:val="clear" w:color="auto" w:fill="auto"/>
            <w:noWrap/>
            <w:vAlign w:val="center"/>
            <w:hideMark/>
          </w:tcPr>
          <w:p w14:paraId="635FC346" w14:textId="77777777" w:rsidR="00BC7948" w:rsidRPr="005644E5" w:rsidRDefault="00BC7948" w:rsidP="00BC794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xml:space="preserve"> -</w:t>
            </w:r>
          </w:p>
        </w:tc>
        <w:tc>
          <w:tcPr>
            <w:tcW w:w="938" w:type="pct"/>
            <w:tcBorders>
              <w:top w:val="single" w:sz="4" w:space="0" w:color="auto"/>
              <w:left w:val="nil"/>
              <w:bottom w:val="nil"/>
              <w:right w:val="nil"/>
            </w:tcBorders>
            <w:shd w:val="clear" w:color="auto" w:fill="auto"/>
            <w:noWrap/>
            <w:vAlign w:val="center"/>
            <w:hideMark/>
          </w:tcPr>
          <w:p w14:paraId="6BD33203" w14:textId="77777777" w:rsidR="00BC7948" w:rsidRPr="005644E5" w:rsidRDefault="00BC7948" w:rsidP="00BC794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xml:space="preserve"> -</w:t>
            </w:r>
          </w:p>
        </w:tc>
        <w:tc>
          <w:tcPr>
            <w:tcW w:w="709" w:type="pct"/>
            <w:tcBorders>
              <w:top w:val="single" w:sz="4" w:space="0" w:color="auto"/>
              <w:left w:val="nil"/>
              <w:bottom w:val="nil"/>
              <w:right w:val="nil"/>
            </w:tcBorders>
            <w:shd w:val="clear" w:color="auto" w:fill="auto"/>
            <w:noWrap/>
            <w:vAlign w:val="center"/>
            <w:hideMark/>
          </w:tcPr>
          <w:p w14:paraId="20329846" w14:textId="2C8B2A45" w:rsidR="00BC7948" w:rsidRPr="005644E5" w:rsidRDefault="00BC7948" w:rsidP="00BC794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highlight w:val="yellow"/>
                <w:bdr w:val="none" w:sz="0" w:space="0" w:color="auto"/>
                <w:lang w:eastAsia="es-ES"/>
              </w:rPr>
            </w:pPr>
            <w:r w:rsidRPr="005644E5">
              <w:rPr>
                <w:sz w:val="18"/>
                <w:szCs w:val="18"/>
              </w:rPr>
              <w:t>5.768,00</w:t>
            </w:r>
          </w:p>
        </w:tc>
        <w:tc>
          <w:tcPr>
            <w:tcW w:w="559" w:type="pct"/>
            <w:tcBorders>
              <w:top w:val="single" w:sz="4" w:space="0" w:color="auto"/>
              <w:left w:val="nil"/>
              <w:bottom w:val="nil"/>
              <w:right w:val="nil"/>
            </w:tcBorders>
            <w:shd w:val="clear" w:color="auto" w:fill="auto"/>
            <w:noWrap/>
            <w:vAlign w:val="center"/>
          </w:tcPr>
          <w:p w14:paraId="50088095" w14:textId="6296EEBE" w:rsidR="00BC7948" w:rsidRPr="005644E5" w:rsidRDefault="00BC7948" w:rsidP="00BC794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w:t>
            </w:r>
          </w:p>
        </w:tc>
      </w:tr>
      <w:tr w:rsidR="00BC7948" w:rsidRPr="005644E5" w14:paraId="4CFAAB82" w14:textId="77777777" w:rsidTr="005644E5">
        <w:trPr>
          <w:trHeight w:val="283"/>
        </w:trPr>
        <w:tc>
          <w:tcPr>
            <w:tcW w:w="2166" w:type="pct"/>
            <w:tcBorders>
              <w:top w:val="single" w:sz="4" w:space="0" w:color="auto"/>
              <w:left w:val="nil"/>
              <w:bottom w:val="single" w:sz="4" w:space="0" w:color="auto"/>
              <w:right w:val="nil"/>
            </w:tcBorders>
            <w:shd w:val="clear" w:color="auto" w:fill="auto"/>
            <w:noWrap/>
            <w:vAlign w:val="center"/>
            <w:hideMark/>
          </w:tcPr>
          <w:p w14:paraId="4DE4E87B" w14:textId="77777777" w:rsidR="00BC7948" w:rsidRPr="005644E5" w:rsidRDefault="00BC7948" w:rsidP="00BC794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Total</w:t>
            </w:r>
          </w:p>
        </w:tc>
        <w:tc>
          <w:tcPr>
            <w:tcW w:w="628" w:type="pct"/>
            <w:tcBorders>
              <w:top w:val="single" w:sz="4" w:space="0" w:color="auto"/>
              <w:left w:val="nil"/>
              <w:bottom w:val="single" w:sz="4" w:space="0" w:color="auto"/>
              <w:right w:val="nil"/>
            </w:tcBorders>
            <w:shd w:val="clear" w:color="auto" w:fill="auto"/>
            <w:noWrap/>
            <w:vAlign w:val="center"/>
            <w:hideMark/>
          </w:tcPr>
          <w:p w14:paraId="61B78847" w14:textId="77777777" w:rsidR="00BC7948" w:rsidRPr="005644E5" w:rsidRDefault="00BC7948" w:rsidP="00BC794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 xml:space="preserve"> -</w:t>
            </w:r>
          </w:p>
        </w:tc>
        <w:tc>
          <w:tcPr>
            <w:tcW w:w="938" w:type="pct"/>
            <w:tcBorders>
              <w:top w:val="single" w:sz="4" w:space="0" w:color="auto"/>
              <w:left w:val="nil"/>
              <w:bottom w:val="single" w:sz="4" w:space="0" w:color="auto"/>
              <w:right w:val="nil"/>
            </w:tcBorders>
            <w:shd w:val="clear" w:color="auto" w:fill="auto"/>
            <w:noWrap/>
            <w:vAlign w:val="center"/>
            <w:hideMark/>
          </w:tcPr>
          <w:p w14:paraId="58F40494" w14:textId="77777777" w:rsidR="00BC7948" w:rsidRPr="005644E5" w:rsidRDefault="00BC7948" w:rsidP="00BC794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 xml:space="preserve"> -</w:t>
            </w:r>
          </w:p>
        </w:tc>
        <w:tc>
          <w:tcPr>
            <w:tcW w:w="709" w:type="pct"/>
            <w:tcBorders>
              <w:top w:val="single" w:sz="4" w:space="0" w:color="auto"/>
              <w:left w:val="nil"/>
              <w:bottom w:val="single" w:sz="4" w:space="0" w:color="auto"/>
              <w:right w:val="nil"/>
            </w:tcBorders>
            <w:shd w:val="clear" w:color="auto" w:fill="auto"/>
            <w:noWrap/>
            <w:vAlign w:val="center"/>
            <w:hideMark/>
          </w:tcPr>
          <w:p w14:paraId="2460741D" w14:textId="6C78B433" w:rsidR="00BC7948" w:rsidRPr="005644E5" w:rsidRDefault="00BC7948" w:rsidP="00BC794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highlight w:val="yellow"/>
                <w:bdr w:val="none" w:sz="0" w:space="0" w:color="auto"/>
                <w:lang w:eastAsia="es-ES"/>
              </w:rPr>
            </w:pPr>
            <w:r w:rsidRPr="005644E5">
              <w:rPr>
                <w:b/>
                <w:bCs/>
                <w:sz w:val="18"/>
                <w:szCs w:val="18"/>
              </w:rPr>
              <w:t>5.768,00</w:t>
            </w:r>
          </w:p>
        </w:tc>
        <w:tc>
          <w:tcPr>
            <w:tcW w:w="559" w:type="pct"/>
            <w:tcBorders>
              <w:top w:val="single" w:sz="4" w:space="0" w:color="auto"/>
              <w:left w:val="nil"/>
              <w:bottom w:val="single" w:sz="4" w:space="0" w:color="auto"/>
              <w:right w:val="nil"/>
            </w:tcBorders>
            <w:shd w:val="clear" w:color="auto" w:fill="auto"/>
            <w:noWrap/>
            <w:vAlign w:val="center"/>
          </w:tcPr>
          <w:p w14:paraId="235347EA" w14:textId="5351D141" w:rsidR="00BC7948" w:rsidRPr="005644E5" w:rsidRDefault="00BC7948" w:rsidP="00BC794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w:t>
            </w:r>
          </w:p>
        </w:tc>
      </w:tr>
    </w:tbl>
    <w:p w14:paraId="56E07457" w14:textId="77777777" w:rsidR="00077070" w:rsidRPr="005644E5" w:rsidRDefault="00077070" w:rsidP="00176BA0">
      <w:pPr>
        <w:keepNext/>
        <w:keepLines/>
        <w:widowControl w:val="0"/>
        <w:spacing w:before="120" w:after="120" w:line="260" w:lineRule="exact"/>
        <w:ind w:left="284"/>
        <w:jc w:val="both"/>
        <w:outlineLvl w:val="9"/>
        <w:rPr>
          <w:snapToGrid w:val="0"/>
          <w:sz w:val="20"/>
          <w:szCs w:val="22"/>
        </w:rPr>
      </w:pPr>
      <w:r w:rsidRPr="005644E5">
        <w:rPr>
          <w:snapToGrid w:val="0"/>
          <w:sz w:val="20"/>
          <w:szCs w:val="22"/>
        </w:rPr>
        <w:lastRenderedPageBreak/>
        <w:t xml:space="preserve">El detalle de los pasivos financieros a corto </w:t>
      </w:r>
      <w:r w:rsidR="00716A99" w:rsidRPr="005644E5">
        <w:rPr>
          <w:snapToGrid w:val="0"/>
          <w:sz w:val="20"/>
          <w:szCs w:val="22"/>
        </w:rPr>
        <w:t>plazo</w:t>
      </w:r>
      <w:r w:rsidRPr="005644E5">
        <w:rPr>
          <w:snapToGrid w:val="0"/>
          <w:sz w:val="20"/>
          <w:szCs w:val="22"/>
        </w:rPr>
        <w:t xml:space="preserve"> es el siguiente, en euros:</w:t>
      </w:r>
    </w:p>
    <w:tbl>
      <w:tblPr>
        <w:tblW w:w="5000" w:type="pct"/>
        <w:tblCellMar>
          <w:left w:w="70" w:type="dxa"/>
          <w:right w:w="70" w:type="dxa"/>
        </w:tblCellMar>
        <w:tblLook w:val="04A0" w:firstRow="1" w:lastRow="0" w:firstColumn="1" w:lastColumn="0" w:noHBand="0" w:noVBand="1"/>
      </w:tblPr>
      <w:tblGrid>
        <w:gridCol w:w="3402"/>
        <w:gridCol w:w="1461"/>
        <w:gridCol w:w="1192"/>
        <w:gridCol w:w="1363"/>
        <w:gridCol w:w="1363"/>
      </w:tblGrid>
      <w:tr w:rsidR="00447C36" w:rsidRPr="00176BA0" w14:paraId="709F64FD" w14:textId="77777777" w:rsidTr="00176BA0">
        <w:trPr>
          <w:trHeight w:val="227"/>
        </w:trPr>
        <w:tc>
          <w:tcPr>
            <w:tcW w:w="1937" w:type="pct"/>
            <w:tcBorders>
              <w:top w:val="single" w:sz="4" w:space="0" w:color="auto"/>
              <w:left w:val="nil"/>
              <w:bottom w:val="nil"/>
              <w:right w:val="nil"/>
            </w:tcBorders>
            <w:shd w:val="clear" w:color="auto" w:fill="auto"/>
            <w:vAlign w:val="bottom"/>
          </w:tcPr>
          <w:p w14:paraId="4518FAF0" w14:textId="77777777" w:rsidR="00447C36" w:rsidRPr="00176BA0" w:rsidRDefault="00447C36" w:rsidP="00176BA0">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p>
        </w:tc>
        <w:tc>
          <w:tcPr>
            <w:tcW w:w="3063" w:type="pct"/>
            <w:gridSpan w:val="4"/>
            <w:tcBorders>
              <w:top w:val="single" w:sz="4" w:space="0" w:color="auto"/>
              <w:left w:val="nil"/>
              <w:bottom w:val="single" w:sz="4" w:space="0" w:color="auto"/>
              <w:right w:val="nil"/>
            </w:tcBorders>
            <w:shd w:val="clear" w:color="auto" w:fill="auto"/>
            <w:vAlign w:val="bottom"/>
          </w:tcPr>
          <w:p w14:paraId="6A5F99E2" w14:textId="77777777" w:rsidR="00447C36" w:rsidRPr="00176BA0" w:rsidRDefault="00447C36" w:rsidP="00176BA0">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Euros</w:t>
            </w:r>
          </w:p>
        </w:tc>
      </w:tr>
      <w:tr w:rsidR="009527C4" w:rsidRPr="00176BA0" w14:paraId="56BC7544" w14:textId="77777777" w:rsidTr="00176BA0">
        <w:trPr>
          <w:trHeight w:val="227"/>
        </w:trPr>
        <w:tc>
          <w:tcPr>
            <w:tcW w:w="1937" w:type="pct"/>
            <w:tcBorders>
              <w:top w:val="nil"/>
              <w:left w:val="nil"/>
              <w:bottom w:val="nil"/>
              <w:right w:val="nil"/>
            </w:tcBorders>
            <w:shd w:val="clear" w:color="auto" w:fill="auto"/>
            <w:vAlign w:val="bottom"/>
            <w:hideMark/>
          </w:tcPr>
          <w:p w14:paraId="2DF241B6" w14:textId="77777777" w:rsidR="009527C4" w:rsidRPr="00176BA0"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p>
        </w:tc>
        <w:tc>
          <w:tcPr>
            <w:tcW w:w="3063" w:type="pct"/>
            <w:gridSpan w:val="4"/>
            <w:tcBorders>
              <w:top w:val="single" w:sz="4" w:space="0" w:color="auto"/>
              <w:left w:val="nil"/>
              <w:bottom w:val="single" w:sz="4" w:space="0" w:color="auto"/>
              <w:right w:val="nil"/>
            </w:tcBorders>
            <w:shd w:val="clear" w:color="auto" w:fill="auto"/>
            <w:vAlign w:val="bottom"/>
            <w:hideMark/>
          </w:tcPr>
          <w:p w14:paraId="41CFAA13" w14:textId="77777777" w:rsidR="009527C4" w:rsidRPr="00176BA0"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Pasivos financieros a corto plazo</w:t>
            </w:r>
          </w:p>
        </w:tc>
      </w:tr>
      <w:tr w:rsidR="000715CB" w:rsidRPr="00176BA0" w14:paraId="384DF366" w14:textId="77777777" w:rsidTr="00176BA0">
        <w:trPr>
          <w:trHeight w:val="227"/>
        </w:trPr>
        <w:tc>
          <w:tcPr>
            <w:tcW w:w="1937" w:type="pct"/>
            <w:vMerge w:val="restart"/>
            <w:tcBorders>
              <w:top w:val="nil"/>
              <w:left w:val="nil"/>
              <w:bottom w:val="nil"/>
              <w:right w:val="nil"/>
            </w:tcBorders>
            <w:shd w:val="clear" w:color="auto" w:fill="auto"/>
            <w:vAlign w:val="bottom"/>
            <w:hideMark/>
          </w:tcPr>
          <w:p w14:paraId="16EB8DCB" w14:textId="77777777" w:rsidR="009527C4" w:rsidRPr="00176BA0"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511" w:type="pct"/>
            <w:gridSpan w:val="2"/>
            <w:tcBorders>
              <w:top w:val="nil"/>
              <w:left w:val="nil"/>
              <w:bottom w:val="nil"/>
              <w:right w:val="nil"/>
            </w:tcBorders>
            <w:shd w:val="clear" w:color="auto" w:fill="auto"/>
            <w:vAlign w:val="bottom"/>
            <w:hideMark/>
          </w:tcPr>
          <w:p w14:paraId="65AB6149" w14:textId="06BAD956" w:rsidR="009527C4" w:rsidRPr="00176BA0"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Deudas con entidades</w:t>
            </w:r>
          </w:p>
        </w:tc>
        <w:tc>
          <w:tcPr>
            <w:tcW w:w="1552" w:type="pct"/>
            <w:gridSpan w:val="2"/>
            <w:tcBorders>
              <w:top w:val="nil"/>
              <w:left w:val="nil"/>
              <w:bottom w:val="nil"/>
              <w:right w:val="nil"/>
            </w:tcBorders>
            <w:shd w:val="clear" w:color="auto" w:fill="auto"/>
            <w:vAlign w:val="bottom"/>
            <w:hideMark/>
          </w:tcPr>
          <w:p w14:paraId="7AC024BA" w14:textId="77777777" w:rsidR="009527C4" w:rsidRPr="00176BA0"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Derivados y</w:t>
            </w:r>
          </w:p>
        </w:tc>
      </w:tr>
      <w:tr w:rsidR="000715CB" w:rsidRPr="00176BA0" w14:paraId="464168E8" w14:textId="77777777" w:rsidTr="00176BA0">
        <w:trPr>
          <w:trHeight w:val="227"/>
        </w:trPr>
        <w:tc>
          <w:tcPr>
            <w:tcW w:w="1937" w:type="pct"/>
            <w:vMerge/>
            <w:tcBorders>
              <w:top w:val="nil"/>
              <w:left w:val="nil"/>
              <w:bottom w:val="nil"/>
              <w:right w:val="nil"/>
            </w:tcBorders>
            <w:vAlign w:val="center"/>
            <w:hideMark/>
          </w:tcPr>
          <w:p w14:paraId="217F6566" w14:textId="77777777" w:rsidR="009527C4" w:rsidRPr="00176BA0"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511" w:type="pct"/>
            <w:gridSpan w:val="2"/>
            <w:tcBorders>
              <w:top w:val="nil"/>
              <w:left w:val="nil"/>
              <w:bottom w:val="single" w:sz="4" w:space="0" w:color="auto"/>
              <w:right w:val="nil"/>
            </w:tcBorders>
            <w:shd w:val="clear" w:color="auto" w:fill="auto"/>
            <w:vAlign w:val="bottom"/>
            <w:hideMark/>
          </w:tcPr>
          <w:p w14:paraId="2F61CFA0" w14:textId="77777777" w:rsidR="009527C4" w:rsidRPr="00176BA0"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de crédito</w:t>
            </w:r>
          </w:p>
        </w:tc>
        <w:tc>
          <w:tcPr>
            <w:tcW w:w="1552" w:type="pct"/>
            <w:gridSpan w:val="2"/>
            <w:tcBorders>
              <w:top w:val="nil"/>
              <w:left w:val="nil"/>
              <w:bottom w:val="single" w:sz="4" w:space="0" w:color="auto"/>
              <w:right w:val="nil"/>
            </w:tcBorders>
            <w:shd w:val="clear" w:color="auto" w:fill="auto"/>
            <w:vAlign w:val="bottom"/>
            <w:hideMark/>
          </w:tcPr>
          <w:p w14:paraId="5666F13C" w14:textId="77777777" w:rsidR="009527C4" w:rsidRPr="00176BA0"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Otros</w:t>
            </w:r>
          </w:p>
        </w:tc>
      </w:tr>
      <w:tr w:rsidR="00D3384E" w:rsidRPr="00176BA0" w14:paraId="3E48150B" w14:textId="77777777" w:rsidTr="00176BA0">
        <w:trPr>
          <w:trHeight w:val="283"/>
        </w:trPr>
        <w:tc>
          <w:tcPr>
            <w:tcW w:w="1937" w:type="pct"/>
            <w:tcBorders>
              <w:top w:val="nil"/>
              <w:left w:val="nil"/>
              <w:bottom w:val="single" w:sz="4" w:space="0" w:color="auto"/>
              <w:right w:val="nil"/>
            </w:tcBorders>
            <w:shd w:val="clear" w:color="auto" w:fill="auto"/>
            <w:vAlign w:val="bottom"/>
            <w:hideMark/>
          </w:tcPr>
          <w:p w14:paraId="56626B84" w14:textId="77777777" w:rsidR="00D3384E" w:rsidRPr="00176BA0" w:rsidRDefault="00D3384E" w:rsidP="00D3384E">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18"/>
                <w:szCs w:val="18"/>
                <w:bdr w:val="none" w:sz="0" w:space="0" w:color="auto"/>
                <w:lang w:eastAsia="es-ES"/>
              </w:rPr>
            </w:pPr>
            <w:r w:rsidRPr="00176BA0">
              <w:rPr>
                <w:rFonts w:ascii="Calibri" w:eastAsia="Times New Roman" w:hAnsi="Calibri" w:cs="Calibri"/>
                <w:sz w:val="18"/>
                <w:szCs w:val="18"/>
                <w:bdr w:val="none" w:sz="0" w:space="0" w:color="auto"/>
                <w:lang w:eastAsia="es-ES"/>
              </w:rPr>
              <w:t> </w:t>
            </w:r>
          </w:p>
        </w:tc>
        <w:tc>
          <w:tcPr>
            <w:tcW w:w="832" w:type="pct"/>
            <w:tcBorders>
              <w:top w:val="nil"/>
              <w:left w:val="nil"/>
              <w:bottom w:val="single" w:sz="4" w:space="0" w:color="auto"/>
              <w:right w:val="nil"/>
            </w:tcBorders>
            <w:shd w:val="clear" w:color="auto" w:fill="auto"/>
            <w:vAlign w:val="bottom"/>
            <w:hideMark/>
          </w:tcPr>
          <w:p w14:paraId="18C37BA0" w14:textId="535C38A8" w:rsidR="00D3384E" w:rsidRPr="00176BA0" w:rsidRDefault="00D3384E" w:rsidP="00D3384E">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31/12/2021</w:t>
            </w:r>
          </w:p>
        </w:tc>
        <w:tc>
          <w:tcPr>
            <w:tcW w:w="679" w:type="pct"/>
            <w:tcBorders>
              <w:top w:val="nil"/>
              <w:left w:val="nil"/>
              <w:bottom w:val="single" w:sz="4" w:space="0" w:color="auto"/>
              <w:right w:val="nil"/>
            </w:tcBorders>
            <w:shd w:val="clear" w:color="auto" w:fill="auto"/>
            <w:vAlign w:val="bottom"/>
            <w:hideMark/>
          </w:tcPr>
          <w:p w14:paraId="1E6A6658" w14:textId="14766BE3" w:rsidR="00D3384E" w:rsidRPr="00176BA0" w:rsidRDefault="00D3384E" w:rsidP="00D3384E">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31/12/2020</w:t>
            </w:r>
          </w:p>
        </w:tc>
        <w:tc>
          <w:tcPr>
            <w:tcW w:w="776" w:type="pct"/>
            <w:tcBorders>
              <w:top w:val="nil"/>
              <w:left w:val="nil"/>
              <w:bottom w:val="single" w:sz="4" w:space="0" w:color="auto"/>
              <w:right w:val="nil"/>
            </w:tcBorders>
            <w:shd w:val="clear" w:color="auto" w:fill="auto"/>
            <w:vAlign w:val="bottom"/>
            <w:hideMark/>
          </w:tcPr>
          <w:p w14:paraId="72E500CD" w14:textId="77B2D61D" w:rsidR="00D3384E" w:rsidRPr="00176BA0" w:rsidRDefault="00D3384E" w:rsidP="00D3384E">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31/12/2021</w:t>
            </w:r>
          </w:p>
        </w:tc>
        <w:tc>
          <w:tcPr>
            <w:tcW w:w="776" w:type="pct"/>
            <w:tcBorders>
              <w:top w:val="nil"/>
              <w:left w:val="nil"/>
              <w:bottom w:val="single" w:sz="4" w:space="0" w:color="auto"/>
              <w:right w:val="nil"/>
            </w:tcBorders>
            <w:shd w:val="clear" w:color="auto" w:fill="auto"/>
            <w:vAlign w:val="bottom"/>
            <w:hideMark/>
          </w:tcPr>
          <w:p w14:paraId="565CB993" w14:textId="0397BFAF" w:rsidR="00D3384E" w:rsidRPr="00176BA0" w:rsidRDefault="00D3384E" w:rsidP="00D3384E">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31/12/2020</w:t>
            </w:r>
          </w:p>
        </w:tc>
      </w:tr>
      <w:tr w:rsidR="002B6C07" w:rsidRPr="00176BA0" w14:paraId="1B25E209" w14:textId="77777777" w:rsidTr="00176BA0">
        <w:trPr>
          <w:trHeight w:val="283"/>
        </w:trPr>
        <w:tc>
          <w:tcPr>
            <w:tcW w:w="1937" w:type="pct"/>
            <w:tcBorders>
              <w:top w:val="nil"/>
              <w:left w:val="nil"/>
              <w:bottom w:val="single" w:sz="4" w:space="0" w:color="auto"/>
              <w:right w:val="nil"/>
            </w:tcBorders>
            <w:shd w:val="clear" w:color="auto" w:fill="auto"/>
            <w:vAlign w:val="center"/>
            <w:hideMark/>
          </w:tcPr>
          <w:p w14:paraId="6E5C1C43" w14:textId="23410968" w:rsidR="002B6C07" w:rsidRPr="00176BA0" w:rsidRDefault="002B6C07" w:rsidP="002B6C07">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Pasivos financieros a coste amortizado (Nota 8.</w:t>
            </w:r>
            <w:r w:rsidR="004B46C7" w:rsidRPr="00176BA0">
              <w:rPr>
                <w:rFonts w:eastAsia="Times New Roman"/>
                <w:sz w:val="18"/>
                <w:szCs w:val="18"/>
                <w:bdr w:val="none" w:sz="0" w:space="0" w:color="auto"/>
                <w:lang w:eastAsia="es-ES"/>
              </w:rPr>
              <w:t>3</w:t>
            </w:r>
            <w:r w:rsidRPr="00176BA0">
              <w:rPr>
                <w:rFonts w:eastAsia="Times New Roman"/>
                <w:sz w:val="18"/>
                <w:szCs w:val="18"/>
                <w:bdr w:val="none" w:sz="0" w:space="0" w:color="auto"/>
                <w:lang w:eastAsia="es-ES"/>
              </w:rPr>
              <w:t>.a)</w:t>
            </w:r>
          </w:p>
        </w:tc>
        <w:tc>
          <w:tcPr>
            <w:tcW w:w="832" w:type="pct"/>
            <w:tcBorders>
              <w:top w:val="nil"/>
              <w:left w:val="nil"/>
              <w:bottom w:val="single" w:sz="4" w:space="0" w:color="auto"/>
              <w:right w:val="nil"/>
            </w:tcBorders>
            <w:shd w:val="clear" w:color="auto" w:fill="auto"/>
            <w:vAlign w:val="center"/>
          </w:tcPr>
          <w:p w14:paraId="5EB52B4D" w14:textId="6C02A98B" w:rsidR="002B6C07" w:rsidRPr="00176BA0" w:rsidRDefault="002B6C07" w:rsidP="002B6C07">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589,78</w:t>
            </w:r>
          </w:p>
        </w:tc>
        <w:tc>
          <w:tcPr>
            <w:tcW w:w="679" w:type="pct"/>
            <w:tcBorders>
              <w:top w:val="nil"/>
              <w:left w:val="nil"/>
              <w:bottom w:val="single" w:sz="4" w:space="0" w:color="auto"/>
              <w:right w:val="nil"/>
            </w:tcBorders>
            <w:shd w:val="clear" w:color="auto" w:fill="auto"/>
            <w:vAlign w:val="center"/>
            <w:hideMark/>
          </w:tcPr>
          <w:p w14:paraId="674B17A4" w14:textId="3C2A1A49" w:rsidR="002B6C07" w:rsidRPr="00176BA0" w:rsidRDefault="002B6C07" w:rsidP="002B6C07">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68,88</w:t>
            </w:r>
          </w:p>
        </w:tc>
        <w:tc>
          <w:tcPr>
            <w:tcW w:w="776" w:type="pct"/>
            <w:tcBorders>
              <w:top w:val="nil"/>
              <w:left w:val="nil"/>
              <w:bottom w:val="single" w:sz="4" w:space="0" w:color="auto"/>
              <w:right w:val="nil"/>
            </w:tcBorders>
            <w:shd w:val="clear" w:color="auto" w:fill="auto"/>
            <w:vAlign w:val="center"/>
          </w:tcPr>
          <w:p w14:paraId="46D6D348" w14:textId="5EFFC9F2" w:rsidR="002B6C07" w:rsidRPr="00176BA0" w:rsidRDefault="002B6C07" w:rsidP="002B6C07">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10.979.467,48</w:t>
            </w:r>
          </w:p>
        </w:tc>
        <w:tc>
          <w:tcPr>
            <w:tcW w:w="776" w:type="pct"/>
            <w:tcBorders>
              <w:top w:val="nil"/>
              <w:left w:val="nil"/>
              <w:bottom w:val="single" w:sz="4" w:space="0" w:color="auto"/>
              <w:right w:val="nil"/>
            </w:tcBorders>
            <w:shd w:val="clear" w:color="auto" w:fill="auto"/>
            <w:vAlign w:val="center"/>
            <w:hideMark/>
          </w:tcPr>
          <w:p w14:paraId="3A744FCB" w14:textId="1A409BA5" w:rsidR="002B6C07" w:rsidRPr="00176BA0" w:rsidRDefault="002B6C07" w:rsidP="002B6C07">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3.451.670,34</w:t>
            </w:r>
          </w:p>
        </w:tc>
      </w:tr>
      <w:tr w:rsidR="002B6C07" w:rsidRPr="00176BA0" w14:paraId="1150AA4C" w14:textId="77777777" w:rsidTr="00176BA0">
        <w:trPr>
          <w:trHeight w:val="283"/>
        </w:trPr>
        <w:tc>
          <w:tcPr>
            <w:tcW w:w="1937" w:type="pct"/>
            <w:tcBorders>
              <w:top w:val="nil"/>
              <w:left w:val="nil"/>
              <w:bottom w:val="single" w:sz="4" w:space="0" w:color="auto"/>
              <w:right w:val="nil"/>
            </w:tcBorders>
            <w:shd w:val="clear" w:color="auto" w:fill="auto"/>
            <w:vAlign w:val="center"/>
            <w:hideMark/>
          </w:tcPr>
          <w:p w14:paraId="175D2B18" w14:textId="77777777" w:rsidR="002B6C07" w:rsidRPr="00176BA0" w:rsidRDefault="002B6C07" w:rsidP="002B6C07">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Total</w:t>
            </w:r>
          </w:p>
        </w:tc>
        <w:tc>
          <w:tcPr>
            <w:tcW w:w="832" w:type="pct"/>
            <w:tcBorders>
              <w:top w:val="nil"/>
              <w:left w:val="nil"/>
              <w:bottom w:val="single" w:sz="4" w:space="0" w:color="auto"/>
              <w:right w:val="nil"/>
            </w:tcBorders>
            <w:shd w:val="clear" w:color="auto" w:fill="auto"/>
            <w:vAlign w:val="center"/>
          </w:tcPr>
          <w:p w14:paraId="6C4AF78E" w14:textId="378DE035" w:rsidR="002B6C07" w:rsidRPr="00176BA0" w:rsidRDefault="002B6C07" w:rsidP="002B6C07">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589,78</w:t>
            </w:r>
          </w:p>
        </w:tc>
        <w:tc>
          <w:tcPr>
            <w:tcW w:w="679" w:type="pct"/>
            <w:tcBorders>
              <w:top w:val="nil"/>
              <w:left w:val="nil"/>
              <w:bottom w:val="single" w:sz="4" w:space="0" w:color="auto"/>
              <w:right w:val="nil"/>
            </w:tcBorders>
            <w:shd w:val="clear" w:color="auto" w:fill="auto"/>
            <w:vAlign w:val="center"/>
            <w:hideMark/>
          </w:tcPr>
          <w:p w14:paraId="1307F980" w14:textId="320CD1D4" w:rsidR="002B6C07" w:rsidRPr="00176BA0" w:rsidRDefault="002B6C07" w:rsidP="002B6C07">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68,88</w:t>
            </w:r>
          </w:p>
        </w:tc>
        <w:tc>
          <w:tcPr>
            <w:tcW w:w="776" w:type="pct"/>
            <w:tcBorders>
              <w:top w:val="nil"/>
              <w:left w:val="nil"/>
              <w:bottom w:val="single" w:sz="4" w:space="0" w:color="auto"/>
              <w:right w:val="nil"/>
            </w:tcBorders>
            <w:shd w:val="clear" w:color="auto" w:fill="auto"/>
            <w:vAlign w:val="center"/>
          </w:tcPr>
          <w:p w14:paraId="33FB612B" w14:textId="15F33D95" w:rsidR="002B6C07" w:rsidRPr="00176BA0" w:rsidRDefault="002B6C07" w:rsidP="002B6C07">
            <w:pPr>
              <w:keepNext/>
              <w:keepLines/>
              <w:jc w:val="right"/>
              <w:rPr>
                <w:b/>
                <w:bCs/>
                <w:sz w:val="18"/>
                <w:szCs w:val="18"/>
              </w:rPr>
            </w:pPr>
            <w:r w:rsidRPr="00176BA0">
              <w:rPr>
                <w:b/>
                <w:bCs/>
                <w:sz w:val="18"/>
                <w:szCs w:val="18"/>
              </w:rPr>
              <w:t>10.979.467,48</w:t>
            </w:r>
          </w:p>
        </w:tc>
        <w:tc>
          <w:tcPr>
            <w:tcW w:w="776" w:type="pct"/>
            <w:tcBorders>
              <w:top w:val="nil"/>
              <w:left w:val="nil"/>
              <w:bottom w:val="single" w:sz="4" w:space="0" w:color="auto"/>
              <w:right w:val="nil"/>
            </w:tcBorders>
            <w:shd w:val="clear" w:color="auto" w:fill="auto"/>
            <w:vAlign w:val="center"/>
            <w:hideMark/>
          </w:tcPr>
          <w:p w14:paraId="4DCB74E7" w14:textId="7EB7F0BD" w:rsidR="002B6C07" w:rsidRPr="00176BA0" w:rsidRDefault="002B6C07" w:rsidP="002B6C07">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b/>
                <w:bCs/>
                <w:sz w:val="18"/>
                <w:szCs w:val="18"/>
              </w:rPr>
              <w:t>3.451.670,34</w:t>
            </w:r>
          </w:p>
        </w:tc>
      </w:tr>
    </w:tbl>
    <w:p w14:paraId="5EA1DA0F" w14:textId="6FA26560" w:rsidR="006220A2" w:rsidRPr="0083433F" w:rsidRDefault="006D5571" w:rsidP="003254FA">
      <w:pPr>
        <w:keepNext/>
        <w:keepLines/>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rPr>
      </w:pPr>
      <w:r>
        <w:rPr>
          <w:i/>
          <w:sz w:val="20"/>
          <w:szCs w:val="22"/>
          <w:u w:val="single"/>
        </w:rPr>
        <w:t>Pasivos financieros a coste amortizado</w:t>
      </w:r>
    </w:p>
    <w:p w14:paraId="023750FD" w14:textId="006EADF1" w:rsidR="006220A2"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 xml:space="preserve">Su detalle </w:t>
      </w:r>
      <w:r w:rsidR="0063457A" w:rsidRPr="005644E5">
        <w:rPr>
          <w:snapToGrid w:val="0"/>
          <w:sz w:val="20"/>
          <w:szCs w:val="22"/>
        </w:rPr>
        <w:t xml:space="preserve">a 31 de diciembre de </w:t>
      </w:r>
      <w:r w:rsidR="009527C4" w:rsidRPr="005644E5">
        <w:rPr>
          <w:snapToGrid w:val="0"/>
          <w:sz w:val="20"/>
          <w:szCs w:val="22"/>
        </w:rPr>
        <w:t>202</w:t>
      </w:r>
      <w:r w:rsidR="006D5571" w:rsidRPr="005644E5">
        <w:rPr>
          <w:snapToGrid w:val="0"/>
          <w:sz w:val="20"/>
          <w:szCs w:val="22"/>
        </w:rPr>
        <w:t>1</w:t>
      </w:r>
      <w:r w:rsidR="009527C4" w:rsidRPr="005644E5">
        <w:rPr>
          <w:snapToGrid w:val="0"/>
          <w:sz w:val="20"/>
          <w:szCs w:val="22"/>
        </w:rPr>
        <w:t xml:space="preserve"> y 20</w:t>
      </w:r>
      <w:r w:rsidR="006D5571" w:rsidRPr="005644E5">
        <w:rPr>
          <w:snapToGrid w:val="0"/>
          <w:sz w:val="20"/>
          <w:szCs w:val="22"/>
        </w:rPr>
        <w:t>20</w:t>
      </w:r>
      <w:r w:rsidRPr="005644E5">
        <w:rPr>
          <w:snapToGrid w:val="0"/>
          <w:sz w:val="20"/>
          <w:szCs w:val="22"/>
        </w:rPr>
        <w:t xml:space="preserve"> se indica a continuación:</w:t>
      </w:r>
    </w:p>
    <w:tbl>
      <w:tblPr>
        <w:tblW w:w="5000" w:type="pct"/>
        <w:tblCellMar>
          <w:left w:w="70" w:type="dxa"/>
          <w:right w:w="70" w:type="dxa"/>
        </w:tblCellMar>
        <w:tblLook w:val="04A0" w:firstRow="1" w:lastRow="0" w:firstColumn="1" w:lastColumn="0" w:noHBand="0" w:noVBand="1"/>
      </w:tblPr>
      <w:tblGrid>
        <w:gridCol w:w="3572"/>
        <w:gridCol w:w="1200"/>
        <w:gridCol w:w="1203"/>
        <w:gridCol w:w="1403"/>
        <w:gridCol w:w="1403"/>
      </w:tblGrid>
      <w:tr w:rsidR="009527C4" w:rsidRPr="00176BA0" w14:paraId="14B96A76" w14:textId="77777777" w:rsidTr="00176BA0">
        <w:trPr>
          <w:trHeight w:val="283"/>
        </w:trPr>
        <w:tc>
          <w:tcPr>
            <w:tcW w:w="1917" w:type="pct"/>
            <w:tcBorders>
              <w:top w:val="single" w:sz="4" w:space="0" w:color="auto"/>
              <w:left w:val="nil"/>
              <w:bottom w:val="nil"/>
              <w:right w:val="nil"/>
            </w:tcBorders>
            <w:shd w:val="clear" w:color="auto" w:fill="auto"/>
            <w:noWrap/>
            <w:vAlign w:val="center"/>
            <w:hideMark/>
          </w:tcPr>
          <w:p w14:paraId="1F2A9DBA" w14:textId="77777777" w:rsidR="009527C4" w:rsidRPr="00176BA0"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3083" w:type="pct"/>
            <w:gridSpan w:val="4"/>
            <w:tcBorders>
              <w:top w:val="single" w:sz="4" w:space="0" w:color="auto"/>
              <w:left w:val="nil"/>
              <w:bottom w:val="single" w:sz="4" w:space="0" w:color="auto"/>
              <w:right w:val="nil"/>
            </w:tcBorders>
            <w:shd w:val="clear" w:color="auto" w:fill="auto"/>
            <w:noWrap/>
            <w:vAlign w:val="bottom"/>
            <w:hideMark/>
          </w:tcPr>
          <w:p w14:paraId="40F1BBAB" w14:textId="77777777" w:rsidR="009527C4" w:rsidRPr="00176BA0"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Euros</w:t>
            </w:r>
          </w:p>
        </w:tc>
      </w:tr>
      <w:tr w:rsidR="009527C4" w:rsidRPr="00176BA0" w14:paraId="533ECCEA" w14:textId="77777777" w:rsidTr="00176BA0">
        <w:trPr>
          <w:trHeight w:val="283"/>
        </w:trPr>
        <w:tc>
          <w:tcPr>
            <w:tcW w:w="1917" w:type="pct"/>
            <w:tcBorders>
              <w:top w:val="nil"/>
              <w:left w:val="nil"/>
              <w:bottom w:val="nil"/>
              <w:right w:val="nil"/>
            </w:tcBorders>
            <w:shd w:val="clear" w:color="auto" w:fill="auto"/>
            <w:noWrap/>
            <w:vAlign w:val="center"/>
            <w:hideMark/>
          </w:tcPr>
          <w:p w14:paraId="2835F474" w14:textId="77777777" w:rsidR="009527C4" w:rsidRPr="00176BA0"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427" w:type="pct"/>
            <w:gridSpan w:val="2"/>
            <w:tcBorders>
              <w:top w:val="single" w:sz="4" w:space="0" w:color="auto"/>
              <w:left w:val="nil"/>
              <w:bottom w:val="single" w:sz="4" w:space="0" w:color="auto"/>
              <w:right w:val="nil"/>
            </w:tcBorders>
            <w:shd w:val="clear" w:color="auto" w:fill="auto"/>
            <w:noWrap/>
            <w:vAlign w:val="bottom"/>
            <w:hideMark/>
          </w:tcPr>
          <w:p w14:paraId="38EFD9D6" w14:textId="77777777" w:rsidR="009527C4" w:rsidRPr="00176BA0"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A largo plazo</w:t>
            </w:r>
          </w:p>
        </w:tc>
        <w:tc>
          <w:tcPr>
            <w:tcW w:w="1656" w:type="pct"/>
            <w:gridSpan w:val="2"/>
            <w:tcBorders>
              <w:top w:val="single" w:sz="4" w:space="0" w:color="auto"/>
              <w:left w:val="nil"/>
              <w:bottom w:val="single" w:sz="4" w:space="0" w:color="auto"/>
              <w:right w:val="nil"/>
            </w:tcBorders>
            <w:shd w:val="clear" w:color="auto" w:fill="auto"/>
            <w:noWrap/>
            <w:vAlign w:val="bottom"/>
            <w:hideMark/>
          </w:tcPr>
          <w:p w14:paraId="6484BC75" w14:textId="77777777" w:rsidR="009527C4" w:rsidRPr="00176BA0"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A corto plazo</w:t>
            </w:r>
          </w:p>
        </w:tc>
      </w:tr>
      <w:tr w:rsidR="006D5571" w:rsidRPr="00176BA0" w14:paraId="1763E4DD" w14:textId="77777777" w:rsidTr="00176BA0">
        <w:trPr>
          <w:trHeight w:val="283"/>
        </w:trPr>
        <w:tc>
          <w:tcPr>
            <w:tcW w:w="1917" w:type="pct"/>
            <w:tcBorders>
              <w:top w:val="nil"/>
              <w:left w:val="nil"/>
              <w:bottom w:val="single" w:sz="4" w:space="0" w:color="auto"/>
              <w:right w:val="nil"/>
            </w:tcBorders>
            <w:shd w:val="clear" w:color="auto" w:fill="auto"/>
            <w:noWrap/>
            <w:vAlign w:val="center"/>
            <w:hideMark/>
          </w:tcPr>
          <w:p w14:paraId="2B4802E1" w14:textId="77777777" w:rsidR="006D5571" w:rsidRPr="00176BA0"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713" w:type="pct"/>
            <w:tcBorders>
              <w:top w:val="nil"/>
              <w:left w:val="nil"/>
              <w:bottom w:val="single" w:sz="4" w:space="0" w:color="auto"/>
              <w:right w:val="nil"/>
            </w:tcBorders>
            <w:shd w:val="clear" w:color="auto" w:fill="auto"/>
            <w:noWrap/>
            <w:vAlign w:val="bottom"/>
            <w:hideMark/>
          </w:tcPr>
          <w:p w14:paraId="04A32B5D" w14:textId="2E07763B" w:rsidR="006D5571" w:rsidRPr="00176BA0"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31/12/2021</w:t>
            </w:r>
          </w:p>
        </w:tc>
        <w:tc>
          <w:tcPr>
            <w:tcW w:w="714" w:type="pct"/>
            <w:tcBorders>
              <w:top w:val="nil"/>
              <w:left w:val="nil"/>
              <w:bottom w:val="single" w:sz="4" w:space="0" w:color="auto"/>
              <w:right w:val="nil"/>
            </w:tcBorders>
            <w:shd w:val="clear" w:color="auto" w:fill="auto"/>
            <w:noWrap/>
            <w:vAlign w:val="bottom"/>
            <w:hideMark/>
          </w:tcPr>
          <w:p w14:paraId="02C3360D" w14:textId="27779022" w:rsidR="006D5571" w:rsidRPr="00176BA0"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31/12/2020</w:t>
            </w:r>
          </w:p>
        </w:tc>
        <w:tc>
          <w:tcPr>
            <w:tcW w:w="828" w:type="pct"/>
            <w:tcBorders>
              <w:top w:val="nil"/>
              <w:left w:val="nil"/>
              <w:bottom w:val="single" w:sz="4" w:space="0" w:color="auto"/>
              <w:right w:val="nil"/>
            </w:tcBorders>
            <w:shd w:val="clear" w:color="auto" w:fill="auto"/>
            <w:noWrap/>
            <w:vAlign w:val="bottom"/>
            <w:hideMark/>
          </w:tcPr>
          <w:p w14:paraId="15FD4B18" w14:textId="7452FC79" w:rsidR="006D5571" w:rsidRPr="00176BA0"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31/12/2021</w:t>
            </w:r>
          </w:p>
        </w:tc>
        <w:tc>
          <w:tcPr>
            <w:tcW w:w="828" w:type="pct"/>
            <w:tcBorders>
              <w:top w:val="nil"/>
              <w:left w:val="nil"/>
              <w:bottom w:val="single" w:sz="4" w:space="0" w:color="auto"/>
              <w:right w:val="nil"/>
            </w:tcBorders>
            <w:shd w:val="clear" w:color="auto" w:fill="auto"/>
            <w:noWrap/>
            <w:vAlign w:val="bottom"/>
            <w:hideMark/>
          </w:tcPr>
          <w:p w14:paraId="31369E4E" w14:textId="4472AEE8" w:rsidR="006D5571" w:rsidRPr="00176BA0"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31/12/2020</w:t>
            </w:r>
          </w:p>
        </w:tc>
      </w:tr>
      <w:tr w:rsidR="006D5571" w:rsidRPr="00176BA0" w14:paraId="3BEBADE4" w14:textId="77777777" w:rsidTr="00176BA0">
        <w:trPr>
          <w:trHeight w:val="283"/>
        </w:trPr>
        <w:tc>
          <w:tcPr>
            <w:tcW w:w="1917" w:type="pct"/>
            <w:tcBorders>
              <w:top w:val="nil"/>
              <w:left w:val="nil"/>
              <w:bottom w:val="nil"/>
              <w:right w:val="nil"/>
            </w:tcBorders>
            <w:shd w:val="clear" w:color="auto" w:fill="auto"/>
            <w:noWrap/>
            <w:vAlign w:val="center"/>
            <w:hideMark/>
          </w:tcPr>
          <w:p w14:paraId="6E4FB38C" w14:textId="2A6898CA" w:rsidR="006D5571" w:rsidRPr="00176BA0"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Pasivos financieros a coste amortizado:</w:t>
            </w:r>
          </w:p>
        </w:tc>
        <w:tc>
          <w:tcPr>
            <w:tcW w:w="713" w:type="pct"/>
            <w:tcBorders>
              <w:top w:val="nil"/>
              <w:left w:val="nil"/>
              <w:bottom w:val="nil"/>
              <w:right w:val="nil"/>
            </w:tcBorders>
            <w:shd w:val="clear" w:color="auto" w:fill="auto"/>
            <w:noWrap/>
            <w:vAlign w:val="center"/>
            <w:hideMark/>
          </w:tcPr>
          <w:p w14:paraId="02A7E3B8" w14:textId="77777777" w:rsidR="006D5571" w:rsidRPr="00176BA0"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714" w:type="pct"/>
            <w:tcBorders>
              <w:top w:val="nil"/>
              <w:left w:val="nil"/>
              <w:bottom w:val="nil"/>
              <w:right w:val="nil"/>
            </w:tcBorders>
            <w:shd w:val="clear" w:color="auto" w:fill="auto"/>
            <w:noWrap/>
            <w:vAlign w:val="center"/>
            <w:hideMark/>
          </w:tcPr>
          <w:p w14:paraId="7DD7C602" w14:textId="77777777" w:rsidR="006D5571" w:rsidRPr="00176BA0"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828" w:type="pct"/>
            <w:tcBorders>
              <w:top w:val="nil"/>
              <w:left w:val="nil"/>
              <w:bottom w:val="nil"/>
              <w:right w:val="nil"/>
            </w:tcBorders>
            <w:shd w:val="clear" w:color="auto" w:fill="auto"/>
            <w:noWrap/>
            <w:vAlign w:val="center"/>
          </w:tcPr>
          <w:p w14:paraId="59D43576" w14:textId="77777777" w:rsidR="006D5571" w:rsidRPr="00176BA0"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828" w:type="pct"/>
            <w:tcBorders>
              <w:top w:val="nil"/>
              <w:left w:val="nil"/>
              <w:bottom w:val="nil"/>
              <w:right w:val="nil"/>
            </w:tcBorders>
            <w:shd w:val="clear" w:color="auto" w:fill="auto"/>
            <w:noWrap/>
            <w:vAlign w:val="center"/>
            <w:hideMark/>
          </w:tcPr>
          <w:p w14:paraId="3D13CEA7" w14:textId="77777777" w:rsidR="006D5571" w:rsidRPr="00176BA0"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r>
      <w:tr w:rsidR="009C2A23" w:rsidRPr="00176BA0" w14:paraId="2959292E" w14:textId="77777777" w:rsidTr="00176BA0">
        <w:trPr>
          <w:trHeight w:val="283"/>
        </w:trPr>
        <w:tc>
          <w:tcPr>
            <w:tcW w:w="1917" w:type="pct"/>
            <w:tcBorders>
              <w:top w:val="nil"/>
              <w:left w:val="nil"/>
              <w:bottom w:val="nil"/>
              <w:right w:val="nil"/>
            </w:tcBorders>
            <w:shd w:val="clear" w:color="auto" w:fill="auto"/>
            <w:noWrap/>
            <w:vAlign w:val="center"/>
            <w:hideMark/>
          </w:tcPr>
          <w:p w14:paraId="5B7AD9C5" w14:textId="77777777"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Deudas con entidades de crédito</w:t>
            </w:r>
          </w:p>
        </w:tc>
        <w:tc>
          <w:tcPr>
            <w:tcW w:w="713" w:type="pct"/>
            <w:tcBorders>
              <w:top w:val="nil"/>
              <w:left w:val="nil"/>
              <w:bottom w:val="nil"/>
              <w:right w:val="nil"/>
            </w:tcBorders>
            <w:shd w:val="clear" w:color="auto" w:fill="auto"/>
            <w:noWrap/>
            <w:vAlign w:val="center"/>
            <w:hideMark/>
          </w:tcPr>
          <w:p w14:paraId="13014185" w14:textId="77777777"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 -</w:t>
            </w:r>
          </w:p>
        </w:tc>
        <w:tc>
          <w:tcPr>
            <w:tcW w:w="714" w:type="pct"/>
            <w:tcBorders>
              <w:top w:val="nil"/>
              <w:left w:val="nil"/>
              <w:bottom w:val="nil"/>
              <w:right w:val="nil"/>
            </w:tcBorders>
            <w:shd w:val="clear" w:color="auto" w:fill="auto"/>
            <w:noWrap/>
            <w:vAlign w:val="center"/>
            <w:hideMark/>
          </w:tcPr>
          <w:p w14:paraId="323B54D2" w14:textId="4C59279C"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 -</w:t>
            </w:r>
          </w:p>
        </w:tc>
        <w:tc>
          <w:tcPr>
            <w:tcW w:w="828" w:type="pct"/>
            <w:tcBorders>
              <w:top w:val="nil"/>
              <w:left w:val="nil"/>
              <w:bottom w:val="nil"/>
              <w:right w:val="nil"/>
            </w:tcBorders>
            <w:shd w:val="clear" w:color="auto" w:fill="auto"/>
            <w:noWrap/>
            <w:vAlign w:val="center"/>
          </w:tcPr>
          <w:p w14:paraId="2931DD66" w14:textId="23A8B30C"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589,78</w:t>
            </w:r>
          </w:p>
        </w:tc>
        <w:tc>
          <w:tcPr>
            <w:tcW w:w="828" w:type="pct"/>
            <w:tcBorders>
              <w:top w:val="nil"/>
              <w:left w:val="nil"/>
              <w:bottom w:val="nil"/>
              <w:right w:val="nil"/>
            </w:tcBorders>
            <w:shd w:val="clear" w:color="auto" w:fill="auto"/>
            <w:noWrap/>
            <w:vAlign w:val="center"/>
            <w:hideMark/>
          </w:tcPr>
          <w:p w14:paraId="7907551D" w14:textId="4888ECF7"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68,88</w:t>
            </w:r>
          </w:p>
        </w:tc>
      </w:tr>
      <w:tr w:rsidR="009C2A23" w:rsidRPr="00176BA0" w14:paraId="1F86DF62" w14:textId="77777777" w:rsidTr="00176BA0">
        <w:trPr>
          <w:trHeight w:val="283"/>
        </w:trPr>
        <w:tc>
          <w:tcPr>
            <w:tcW w:w="1917" w:type="pct"/>
            <w:tcBorders>
              <w:top w:val="nil"/>
              <w:left w:val="nil"/>
              <w:bottom w:val="nil"/>
              <w:right w:val="nil"/>
            </w:tcBorders>
            <w:shd w:val="clear" w:color="auto" w:fill="auto"/>
            <w:noWrap/>
            <w:vAlign w:val="center"/>
            <w:hideMark/>
          </w:tcPr>
          <w:p w14:paraId="5C8D9610" w14:textId="77777777"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Acreedores comerciales</w:t>
            </w:r>
          </w:p>
        </w:tc>
        <w:tc>
          <w:tcPr>
            <w:tcW w:w="713" w:type="pct"/>
            <w:tcBorders>
              <w:top w:val="nil"/>
              <w:left w:val="nil"/>
              <w:bottom w:val="nil"/>
              <w:right w:val="nil"/>
            </w:tcBorders>
            <w:shd w:val="clear" w:color="auto" w:fill="auto"/>
            <w:noWrap/>
            <w:vAlign w:val="center"/>
            <w:hideMark/>
          </w:tcPr>
          <w:p w14:paraId="3EC2C12C" w14:textId="77777777"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 -</w:t>
            </w:r>
          </w:p>
        </w:tc>
        <w:tc>
          <w:tcPr>
            <w:tcW w:w="714" w:type="pct"/>
            <w:tcBorders>
              <w:top w:val="nil"/>
              <w:left w:val="nil"/>
              <w:bottom w:val="nil"/>
              <w:right w:val="nil"/>
            </w:tcBorders>
            <w:shd w:val="clear" w:color="auto" w:fill="auto"/>
            <w:noWrap/>
            <w:vAlign w:val="center"/>
            <w:hideMark/>
          </w:tcPr>
          <w:p w14:paraId="50799B43" w14:textId="3722C812"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 -</w:t>
            </w:r>
          </w:p>
        </w:tc>
        <w:tc>
          <w:tcPr>
            <w:tcW w:w="828" w:type="pct"/>
            <w:tcBorders>
              <w:top w:val="nil"/>
              <w:left w:val="nil"/>
              <w:bottom w:val="nil"/>
              <w:right w:val="nil"/>
            </w:tcBorders>
            <w:shd w:val="clear" w:color="auto" w:fill="auto"/>
            <w:noWrap/>
            <w:vAlign w:val="center"/>
          </w:tcPr>
          <w:p w14:paraId="644630DB" w14:textId="19E98CC2" w:rsidR="009C2A23" w:rsidRPr="00176BA0" w:rsidRDefault="009C2A23" w:rsidP="009C2A23">
            <w:pPr>
              <w:jc w:val="right"/>
              <w:rPr>
                <w:sz w:val="18"/>
                <w:szCs w:val="18"/>
              </w:rPr>
            </w:pPr>
            <w:r w:rsidRPr="00176BA0">
              <w:rPr>
                <w:sz w:val="18"/>
                <w:szCs w:val="18"/>
              </w:rPr>
              <w:t>10.832.387,60</w:t>
            </w:r>
          </w:p>
        </w:tc>
        <w:tc>
          <w:tcPr>
            <w:tcW w:w="828" w:type="pct"/>
            <w:tcBorders>
              <w:top w:val="nil"/>
              <w:left w:val="nil"/>
              <w:bottom w:val="nil"/>
              <w:right w:val="nil"/>
            </w:tcBorders>
            <w:shd w:val="clear" w:color="auto" w:fill="auto"/>
            <w:noWrap/>
            <w:vAlign w:val="center"/>
            <w:hideMark/>
          </w:tcPr>
          <w:p w14:paraId="73CD2164" w14:textId="030A2DDA"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3.282.474,05</w:t>
            </w:r>
          </w:p>
        </w:tc>
      </w:tr>
      <w:tr w:rsidR="009C2A23" w:rsidRPr="00176BA0" w14:paraId="33EA766F" w14:textId="77777777" w:rsidTr="00176BA0">
        <w:trPr>
          <w:trHeight w:val="283"/>
        </w:trPr>
        <w:tc>
          <w:tcPr>
            <w:tcW w:w="1917" w:type="pct"/>
            <w:tcBorders>
              <w:top w:val="nil"/>
              <w:left w:val="nil"/>
              <w:bottom w:val="nil"/>
              <w:right w:val="nil"/>
            </w:tcBorders>
            <w:shd w:val="clear" w:color="auto" w:fill="auto"/>
            <w:noWrap/>
            <w:vAlign w:val="center"/>
            <w:hideMark/>
          </w:tcPr>
          <w:p w14:paraId="1434755E" w14:textId="77777777"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Fianzas</w:t>
            </w:r>
          </w:p>
        </w:tc>
        <w:tc>
          <w:tcPr>
            <w:tcW w:w="713" w:type="pct"/>
            <w:tcBorders>
              <w:top w:val="nil"/>
              <w:left w:val="nil"/>
              <w:right w:val="nil"/>
            </w:tcBorders>
            <w:shd w:val="clear" w:color="auto" w:fill="auto"/>
            <w:noWrap/>
            <w:vAlign w:val="center"/>
            <w:hideMark/>
          </w:tcPr>
          <w:p w14:paraId="3B87448E" w14:textId="77777777"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 -</w:t>
            </w:r>
          </w:p>
        </w:tc>
        <w:tc>
          <w:tcPr>
            <w:tcW w:w="714" w:type="pct"/>
            <w:tcBorders>
              <w:top w:val="nil"/>
              <w:left w:val="nil"/>
              <w:right w:val="nil"/>
            </w:tcBorders>
            <w:shd w:val="clear" w:color="auto" w:fill="auto"/>
            <w:noWrap/>
            <w:vAlign w:val="center"/>
            <w:hideMark/>
          </w:tcPr>
          <w:p w14:paraId="4F5DD846" w14:textId="6C07DB5C"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 -</w:t>
            </w:r>
          </w:p>
        </w:tc>
        <w:tc>
          <w:tcPr>
            <w:tcW w:w="828" w:type="pct"/>
            <w:tcBorders>
              <w:top w:val="nil"/>
              <w:left w:val="nil"/>
              <w:right w:val="nil"/>
            </w:tcBorders>
            <w:shd w:val="clear" w:color="auto" w:fill="auto"/>
            <w:noWrap/>
            <w:vAlign w:val="center"/>
          </w:tcPr>
          <w:p w14:paraId="5E3EC35B" w14:textId="2FC9A733" w:rsidR="009C2A23" w:rsidRPr="00176BA0" w:rsidRDefault="009C2A23" w:rsidP="009C2A23">
            <w:pPr>
              <w:jc w:val="right"/>
              <w:rPr>
                <w:sz w:val="18"/>
                <w:szCs w:val="18"/>
              </w:rPr>
            </w:pPr>
            <w:r w:rsidRPr="00176BA0">
              <w:rPr>
                <w:sz w:val="18"/>
                <w:szCs w:val="18"/>
              </w:rPr>
              <w:t>4.959,96</w:t>
            </w:r>
          </w:p>
        </w:tc>
        <w:tc>
          <w:tcPr>
            <w:tcW w:w="828" w:type="pct"/>
            <w:tcBorders>
              <w:top w:val="nil"/>
              <w:left w:val="nil"/>
              <w:right w:val="nil"/>
            </w:tcBorders>
            <w:shd w:val="clear" w:color="auto" w:fill="auto"/>
            <w:noWrap/>
            <w:vAlign w:val="center"/>
            <w:hideMark/>
          </w:tcPr>
          <w:p w14:paraId="28D9504E" w14:textId="2CF1F402"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5.057,36</w:t>
            </w:r>
          </w:p>
        </w:tc>
      </w:tr>
      <w:tr w:rsidR="009C2A23" w:rsidRPr="00176BA0" w14:paraId="7AB79CF6" w14:textId="77777777" w:rsidTr="00176BA0">
        <w:trPr>
          <w:trHeight w:val="283"/>
        </w:trPr>
        <w:tc>
          <w:tcPr>
            <w:tcW w:w="1917" w:type="pct"/>
            <w:tcBorders>
              <w:top w:val="nil"/>
              <w:left w:val="nil"/>
              <w:bottom w:val="nil"/>
              <w:right w:val="nil"/>
            </w:tcBorders>
            <w:shd w:val="clear" w:color="auto" w:fill="auto"/>
            <w:noWrap/>
            <w:vAlign w:val="center"/>
            <w:hideMark/>
          </w:tcPr>
          <w:p w14:paraId="44CE5FB5" w14:textId="77777777"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Personal</w:t>
            </w:r>
          </w:p>
        </w:tc>
        <w:tc>
          <w:tcPr>
            <w:tcW w:w="713" w:type="pct"/>
            <w:tcBorders>
              <w:top w:val="nil"/>
              <w:left w:val="nil"/>
              <w:right w:val="nil"/>
            </w:tcBorders>
            <w:shd w:val="clear" w:color="auto" w:fill="auto"/>
            <w:noWrap/>
            <w:vAlign w:val="center"/>
            <w:hideMark/>
          </w:tcPr>
          <w:p w14:paraId="3C3A855C" w14:textId="77777777"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 -</w:t>
            </w:r>
          </w:p>
        </w:tc>
        <w:tc>
          <w:tcPr>
            <w:tcW w:w="714" w:type="pct"/>
            <w:tcBorders>
              <w:top w:val="nil"/>
              <w:left w:val="nil"/>
              <w:right w:val="nil"/>
            </w:tcBorders>
            <w:shd w:val="clear" w:color="auto" w:fill="auto"/>
            <w:noWrap/>
            <w:vAlign w:val="center"/>
            <w:hideMark/>
          </w:tcPr>
          <w:p w14:paraId="2C1AF5C3" w14:textId="6F621CF5"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 -</w:t>
            </w:r>
          </w:p>
        </w:tc>
        <w:tc>
          <w:tcPr>
            <w:tcW w:w="828" w:type="pct"/>
            <w:tcBorders>
              <w:top w:val="nil"/>
              <w:left w:val="nil"/>
              <w:right w:val="nil"/>
            </w:tcBorders>
            <w:shd w:val="clear" w:color="auto" w:fill="auto"/>
            <w:noWrap/>
            <w:vAlign w:val="center"/>
          </w:tcPr>
          <w:p w14:paraId="2152FD6D" w14:textId="66201642" w:rsidR="009C2A23" w:rsidRPr="00176BA0" w:rsidRDefault="009C2A23" w:rsidP="009C2A23">
            <w:pPr>
              <w:jc w:val="right"/>
              <w:rPr>
                <w:sz w:val="18"/>
                <w:szCs w:val="18"/>
              </w:rPr>
            </w:pPr>
            <w:r w:rsidRPr="00176BA0">
              <w:rPr>
                <w:sz w:val="18"/>
                <w:szCs w:val="18"/>
              </w:rPr>
              <w:t>142.119,92</w:t>
            </w:r>
          </w:p>
        </w:tc>
        <w:tc>
          <w:tcPr>
            <w:tcW w:w="828" w:type="pct"/>
            <w:tcBorders>
              <w:top w:val="nil"/>
              <w:left w:val="nil"/>
              <w:right w:val="nil"/>
            </w:tcBorders>
            <w:shd w:val="clear" w:color="auto" w:fill="auto"/>
            <w:noWrap/>
            <w:vAlign w:val="center"/>
            <w:hideMark/>
          </w:tcPr>
          <w:p w14:paraId="07D1124C" w14:textId="58EF16C1"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164.138,93</w:t>
            </w:r>
          </w:p>
        </w:tc>
      </w:tr>
      <w:tr w:rsidR="009C2A23" w:rsidRPr="00176BA0" w14:paraId="4B4AE673" w14:textId="77777777" w:rsidTr="00176BA0">
        <w:trPr>
          <w:trHeight w:val="283"/>
        </w:trPr>
        <w:tc>
          <w:tcPr>
            <w:tcW w:w="1917" w:type="pct"/>
            <w:tcBorders>
              <w:top w:val="nil"/>
              <w:left w:val="nil"/>
              <w:bottom w:val="nil"/>
              <w:right w:val="nil"/>
            </w:tcBorders>
            <w:shd w:val="clear" w:color="auto" w:fill="auto"/>
            <w:noWrap/>
            <w:vAlign w:val="center"/>
          </w:tcPr>
          <w:p w14:paraId="116FC695" w14:textId="6635AD89"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Otros pasivos financieros</w:t>
            </w:r>
          </w:p>
        </w:tc>
        <w:tc>
          <w:tcPr>
            <w:tcW w:w="713" w:type="pct"/>
            <w:tcBorders>
              <w:left w:val="nil"/>
              <w:bottom w:val="single" w:sz="4" w:space="0" w:color="auto"/>
              <w:right w:val="nil"/>
            </w:tcBorders>
            <w:shd w:val="clear" w:color="auto" w:fill="auto"/>
            <w:noWrap/>
            <w:vAlign w:val="center"/>
          </w:tcPr>
          <w:p w14:paraId="0821FC5A" w14:textId="47231B24"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5.768,00</w:t>
            </w:r>
          </w:p>
        </w:tc>
        <w:tc>
          <w:tcPr>
            <w:tcW w:w="714" w:type="pct"/>
            <w:tcBorders>
              <w:left w:val="nil"/>
              <w:bottom w:val="single" w:sz="4" w:space="0" w:color="auto"/>
              <w:right w:val="nil"/>
            </w:tcBorders>
            <w:shd w:val="clear" w:color="auto" w:fill="auto"/>
            <w:noWrap/>
            <w:vAlign w:val="center"/>
          </w:tcPr>
          <w:p w14:paraId="1ADAC158" w14:textId="06519A06"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w:t>
            </w:r>
          </w:p>
        </w:tc>
        <w:tc>
          <w:tcPr>
            <w:tcW w:w="828" w:type="pct"/>
            <w:tcBorders>
              <w:left w:val="nil"/>
              <w:bottom w:val="single" w:sz="4" w:space="0" w:color="auto"/>
              <w:right w:val="nil"/>
            </w:tcBorders>
            <w:shd w:val="clear" w:color="auto" w:fill="auto"/>
            <w:noWrap/>
            <w:vAlign w:val="center"/>
          </w:tcPr>
          <w:p w14:paraId="55380CBB" w14:textId="7802CDCC" w:rsidR="009C2A23" w:rsidRPr="00176BA0" w:rsidRDefault="009C2A23" w:rsidP="009C2A23">
            <w:pPr>
              <w:jc w:val="right"/>
              <w:rPr>
                <w:sz w:val="18"/>
                <w:szCs w:val="18"/>
              </w:rPr>
            </w:pPr>
            <w:r w:rsidRPr="00176BA0">
              <w:rPr>
                <w:sz w:val="18"/>
                <w:szCs w:val="18"/>
              </w:rPr>
              <w:t xml:space="preserve"> -</w:t>
            </w:r>
          </w:p>
        </w:tc>
        <w:tc>
          <w:tcPr>
            <w:tcW w:w="828" w:type="pct"/>
            <w:tcBorders>
              <w:left w:val="nil"/>
              <w:bottom w:val="single" w:sz="4" w:space="0" w:color="auto"/>
              <w:right w:val="nil"/>
            </w:tcBorders>
            <w:shd w:val="clear" w:color="auto" w:fill="auto"/>
            <w:noWrap/>
            <w:vAlign w:val="center"/>
          </w:tcPr>
          <w:p w14:paraId="624D51E0" w14:textId="344F5270"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sidRPr="00176BA0">
              <w:rPr>
                <w:sz w:val="18"/>
                <w:szCs w:val="18"/>
              </w:rPr>
              <w:t>-</w:t>
            </w:r>
          </w:p>
        </w:tc>
      </w:tr>
      <w:tr w:rsidR="009C2A23" w:rsidRPr="00176BA0" w14:paraId="2B89828C" w14:textId="77777777" w:rsidTr="00176BA0">
        <w:trPr>
          <w:trHeight w:val="283"/>
        </w:trPr>
        <w:tc>
          <w:tcPr>
            <w:tcW w:w="1917" w:type="pct"/>
            <w:tcBorders>
              <w:top w:val="single" w:sz="4" w:space="0" w:color="auto"/>
              <w:left w:val="nil"/>
              <w:bottom w:val="single" w:sz="4" w:space="0" w:color="auto"/>
              <w:right w:val="nil"/>
            </w:tcBorders>
            <w:shd w:val="clear" w:color="auto" w:fill="auto"/>
            <w:noWrap/>
            <w:vAlign w:val="center"/>
            <w:hideMark/>
          </w:tcPr>
          <w:p w14:paraId="710D81C6" w14:textId="77777777"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Total</w:t>
            </w:r>
          </w:p>
        </w:tc>
        <w:tc>
          <w:tcPr>
            <w:tcW w:w="713" w:type="pct"/>
            <w:tcBorders>
              <w:top w:val="nil"/>
              <w:left w:val="nil"/>
              <w:bottom w:val="single" w:sz="4" w:space="0" w:color="auto"/>
              <w:right w:val="nil"/>
            </w:tcBorders>
            <w:shd w:val="clear" w:color="auto" w:fill="auto"/>
            <w:noWrap/>
            <w:vAlign w:val="center"/>
            <w:hideMark/>
          </w:tcPr>
          <w:p w14:paraId="2E38853D" w14:textId="1058A3FC"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b/>
                <w:bCs/>
                <w:sz w:val="18"/>
                <w:szCs w:val="18"/>
              </w:rPr>
              <w:t>5.768,00</w:t>
            </w:r>
          </w:p>
        </w:tc>
        <w:tc>
          <w:tcPr>
            <w:tcW w:w="714" w:type="pct"/>
            <w:tcBorders>
              <w:top w:val="nil"/>
              <w:left w:val="nil"/>
              <w:bottom w:val="single" w:sz="4" w:space="0" w:color="auto"/>
              <w:right w:val="nil"/>
            </w:tcBorders>
            <w:shd w:val="clear" w:color="auto" w:fill="auto"/>
            <w:noWrap/>
            <w:vAlign w:val="center"/>
            <w:hideMark/>
          </w:tcPr>
          <w:p w14:paraId="495C35D3" w14:textId="24109948"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 xml:space="preserve"> -</w:t>
            </w:r>
          </w:p>
        </w:tc>
        <w:tc>
          <w:tcPr>
            <w:tcW w:w="828" w:type="pct"/>
            <w:tcBorders>
              <w:top w:val="nil"/>
              <w:left w:val="nil"/>
              <w:bottom w:val="single" w:sz="4" w:space="0" w:color="auto"/>
              <w:right w:val="nil"/>
            </w:tcBorders>
            <w:shd w:val="clear" w:color="auto" w:fill="auto"/>
            <w:noWrap/>
            <w:vAlign w:val="center"/>
          </w:tcPr>
          <w:p w14:paraId="7189B01F" w14:textId="1E9DF390" w:rsidR="009C2A23" w:rsidRPr="00176BA0" w:rsidRDefault="009C2A23" w:rsidP="009C2A23">
            <w:pPr>
              <w:jc w:val="right"/>
              <w:rPr>
                <w:b/>
                <w:bCs/>
                <w:sz w:val="18"/>
                <w:szCs w:val="18"/>
              </w:rPr>
            </w:pPr>
            <w:r w:rsidRPr="00176BA0">
              <w:rPr>
                <w:b/>
                <w:bCs/>
                <w:sz w:val="18"/>
                <w:szCs w:val="18"/>
              </w:rPr>
              <w:t>10.980.057,26</w:t>
            </w:r>
          </w:p>
        </w:tc>
        <w:tc>
          <w:tcPr>
            <w:tcW w:w="828" w:type="pct"/>
            <w:tcBorders>
              <w:top w:val="nil"/>
              <w:left w:val="nil"/>
              <w:bottom w:val="single" w:sz="4" w:space="0" w:color="auto"/>
              <w:right w:val="nil"/>
            </w:tcBorders>
            <w:shd w:val="clear" w:color="auto" w:fill="auto"/>
            <w:noWrap/>
            <w:vAlign w:val="center"/>
            <w:hideMark/>
          </w:tcPr>
          <w:p w14:paraId="4A36989C" w14:textId="6D671B40" w:rsidR="009C2A23" w:rsidRPr="00176BA0" w:rsidRDefault="009C2A23" w:rsidP="009C2A2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b/>
                <w:bCs/>
                <w:sz w:val="18"/>
                <w:szCs w:val="18"/>
              </w:rPr>
              <w:t>3.451.739,22</w:t>
            </w:r>
          </w:p>
        </w:tc>
      </w:tr>
    </w:tbl>
    <w:p w14:paraId="55620196" w14:textId="77777777" w:rsidR="006220A2"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 xml:space="preserve">El valor contable de las deudas a corto plazo se aproxima a su valor razonable, dado que el efecto del descuento no es significativo. </w:t>
      </w:r>
    </w:p>
    <w:p w14:paraId="2BE3B155" w14:textId="48C8A462" w:rsidR="006220A2"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El importe reflejado en el epígrafe de deudas con entidades de crédito recoge el importe de las Visas pendientes de pago a 31 de diciembre de 20</w:t>
      </w:r>
      <w:r w:rsidR="004F02E4" w:rsidRPr="005644E5">
        <w:rPr>
          <w:snapToGrid w:val="0"/>
          <w:sz w:val="20"/>
          <w:szCs w:val="22"/>
        </w:rPr>
        <w:t>2</w:t>
      </w:r>
      <w:r w:rsidR="006D5571" w:rsidRPr="005644E5">
        <w:rPr>
          <w:snapToGrid w:val="0"/>
          <w:sz w:val="20"/>
          <w:szCs w:val="22"/>
        </w:rPr>
        <w:t>1</w:t>
      </w:r>
      <w:r w:rsidRPr="005644E5">
        <w:rPr>
          <w:snapToGrid w:val="0"/>
          <w:sz w:val="20"/>
          <w:szCs w:val="22"/>
        </w:rPr>
        <w:t>.</w:t>
      </w:r>
    </w:p>
    <w:p w14:paraId="5916DB8D" w14:textId="77777777" w:rsidR="008D73BD" w:rsidRPr="005644E5" w:rsidRDefault="00C82F49" w:rsidP="005644E5">
      <w:pPr>
        <w:widowControl w:val="0"/>
        <w:spacing w:before="120" w:after="120" w:line="260" w:lineRule="exact"/>
        <w:ind w:left="284"/>
        <w:jc w:val="both"/>
        <w:outlineLvl w:val="9"/>
        <w:rPr>
          <w:snapToGrid w:val="0"/>
          <w:sz w:val="20"/>
          <w:szCs w:val="22"/>
        </w:rPr>
      </w:pPr>
      <w:r w:rsidRPr="005644E5">
        <w:rPr>
          <w:snapToGrid w:val="0"/>
          <w:sz w:val="20"/>
          <w:szCs w:val="22"/>
        </w:rPr>
        <w:t>Los importes de fianzas a largo y corto plazo corresponden a depósitos efectuados por los adjudicatarios de los contratos de prestación de servicios.</w:t>
      </w:r>
    </w:p>
    <w:p w14:paraId="5CF1899C" w14:textId="71FC6067" w:rsidR="008D73BD" w:rsidRPr="005644E5" w:rsidRDefault="008D73BD" w:rsidP="005644E5">
      <w:pPr>
        <w:widowControl w:val="0"/>
        <w:spacing w:before="120" w:after="120" w:line="260" w:lineRule="exact"/>
        <w:ind w:left="284"/>
        <w:jc w:val="both"/>
        <w:outlineLvl w:val="9"/>
        <w:rPr>
          <w:snapToGrid w:val="0"/>
          <w:sz w:val="20"/>
          <w:szCs w:val="22"/>
        </w:rPr>
      </w:pPr>
      <w:r w:rsidRPr="005644E5">
        <w:rPr>
          <w:snapToGrid w:val="0"/>
          <w:sz w:val="20"/>
          <w:szCs w:val="22"/>
        </w:rPr>
        <w:t>A 31 de diciembre de 20</w:t>
      </w:r>
      <w:r w:rsidR="004F02E4" w:rsidRPr="005644E5">
        <w:rPr>
          <w:snapToGrid w:val="0"/>
          <w:sz w:val="20"/>
          <w:szCs w:val="22"/>
        </w:rPr>
        <w:t>2</w:t>
      </w:r>
      <w:r w:rsidR="00472E15" w:rsidRPr="005644E5">
        <w:rPr>
          <w:snapToGrid w:val="0"/>
          <w:sz w:val="20"/>
          <w:szCs w:val="22"/>
        </w:rPr>
        <w:t>1</w:t>
      </w:r>
      <w:r w:rsidRPr="005644E5">
        <w:rPr>
          <w:snapToGrid w:val="0"/>
          <w:sz w:val="20"/>
          <w:szCs w:val="22"/>
        </w:rPr>
        <w:t xml:space="preserve"> </w:t>
      </w:r>
      <w:r w:rsidR="004B46C7" w:rsidRPr="005644E5">
        <w:rPr>
          <w:snapToGrid w:val="0"/>
          <w:sz w:val="20"/>
          <w:szCs w:val="22"/>
        </w:rPr>
        <w:t xml:space="preserve">y 2020 </w:t>
      </w:r>
      <w:r w:rsidRPr="005644E5">
        <w:rPr>
          <w:snapToGrid w:val="0"/>
          <w:sz w:val="20"/>
          <w:szCs w:val="22"/>
        </w:rPr>
        <w:t xml:space="preserve">la Sociedad </w:t>
      </w:r>
      <w:r w:rsidR="0030596B" w:rsidRPr="005644E5">
        <w:rPr>
          <w:snapToGrid w:val="0"/>
          <w:sz w:val="20"/>
          <w:szCs w:val="22"/>
        </w:rPr>
        <w:t>tiene</w:t>
      </w:r>
      <w:r w:rsidRPr="005644E5">
        <w:rPr>
          <w:snapToGrid w:val="0"/>
          <w:sz w:val="20"/>
          <w:szCs w:val="22"/>
        </w:rPr>
        <w:t xml:space="preserve"> registrad</w:t>
      </w:r>
      <w:r w:rsidR="003D1D1F" w:rsidRPr="005644E5">
        <w:rPr>
          <w:snapToGrid w:val="0"/>
          <w:sz w:val="20"/>
          <w:szCs w:val="22"/>
        </w:rPr>
        <w:t>a</w:t>
      </w:r>
      <w:r w:rsidRPr="005644E5">
        <w:rPr>
          <w:snapToGrid w:val="0"/>
          <w:sz w:val="20"/>
          <w:szCs w:val="22"/>
        </w:rPr>
        <w:t xml:space="preserve"> una provisión </w:t>
      </w:r>
      <w:r w:rsidR="00306D4F" w:rsidRPr="005644E5">
        <w:rPr>
          <w:snapToGrid w:val="0"/>
          <w:sz w:val="20"/>
          <w:szCs w:val="22"/>
        </w:rPr>
        <w:t xml:space="preserve">por los salarios minorados en 2010 por importe de </w:t>
      </w:r>
      <w:r w:rsidR="00615565" w:rsidRPr="005644E5">
        <w:rPr>
          <w:snapToGrid w:val="0"/>
          <w:sz w:val="20"/>
          <w:szCs w:val="22"/>
        </w:rPr>
        <w:t>54.854,98 euros (</w:t>
      </w:r>
      <w:r w:rsidR="00306D4F" w:rsidRPr="005644E5">
        <w:rPr>
          <w:snapToGrid w:val="0"/>
          <w:sz w:val="20"/>
          <w:szCs w:val="22"/>
        </w:rPr>
        <w:t>54.85</w:t>
      </w:r>
      <w:r w:rsidR="00615565" w:rsidRPr="005644E5">
        <w:rPr>
          <w:snapToGrid w:val="0"/>
          <w:sz w:val="20"/>
          <w:szCs w:val="22"/>
        </w:rPr>
        <w:t>5,47</w:t>
      </w:r>
      <w:r w:rsidR="00306D4F" w:rsidRPr="005644E5">
        <w:rPr>
          <w:snapToGrid w:val="0"/>
          <w:sz w:val="20"/>
          <w:szCs w:val="22"/>
        </w:rPr>
        <w:t xml:space="preserve"> euros</w:t>
      </w:r>
      <w:r w:rsidR="00615565" w:rsidRPr="005644E5">
        <w:rPr>
          <w:snapToGrid w:val="0"/>
          <w:sz w:val="20"/>
          <w:szCs w:val="22"/>
        </w:rPr>
        <w:t xml:space="preserve"> en 2020)</w:t>
      </w:r>
      <w:r w:rsidR="00306D4F" w:rsidRPr="005644E5">
        <w:rPr>
          <w:snapToGrid w:val="0"/>
          <w:sz w:val="20"/>
          <w:szCs w:val="22"/>
        </w:rPr>
        <w:t xml:space="preserve"> </w:t>
      </w:r>
      <w:r w:rsidRPr="005644E5">
        <w:rPr>
          <w:snapToGrid w:val="0"/>
          <w:sz w:val="20"/>
          <w:szCs w:val="22"/>
        </w:rPr>
        <w:t>correspondiente</w:t>
      </w:r>
      <w:r w:rsidR="00306D4F" w:rsidRPr="005644E5">
        <w:rPr>
          <w:snapToGrid w:val="0"/>
          <w:sz w:val="20"/>
          <w:szCs w:val="22"/>
        </w:rPr>
        <w:t>s</w:t>
      </w:r>
      <w:r w:rsidRPr="005644E5">
        <w:rPr>
          <w:snapToGrid w:val="0"/>
          <w:sz w:val="20"/>
          <w:szCs w:val="22"/>
        </w:rPr>
        <w:t xml:space="preserve"> al 5</w:t>
      </w:r>
      <w:r w:rsidR="00497BBB" w:rsidRPr="005644E5">
        <w:rPr>
          <w:snapToGrid w:val="0"/>
          <w:sz w:val="20"/>
          <w:szCs w:val="22"/>
        </w:rPr>
        <w:t>%</w:t>
      </w:r>
      <w:r w:rsidRPr="005644E5">
        <w:rPr>
          <w:snapToGrid w:val="0"/>
          <w:sz w:val="20"/>
          <w:szCs w:val="22"/>
        </w:rPr>
        <w:t xml:space="preserve"> del salario base, antigüedad y bolsa de vacaciones </w:t>
      </w:r>
      <w:r w:rsidR="00306D4F" w:rsidRPr="005644E5">
        <w:rPr>
          <w:snapToGrid w:val="0"/>
          <w:sz w:val="20"/>
          <w:szCs w:val="22"/>
        </w:rPr>
        <w:t>del ejercicio</w:t>
      </w:r>
      <w:r w:rsidRPr="005644E5">
        <w:rPr>
          <w:snapToGrid w:val="0"/>
          <w:sz w:val="20"/>
          <w:szCs w:val="22"/>
        </w:rPr>
        <w:t>, reconocida por la Dirección General de Planificación y Presupuestos del Gobierno de Canarias</w:t>
      </w:r>
      <w:r w:rsidR="00306D4F" w:rsidRPr="005644E5">
        <w:rPr>
          <w:snapToGrid w:val="0"/>
          <w:sz w:val="20"/>
          <w:szCs w:val="22"/>
        </w:rPr>
        <w:t>.</w:t>
      </w:r>
    </w:p>
    <w:p w14:paraId="39391A43" w14:textId="77777777" w:rsidR="006220A2" w:rsidRPr="0083433F" w:rsidRDefault="006220A2" w:rsidP="00AB4061">
      <w:pPr>
        <w:pStyle w:val="Ttulo5"/>
        <w:keepNext w:val="0"/>
        <w:tabs>
          <w:tab w:val="left" w:pos="284"/>
        </w:tabs>
        <w:spacing w:before="200"/>
        <w:rPr>
          <w:rFonts w:ascii="Arial" w:hAnsi="Arial" w:cs="Arial"/>
          <w:b/>
          <w:i/>
          <w:color w:val="auto"/>
          <w:sz w:val="20"/>
          <w:szCs w:val="22"/>
          <w:u w:val="single"/>
        </w:rPr>
      </w:pPr>
      <w:r w:rsidRPr="0083433F">
        <w:rPr>
          <w:rFonts w:ascii="Arial" w:hAnsi="Arial" w:cs="Arial"/>
          <w:i/>
          <w:color w:val="auto"/>
          <w:sz w:val="20"/>
          <w:szCs w:val="22"/>
          <w:u w:val="single"/>
        </w:rPr>
        <w:t>Acreedores comerciales</w:t>
      </w:r>
    </w:p>
    <w:p w14:paraId="5EB14817" w14:textId="77777777" w:rsidR="006220A2" w:rsidRPr="0083433F" w:rsidRDefault="006220A2" w:rsidP="005644E5">
      <w:pPr>
        <w:widowControl w:val="0"/>
        <w:spacing w:before="120" w:after="120" w:line="260" w:lineRule="exact"/>
        <w:ind w:left="284"/>
        <w:jc w:val="both"/>
        <w:outlineLvl w:val="9"/>
        <w:rPr>
          <w:snapToGrid w:val="0"/>
          <w:sz w:val="20"/>
          <w:szCs w:val="22"/>
        </w:rPr>
      </w:pPr>
      <w:r w:rsidRPr="0083433F">
        <w:rPr>
          <w:snapToGrid w:val="0"/>
          <w:sz w:val="20"/>
          <w:szCs w:val="22"/>
        </w:rPr>
        <w:t xml:space="preserve">La totalidad del saldo recogido en este epígrafe se debe a los saldos acreedores pendientes de pago que se desprenden de las actividades comerciales de la Sociedad. </w:t>
      </w:r>
    </w:p>
    <w:p w14:paraId="52278CB2" w14:textId="77777777" w:rsidR="006220A2" w:rsidRPr="0083433F" w:rsidRDefault="006220A2" w:rsidP="003254FA">
      <w:pPr>
        <w:keepNext/>
        <w:keepLines/>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u w:val="single"/>
        </w:rPr>
      </w:pPr>
      <w:r w:rsidRPr="0083433F">
        <w:rPr>
          <w:i/>
          <w:sz w:val="20"/>
          <w:szCs w:val="22"/>
          <w:u w:val="single"/>
        </w:rPr>
        <w:t>Clasificación por vencimiento</w:t>
      </w:r>
    </w:p>
    <w:p w14:paraId="524D698C" w14:textId="385F7AF2" w:rsidR="000715CB" w:rsidRPr="005644E5" w:rsidRDefault="006220A2" w:rsidP="005644E5">
      <w:pPr>
        <w:widowControl w:val="0"/>
        <w:spacing w:before="120" w:after="120" w:line="260" w:lineRule="exact"/>
        <w:ind w:left="284"/>
        <w:jc w:val="both"/>
        <w:outlineLvl w:val="9"/>
        <w:rPr>
          <w:snapToGrid w:val="0"/>
          <w:sz w:val="20"/>
          <w:szCs w:val="22"/>
        </w:rPr>
      </w:pPr>
      <w:r w:rsidRPr="005644E5">
        <w:rPr>
          <w:snapToGrid w:val="0"/>
          <w:sz w:val="20"/>
          <w:szCs w:val="22"/>
        </w:rPr>
        <w:t>Los importes de los instrumentos financieros de pasivo al cierre de 20</w:t>
      </w:r>
      <w:r w:rsidR="004F02E4" w:rsidRPr="005644E5">
        <w:rPr>
          <w:snapToGrid w:val="0"/>
          <w:sz w:val="20"/>
          <w:szCs w:val="22"/>
        </w:rPr>
        <w:t>2</w:t>
      </w:r>
      <w:r w:rsidR="00F241B7" w:rsidRPr="005644E5">
        <w:rPr>
          <w:snapToGrid w:val="0"/>
          <w:sz w:val="20"/>
          <w:szCs w:val="22"/>
        </w:rPr>
        <w:t>1</w:t>
      </w:r>
      <w:r w:rsidRPr="005644E5">
        <w:rPr>
          <w:snapToGrid w:val="0"/>
          <w:sz w:val="20"/>
          <w:szCs w:val="22"/>
        </w:rPr>
        <w:t xml:space="preserve"> son los siguientes:</w:t>
      </w:r>
    </w:p>
    <w:tbl>
      <w:tblPr>
        <w:tblW w:w="5000" w:type="pct"/>
        <w:tblCellMar>
          <w:left w:w="70" w:type="dxa"/>
          <w:right w:w="70" w:type="dxa"/>
        </w:tblCellMar>
        <w:tblLook w:val="04A0" w:firstRow="1" w:lastRow="0" w:firstColumn="1" w:lastColumn="0" w:noHBand="0" w:noVBand="1"/>
      </w:tblPr>
      <w:tblGrid>
        <w:gridCol w:w="2690"/>
        <w:gridCol w:w="1173"/>
        <w:gridCol w:w="525"/>
        <w:gridCol w:w="808"/>
        <w:gridCol w:w="622"/>
        <w:gridCol w:w="766"/>
        <w:gridCol w:w="1019"/>
        <w:gridCol w:w="1178"/>
      </w:tblGrid>
      <w:tr w:rsidR="000715CB" w:rsidRPr="00723F3F" w14:paraId="176A02E2" w14:textId="77777777" w:rsidTr="00723F3F">
        <w:trPr>
          <w:trHeight w:val="227"/>
        </w:trPr>
        <w:tc>
          <w:tcPr>
            <w:tcW w:w="5000" w:type="pct"/>
            <w:gridSpan w:val="8"/>
            <w:tcBorders>
              <w:top w:val="single" w:sz="4" w:space="0" w:color="auto"/>
              <w:left w:val="nil"/>
              <w:bottom w:val="single" w:sz="4" w:space="0" w:color="auto"/>
              <w:right w:val="nil"/>
            </w:tcBorders>
            <w:shd w:val="clear" w:color="auto" w:fill="auto"/>
            <w:vAlign w:val="bottom"/>
            <w:hideMark/>
          </w:tcPr>
          <w:p w14:paraId="7ED6F460" w14:textId="7777777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PASIVOS FINANCIEROS</w:t>
            </w:r>
          </w:p>
        </w:tc>
      </w:tr>
      <w:tr w:rsidR="004F02E4" w:rsidRPr="00723F3F" w14:paraId="3EC8A866" w14:textId="77777777" w:rsidTr="00176BA0">
        <w:trPr>
          <w:trHeight w:val="283"/>
        </w:trPr>
        <w:tc>
          <w:tcPr>
            <w:tcW w:w="1532" w:type="pct"/>
            <w:tcBorders>
              <w:top w:val="nil"/>
              <w:left w:val="nil"/>
              <w:bottom w:val="single" w:sz="4" w:space="0" w:color="auto"/>
              <w:right w:val="nil"/>
            </w:tcBorders>
            <w:shd w:val="clear" w:color="auto" w:fill="auto"/>
            <w:vAlign w:val="bottom"/>
            <w:hideMark/>
          </w:tcPr>
          <w:p w14:paraId="58FD6341" w14:textId="7777777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668" w:type="pct"/>
            <w:tcBorders>
              <w:top w:val="nil"/>
              <w:left w:val="nil"/>
              <w:bottom w:val="single" w:sz="4" w:space="0" w:color="auto"/>
              <w:right w:val="nil"/>
            </w:tcBorders>
            <w:shd w:val="clear" w:color="auto" w:fill="auto"/>
            <w:vAlign w:val="bottom"/>
            <w:hideMark/>
          </w:tcPr>
          <w:p w14:paraId="0BD59593" w14:textId="19E0249B"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w:t>
            </w:r>
            <w:r w:rsidR="006C6979">
              <w:rPr>
                <w:rFonts w:eastAsia="Times New Roman"/>
                <w:b/>
                <w:bCs/>
                <w:sz w:val="16"/>
                <w:szCs w:val="16"/>
                <w:bdr w:val="none" w:sz="0" w:space="0" w:color="auto"/>
                <w:lang w:eastAsia="es-ES"/>
              </w:rPr>
              <w:t>2</w:t>
            </w:r>
          </w:p>
        </w:tc>
        <w:tc>
          <w:tcPr>
            <w:tcW w:w="299" w:type="pct"/>
            <w:tcBorders>
              <w:top w:val="nil"/>
              <w:left w:val="nil"/>
              <w:bottom w:val="single" w:sz="4" w:space="0" w:color="auto"/>
              <w:right w:val="nil"/>
            </w:tcBorders>
            <w:shd w:val="clear" w:color="auto" w:fill="auto"/>
            <w:vAlign w:val="bottom"/>
            <w:hideMark/>
          </w:tcPr>
          <w:p w14:paraId="1BD7DD87" w14:textId="740D4CA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w:t>
            </w:r>
            <w:r w:rsidR="006C6979">
              <w:rPr>
                <w:rFonts w:eastAsia="Times New Roman"/>
                <w:b/>
                <w:bCs/>
                <w:sz w:val="16"/>
                <w:szCs w:val="16"/>
                <w:bdr w:val="none" w:sz="0" w:space="0" w:color="auto"/>
                <w:lang w:eastAsia="es-ES"/>
              </w:rPr>
              <w:t>3</w:t>
            </w:r>
          </w:p>
        </w:tc>
        <w:tc>
          <w:tcPr>
            <w:tcW w:w="460" w:type="pct"/>
            <w:tcBorders>
              <w:top w:val="nil"/>
              <w:left w:val="nil"/>
              <w:bottom w:val="single" w:sz="4" w:space="0" w:color="auto"/>
              <w:right w:val="nil"/>
            </w:tcBorders>
            <w:shd w:val="clear" w:color="auto" w:fill="auto"/>
            <w:vAlign w:val="bottom"/>
            <w:hideMark/>
          </w:tcPr>
          <w:p w14:paraId="435A5591" w14:textId="412CCE39"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w:t>
            </w:r>
            <w:r w:rsidR="006C6979">
              <w:rPr>
                <w:rFonts w:eastAsia="Times New Roman"/>
                <w:b/>
                <w:bCs/>
                <w:sz w:val="16"/>
                <w:szCs w:val="16"/>
                <w:bdr w:val="none" w:sz="0" w:space="0" w:color="auto"/>
                <w:lang w:eastAsia="es-ES"/>
              </w:rPr>
              <w:t>4</w:t>
            </w:r>
          </w:p>
        </w:tc>
        <w:tc>
          <w:tcPr>
            <w:tcW w:w="354" w:type="pct"/>
            <w:tcBorders>
              <w:top w:val="nil"/>
              <w:left w:val="nil"/>
              <w:bottom w:val="single" w:sz="4" w:space="0" w:color="auto"/>
              <w:right w:val="nil"/>
            </w:tcBorders>
            <w:shd w:val="clear" w:color="auto" w:fill="auto"/>
            <w:vAlign w:val="bottom"/>
            <w:hideMark/>
          </w:tcPr>
          <w:p w14:paraId="7B916720" w14:textId="1178B93B"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w:t>
            </w:r>
            <w:r w:rsidR="006C6979">
              <w:rPr>
                <w:rFonts w:eastAsia="Times New Roman"/>
                <w:b/>
                <w:bCs/>
                <w:sz w:val="16"/>
                <w:szCs w:val="16"/>
                <w:bdr w:val="none" w:sz="0" w:space="0" w:color="auto"/>
                <w:lang w:eastAsia="es-ES"/>
              </w:rPr>
              <w:t>5</w:t>
            </w:r>
          </w:p>
        </w:tc>
        <w:tc>
          <w:tcPr>
            <w:tcW w:w="436" w:type="pct"/>
            <w:tcBorders>
              <w:top w:val="nil"/>
              <w:left w:val="nil"/>
              <w:bottom w:val="single" w:sz="4" w:space="0" w:color="auto"/>
              <w:right w:val="nil"/>
            </w:tcBorders>
            <w:shd w:val="clear" w:color="auto" w:fill="auto"/>
            <w:vAlign w:val="bottom"/>
            <w:hideMark/>
          </w:tcPr>
          <w:p w14:paraId="142E3375" w14:textId="073B7886"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w:t>
            </w:r>
            <w:r w:rsidR="006C6979">
              <w:rPr>
                <w:rFonts w:eastAsia="Times New Roman"/>
                <w:b/>
                <w:bCs/>
                <w:sz w:val="16"/>
                <w:szCs w:val="16"/>
                <w:bdr w:val="none" w:sz="0" w:space="0" w:color="auto"/>
                <w:lang w:eastAsia="es-ES"/>
              </w:rPr>
              <w:t>6</w:t>
            </w:r>
          </w:p>
        </w:tc>
        <w:tc>
          <w:tcPr>
            <w:tcW w:w="580" w:type="pct"/>
            <w:tcBorders>
              <w:top w:val="nil"/>
              <w:left w:val="nil"/>
              <w:bottom w:val="single" w:sz="4" w:space="0" w:color="auto"/>
              <w:right w:val="nil"/>
            </w:tcBorders>
            <w:shd w:val="clear" w:color="auto" w:fill="auto"/>
            <w:vAlign w:val="bottom"/>
            <w:hideMark/>
          </w:tcPr>
          <w:p w14:paraId="4B78DAA8" w14:textId="7777777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+5 años</w:t>
            </w:r>
          </w:p>
        </w:tc>
        <w:tc>
          <w:tcPr>
            <w:tcW w:w="670" w:type="pct"/>
            <w:tcBorders>
              <w:top w:val="nil"/>
              <w:left w:val="nil"/>
              <w:bottom w:val="single" w:sz="4" w:space="0" w:color="auto"/>
              <w:right w:val="nil"/>
            </w:tcBorders>
            <w:shd w:val="clear" w:color="auto" w:fill="auto"/>
            <w:vAlign w:val="bottom"/>
            <w:hideMark/>
          </w:tcPr>
          <w:p w14:paraId="76693FFC" w14:textId="77777777" w:rsidR="000715CB" w:rsidRPr="00723F3F" w:rsidRDefault="000715CB" w:rsidP="005529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Total</w:t>
            </w:r>
          </w:p>
        </w:tc>
      </w:tr>
      <w:tr w:rsidR="005C29A2" w:rsidRPr="00723F3F" w14:paraId="78558DAE" w14:textId="77777777" w:rsidTr="00176BA0">
        <w:trPr>
          <w:trHeight w:val="283"/>
        </w:trPr>
        <w:tc>
          <w:tcPr>
            <w:tcW w:w="1532" w:type="pct"/>
            <w:tcBorders>
              <w:top w:val="nil"/>
              <w:left w:val="nil"/>
              <w:bottom w:val="single" w:sz="4" w:space="0" w:color="auto"/>
              <w:right w:val="nil"/>
            </w:tcBorders>
            <w:shd w:val="clear" w:color="auto" w:fill="auto"/>
            <w:vAlign w:val="center"/>
          </w:tcPr>
          <w:p w14:paraId="3BB47002" w14:textId="7BCF33A7"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6C6979">
              <w:rPr>
                <w:rFonts w:eastAsia="Times New Roman"/>
                <w:sz w:val="16"/>
                <w:szCs w:val="16"/>
                <w:bdr w:val="none" w:sz="0" w:space="0" w:color="auto"/>
                <w:lang w:eastAsia="es-ES"/>
              </w:rPr>
              <w:t>Deudas con entidades de</w:t>
            </w:r>
            <w:r>
              <w:rPr>
                <w:rFonts w:eastAsia="Times New Roman"/>
                <w:sz w:val="16"/>
                <w:szCs w:val="16"/>
                <w:bdr w:val="none" w:sz="0" w:space="0" w:color="auto"/>
                <w:lang w:eastAsia="es-ES"/>
              </w:rPr>
              <w:t xml:space="preserve"> </w:t>
            </w:r>
            <w:r w:rsidRPr="006C6979">
              <w:rPr>
                <w:rFonts w:eastAsia="Times New Roman"/>
                <w:sz w:val="16"/>
                <w:szCs w:val="16"/>
                <w:bdr w:val="none" w:sz="0" w:space="0" w:color="auto"/>
                <w:lang w:eastAsia="es-ES"/>
              </w:rPr>
              <w:t>crédito (Nota 8.</w:t>
            </w:r>
            <w:r>
              <w:rPr>
                <w:rFonts w:eastAsia="Times New Roman"/>
                <w:sz w:val="16"/>
                <w:szCs w:val="16"/>
                <w:bdr w:val="none" w:sz="0" w:space="0" w:color="auto"/>
                <w:lang w:eastAsia="es-ES"/>
              </w:rPr>
              <w:t>3</w:t>
            </w:r>
            <w:r w:rsidRPr="006C6979">
              <w:rPr>
                <w:rFonts w:eastAsia="Times New Roman"/>
                <w:sz w:val="16"/>
                <w:szCs w:val="16"/>
                <w:bdr w:val="none" w:sz="0" w:space="0" w:color="auto"/>
                <w:lang w:eastAsia="es-ES"/>
              </w:rPr>
              <w:t>.a)</w:t>
            </w:r>
          </w:p>
        </w:tc>
        <w:tc>
          <w:tcPr>
            <w:tcW w:w="668" w:type="pct"/>
            <w:tcBorders>
              <w:top w:val="nil"/>
              <w:left w:val="nil"/>
              <w:bottom w:val="single" w:sz="4" w:space="0" w:color="auto"/>
              <w:right w:val="nil"/>
            </w:tcBorders>
            <w:shd w:val="clear" w:color="auto" w:fill="auto"/>
            <w:vAlign w:val="center"/>
          </w:tcPr>
          <w:p w14:paraId="1439CB7B" w14:textId="08CC39A0"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rFonts w:eastAsia="Times New Roman"/>
                <w:sz w:val="16"/>
                <w:szCs w:val="16"/>
                <w:bdr w:val="none" w:sz="0" w:space="0" w:color="auto"/>
                <w:lang w:eastAsia="es-ES"/>
              </w:rPr>
              <w:t>589,78</w:t>
            </w:r>
          </w:p>
        </w:tc>
        <w:tc>
          <w:tcPr>
            <w:tcW w:w="299" w:type="pct"/>
            <w:tcBorders>
              <w:top w:val="nil"/>
              <w:left w:val="nil"/>
              <w:bottom w:val="single" w:sz="4" w:space="0" w:color="auto"/>
              <w:right w:val="nil"/>
            </w:tcBorders>
            <w:shd w:val="clear" w:color="auto" w:fill="auto"/>
            <w:vAlign w:val="center"/>
          </w:tcPr>
          <w:p w14:paraId="083FDD7E" w14:textId="1DC388EE" w:rsidR="005C29A2" w:rsidRPr="005C29A2"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460" w:type="pct"/>
            <w:tcBorders>
              <w:top w:val="nil"/>
              <w:left w:val="nil"/>
              <w:bottom w:val="single" w:sz="4" w:space="0" w:color="auto"/>
              <w:right w:val="nil"/>
            </w:tcBorders>
            <w:shd w:val="clear" w:color="auto" w:fill="auto"/>
            <w:vAlign w:val="center"/>
          </w:tcPr>
          <w:p w14:paraId="1520D9E8" w14:textId="7168E1A8" w:rsidR="005C29A2" w:rsidRPr="005C29A2"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354" w:type="pct"/>
            <w:tcBorders>
              <w:top w:val="nil"/>
              <w:left w:val="nil"/>
              <w:bottom w:val="single" w:sz="4" w:space="0" w:color="auto"/>
              <w:right w:val="nil"/>
            </w:tcBorders>
            <w:shd w:val="clear" w:color="auto" w:fill="auto"/>
            <w:vAlign w:val="center"/>
          </w:tcPr>
          <w:p w14:paraId="2854566D" w14:textId="5FA5EA02" w:rsidR="005C29A2" w:rsidRPr="005C29A2"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436" w:type="pct"/>
            <w:tcBorders>
              <w:top w:val="nil"/>
              <w:left w:val="nil"/>
              <w:bottom w:val="single" w:sz="4" w:space="0" w:color="auto"/>
              <w:right w:val="nil"/>
            </w:tcBorders>
            <w:shd w:val="clear" w:color="auto" w:fill="auto"/>
            <w:vAlign w:val="center"/>
          </w:tcPr>
          <w:p w14:paraId="46844F77" w14:textId="7B0F31DA" w:rsidR="005C29A2" w:rsidRPr="005C29A2"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580" w:type="pct"/>
            <w:tcBorders>
              <w:top w:val="nil"/>
              <w:left w:val="nil"/>
              <w:bottom w:val="single" w:sz="4" w:space="0" w:color="auto"/>
              <w:right w:val="nil"/>
            </w:tcBorders>
            <w:shd w:val="clear" w:color="auto" w:fill="auto"/>
            <w:vAlign w:val="center"/>
          </w:tcPr>
          <w:p w14:paraId="5CE96717" w14:textId="10F88450" w:rsidR="005C29A2" w:rsidRPr="005C29A2"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670" w:type="pct"/>
            <w:tcBorders>
              <w:top w:val="nil"/>
              <w:left w:val="nil"/>
              <w:bottom w:val="single" w:sz="4" w:space="0" w:color="auto"/>
              <w:right w:val="nil"/>
            </w:tcBorders>
            <w:shd w:val="clear" w:color="auto" w:fill="auto"/>
            <w:vAlign w:val="center"/>
          </w:tcPr>
          <w:p w14:paraId="0124B58D" w14:textId="1DCB5D35"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rFonts w:eastAsia="Times New Roman"/>
                <w:sz w:val="16"/>
                <w:szCs w:val="16"/>
                <w:bdr w:val="none" w:sz="0" w:space="0" w:color="auto"/>
                <w:lang w:eastAsia="es-ES"/>
              </w:rPr>
              <w:t>589,78</w:t>
            </w:r>
          </w:p>
        </w:tc>
      </w:tr>
      <w:tr w:rsidR="005C29A2" w:rsidRPr="00723F3F" w14:paraId="22934B9C" w14:textId="77777777" w:rsidTr="00176BA0">
        <w:trPr>
          <w:trHeight w:val="283"/>
        </w:trPr>
        <w:tc>
          <w:tcPr>
            <w:tcW w:w="1532" w:type="pct"/>
            <w:tcBorders>
              <w:top w:val="nil"/>
              <w:left w:val="nil"/>
              <w:bottom w:val="single" w:sz="4" w:space="0" w:color="auto"/>
              <w:right w:val="nil"/>
            </w:tcBorders>
            <w:shd w:val="clear" w:color="auto" w:fill="auto"/>
            <w:vAlign w:val="bottom"/>
          </w:tcPr>
          <w:p w14:paraId="4CFEA888" w14:textId="240D79AB"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Pasivos financieros a coste amortizado a otras empresas (Nota 8.3.a)</w:t>
            </w:r>
          </w:p>
        </w:tc>
        <w:tc>
          <w:tcPr>
            <w:tcW w:w="668" w:type="pct"/>
            <w:tcBorders>
              <w:top w:val="nil"/>
              <w:left w:val="nil"/>
              <w:bottom w:val="single" w:sz="4" w:space="0" w:color="auto"/>
              <w:right w:val="nil"/>
            </w:tcBorders>
            <w:shd w:val="clear" w:color="auto" w:fill="auto"/>
            <w:vAlign w:val="center"/>
          </w:tcPr>
          <w:p w14:paraId="6094360E" w14:textId="518A5CD6"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sz w:val="16"/>
                <w:szCs w:val="16"/>
              </w:rPr>
              <w:t>10.979.467,48</w:t>
            </w:r>
          </w:p>
        </w:tc>
        <w:tc>
          <w:tcPr>
            <w:tcW w:w="299" w:type="pct"/>
            <w:tcBorders>
              <w:top w:val="nil"/>
              <w:left w:val="nil"/>
              <w:bottom w:val="single" w:sz="4" w:space="0" w:color="auto"/>
              <w:right w:val="nil"/>
            </w:tcBorders>
            <w:shd w:val="clear" w:color="auto" w:fill="auto"/>
            <w:vAlign w:val="center"/>
          </w:tcPr>
          <w:p w14:paraId="30EAB052" w14:textId="11128EBB" w:rsidR="005C29A2" w:rsidRPr="005C29A2"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460" w:type="pct"/>
            <w:tcBorders>
              <w:top w:val="nil"/>
              <w:left w:val="nil"/>
              <w:bottom w:val="single" w:sz="4" w:space="0" w:color="auto"/>
              <w:right w:val="nil"/>
            </w:tcBorders>
            <w:shd w:val="clear" w:color="auto" w:fill="auto"/>
            <w:vAlign w:val="center"/>
          </w:tcPr>
          <w:p w14:paraId="367B0F95" w14:textId="132FB4DC" w:rsidR="005C29A2" w:rsidRPr="005C29A2"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5.768,00</w:t>
            </w:r>
          </w:p>
        </w:tc>
        <w:tc>
          <w:tcPr>
            <w:tcW w:w="354" w:type="pct"/>
            <w:tcBorders>
              <w:top w:val="nil"/>
              <w:left w:val="nil"/>
              <w:bottom w:val="single" w:sz="4" w:space="0" w:color="auto"/>
              <w:right w:val="nil"/>
            </w:tcBorders>
            <w:shd w:val="clear" w:color="auto" w:fill="auto"/>
            <w:vAlign w:val="center"/>
          </w:tcPr>
          <w:p w14:paraId="2A11A025" w14:textId="0FFA667E" w:rsidR="005C29A2" w:rsidRPr="005C29A2"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436" w:type="pct"/>
            <w:tcBorders>
              <w:top w:val="nil"/>
              <w:left w:val="nil"/>
              <w:bottom w:val="single" w:sz="4" w:space="0" w:color="auto"/>
              <w:right w:val="nil"/>
            </w:tcBorders>
            <w:shd w:val="clear" w:color="auto" w:fill="auto"/>
            <w:vAlign w:val="center"/>
          </w:tcPr>
          <w:p w14:paraId="01397D31" w14:textId="143A98FD" w:rsidR="005C29A2" w:rsidRPr="005C29A2"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580" w:type="pct"/>
            <w:tcBorders>
              <w:top w:val="nil"/>
              <w:left w:val="nil"/>
              <w:bottom w:val="single" w:sz="4" w:space="0" w:color="auto"/>
              <w:right w:val="nil"/>
            </w:tcBorders>
            <w:shd w:val="clear" w:color="auto" w:fill="auto"/>
            <w:vAlign w:val="center"/>
          </w:tcPr>
          <w:p w14:paraId="15847ACC" w14:textId="270BD1A4" w:rsidR="005C29A2" w:rsidRPr="005C29A2"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670" w:type="pct"/>
            <w:tcBorders>
              <w:top w:val="nil"/>
              <w:left w:val="nil"/>
              <w:bottom w:val="single" w:sz="4" w:space="0" w:color="auto"/>
              <w:right w:val="nil"/>
            </w:tcBorders>
            <w:shd w:val="clear" w:color="auto" w:fill="auto"/>
            <w:vAlign w:val="center"/>
          </w:tcPr>
          <w:p w14:paraId="1667AE38" w14:textId="761EA7A6"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sz w:val="16"/>
                <w:szCs w:val="16"/>
              </w:rPr>
              <w:t>10.985.235,48</w:t>
            </w:r>
          </w:p>
        </w:tc>
      </w:tr>
      <w:tr w:rsidR="003722DE" w:rsidRPr="00723F3F" w14:paraId="7996F39F" w14:textId="77777777" w:rsidTr="00176BA0">
        <w:trPr>
          <w:trHeight w:val="283"/>
        </w:trPr>
        <w:tc>
          <w:tcPr>
            <w:tcW w:w="1532" w:type="pct"/>
            <w:tcBorders>
              <w:top w:val="nil"/>
              <w:left w:val="nil"/>
              <w:bottom w:val="single" w:sz="4" w:space="0" w:color="auto"/>
              <w:right w:val="nil"/>
            </w:tcBorders>
            <w:shd w:val="clear" w:color="auto" w:fill="auto"/>
            <w:vAlign w:val="center"/>
            <w:hideMark/>
          </w:tcPr>
          <w:p w14:paraId="267DEDF5" w14:textId="754071CB" w:rsidR="003722DE" w:rsidRPr="00F241B7"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sz w:val="16"/>
                <w:szCs w:val="16"/>
                <w:highlight w:val="yellow"/>
                <w:bdr w:val="none" w:sz="0" w:space="0" w:color="auto"/>
                <w:lang w:eastAsia="es-ES"/>
              </w:rPr>
            </w:pPr>
            <w:r w:rsidRPr="006C6979">
              <w:rPr>
                <w:rFonts w:eastAsia="Times New Roman"/>
                <w:b/>
                <w:sz w:val="16"/>
                <w:szCs w:val="16"/>
                <w:bdr w:val="none" w:sz="0" w:space="0" w:color="auto"/>
                <w:lang w:eastAsia="es-ES"/>
              </w:rPr>
              <w:t>Total</w:t>
            </w:r>
          </w:p>
        </w:tc>
        <w:tc>
          <w:tcPr>
            <w:tcW w:w="668" w:type="pct"/>
            <w:tcBorders>
              <w:top w:val="nil"/>
              <w:left w:val="nil"/>
              <w:bottom w:val="single" w:sz="4" w:space="0" w:color="auto"/>
              <w:right w:val="nil"/>
            </w:tcBorders>
            <w:shd w:val="clear" w:color="auto" w:fill="auto"/>
            <w:vAlign w:val="center"/>
          </w:tcPr>
          <w:p w14:paraId="481E86B4" w14:textId="23593FD1" w:rsidR="003722DE" w:rsidRPr="008E59B0" w:rsidRDefault="008E59B0" w:rsidP="003722DE">
            <w:pPr>
              <w:jc w:val="right"/>
              <w:rPr>
                <w:b/>
                <w:bCs/>
                <w:sz w:val="16"/>
                <w:szCs w:val="16"/>
              </w:rPr>
            </w:pPr>
            <w:r w:rsidRPr="008E59B0">
              <w:rPr>
                <w:b/>
                <w:bCs/>
                <w:sz w:val="16"/>
                <w:szCs w:val="16"/>
              </w:rPr>
              <w:t>10.980.057,26</w:t>
            </w:r>
          </w:p>
        </w:tc>
        <w:tc>
          <w:tcPr>
            <w:tcW w:w="299" w:type="pct"/>
            <w:tcBorders>
              <w:top w:val="nil"/>
              <w:left w:val="nil"/>
              <w:bottom w:val="single" w:sz="4" w:space="0" w:color="auto"/>
              <w:right w:val="nil"/>
            </w:tcBorders>
            <w:shd w:val="clear" w:color="auto" w:fill="auto"/>
            <w:vAlign w:val="center"/>
            <w:hideMark/>
          </w:tcPr>
          <w:p w14:paraId="562271CB" w14:textId="77777777" w:rsidR="003722DE" w:rsidRPr="008E59B0"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rFonts w:eastAsia="Times New Roman"/>
                <w:b/>
                <w:bCs/>
                <w:sz w:val="16"/>
                <w:szCs w:val="16"/>
                <w:bdr w:val="none" w:sz="0" w:space="0" w:color="auto"/>
                <w:lang w:eastAsia="es-ES"/>
              </w:rPr>
              <w:t xml:space="preserve"> -</w:t>
            </w:r>
          </w:p>
        </w:tc>
        <w:tc>
          <w:tcPr>
            <w:tcW w:w="460" w:type="pct"/>
            <w:tcBorders>
              <w:top w:val="nil"/>
              <w:left w:val="nil"/>
              <w:bottom w:val="single" w:sz="4" w:space="0" w:color="auto"/>
              <w:right w:val="nil"/>
            </w:tcBorders>
            <w:shd w:val="clear" w:color="auto" w:fill="auto"/>
            <w:vAlign w:val="center"/>
            <w:hideMark/>
          </w:tcPr>
          <w:p w14:paraId="027460C0" w14:textId="023D3889" w:rsidR="003722DE" w:rsidRPr="008E59B0" w:rsidRDefault="008E59B0"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rFonts w:eastAsia="Times New Roman"/>
                <w:b/>
                <w:bCs/>
                <w:sz w:val="16"/>
                <w:szCs w:val="16"/>
                <w:bdr w:val="none" w:sz="0" w:space="0" w:color="auto"/>
                <w:lang w:eastAsia="es-ES"/>
              </w:rPr>
              <w:t>5.768,00</w:t>
            </w:r>
          </w:p>
        </w:tc>
        <w:tc>
          <w:tcPr>
            <w:tcW w:w="354" w:type="pct"/>
            <w:tcBorders>
              <w:top w:val="nil"/>
              <w:left w:val="nil"/>
              <w:bottom w:val="single" w:sz="4" w:space="0" w:color="auto"/>
              <w:right w:val="nil"/>
            </w:tcBorders>
            <w:shd w:val="clear" w:color="auto" w:fill="auto"/>
            <w:vAlign w:val="center"/>
            <w:hideMark/>
          </w:tcPr>
          <w:p w14:paraId="45B05DB9" w14:textId="77777777" w:rsidR="003722DE" w:rsidRPr="008E59B0"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rFonts w:eastAsia="Times New Roman"/>
                <w:b/>
                <w:bCs/>
                <w:sz w:val="16"/>
                <w:szCs w:val="16"/>
                <w:bdr w:val="none" w:sz="0" w:space="0" w:color="auto"/>
                <w:lang w:eastAsia="es-ES"/>
              </w:rPr>
              <w:t xml:space="preserve"> -</w:t>
            </w:r>
          </w:p>
        </w:tc>
        <w:tc>
          <w:tcPr>
            <w:tcW w:w="436" w:type="pct"/>
            <w:tcBorders>
              <w:top w:val="nil"/>
              <w:left w:val="nil"/>
              <w:bottom w:val="single" w:sz="4" w:space="0" w:color="auto"/>
              <w:right w:val="nil"/>
            </w:tcBorders>
            <w:shd w:val="clear" w:color="auto" w:fill="auto"/>
            <w:vAlign w:val="center"/>
            <w:hideMark/>
          </w:tcPr>
          <w:p w14:paraId="1A084FFD" w14:textId="77777777" w:rsidR="003722DE" w:rsidRPr="008E59B0"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rFonts w:eastAsia="Times New Roman"/>
                <w:b/>
                <w:bCs/>
                <w:sz w:val="16"/>
                <w:szCs w:val="16"/>
                <w:bdr w:val="none" w:sz="0" w:space="0" w:color="auto"/>
                <w:lang w:eastAsia="es-ES"/>
              </w:rPr>
              <w:t xml:space="preserve"> -</w:t>
            </w:r>
          </w:p>
        </w:tc>
        <w:tc>
          <w:tcPr>
            <w:tcW w:w="580" w:type="pct"/>
            <w:tcBorders>
              <w:top w:val="nil"/>
              <w:left w:val="nil"/>
              <w:bottom w:val="single" w:sz="4" w:space="0" w:color="auto"/>
              <w:right w:val="nil"/>
            </w:tcBorders>
            <w:shd w:val="clear" w:color="auto" w:fill="auto"/>
            <w:vAlign w:val="center"/>
            <w:hideMark/>
          </w:tcPr>
          <w:p w14:paraId="4BF155DB" w14:textId="77777777" w:rsidR="003722DE" w:rsidRPr="008E59B0" w:rsidRDefault="003722DE" w:rsidP="003722D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rFonts w:eastAsia="Times New Roman"/>
                <w:b/>
                <w:bCs/>
                <w:sz w:val="16"/>
                <w:szCs w:val="16"/>
                <w:bdr w:val="none" w:sz="0" w:space="0" w:color="auto"/>
                <w:lang w:eastAsia="es-ES"/>
              </w:rPr>
              <w:t xml:space="preserve"> -</w:t>
            </w:r>
          </w:p>
        </w:tc>
        <w:tc>
          <w:tcPr>
            <w:tcW w:w="670" w:type="pct"/>
            <w:tcBorders>
              <w:top w:val="nil"/>
              <w:left w:val="nil"/>
              <w:bottom w:val="single" w:sz="4" w:space="0" w:color="auto"/>
              <w:right w:val="nil"/>
            </w:tcBorders>
            <w:shd w:val="clear" w:color="auto" w:fill="auto"/>
            <w:vAlign w:val="center"/>
          </w:tcPr>
          <w:p w14:paraId="04778E33" w14:textId="4846E11E" w:rsidR="003722DE" w:rsidRPr="008E59B0" w:rsidRDefault="008E59B0" w:rsidP="008E59B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b/>
                <w:bCs/>
                <w:sz w:val="16"/>
                <w:szCs w:val="16"/>
              </w:rPr>
              <w:t>10.985.825,26</w:t>
            </w:r>
          </w:p>
        </w:tc>
      </w:tr>
    </w:tbl>
    <w:p w14:paraId="2F0D0456" w14:textId="445A6F0F" w:rsidR="006220A2" w:rsidRPr="005644E5" w:rsidRDefault="006220A2" w:rsidP="00176BA0">
      <w:pPr>
        <w:keepNext/>
        <w:keepLines/>
        <w:widowControl w:val="0"/>
        <w:spacing w:before="120" w:after="120" w:line="260" w:lineRule="exact"/>
        <w:ind w:left="284"/>
        <w:jc w:val="both"/>
        <w:outlineLvl w:val="9"/>
        <w:rPr>
          <w:snapToGrid w:val="0"/>
          <w:sz w:val="20"/>
          <w:szCs w:val="22"/>
        </w:rPr>
      </w:pPr>
      <w:r w:rsidRPr="005644E5">
        <w:rPr>
          <w:snapToGrid w:val="0"/>
          <w:sz w:val="20"/>
          <w:szCs w:val="22"/>
        </w:rPr>
        <w:lastRenderedPageBreak/>
        <w:t>Los importes de los instrumentos financieros de pasivo al cierre de 20</w:t>
      </w:r>
      <w:r w:rsidR="00F241B7" w:rsidRPr="005644E5">
        <w:rPr>
          <w:snapToGrid w:val="0"/>
          <w:sz w:val="20"/>
          <w:szCs w:val="22"/>
        </w:rPr>
        <w:t>20</w:t>
      </w:r>
      <w:r w:rsidRPr="005644E5">
        <w:rPr>
          <w:snapToGrid w:val="0"/>
          <w:sz w:val="20"/>
          <w:szCs w:val="22"/>
        </w:rPr>
        <w:t xml:space="preserve"> son los siguientes:</w:t>
      </w:r>
    </w:p>
    <w:tbl>
      <w:tblPr>
        <w:tblW w:w="5000" w:type="pct"/>
        <w:tblCellMar>
          <w:left w:w="70" w:type="dxa"/>
          <w:right w:w="70" w:type="dxa"/>
        </w:tblCellMar>
        <w:tblLook w:val="04A0" w:firstRow="1" w:lastRow="0" w:firstColumn="1" w:lastColumn="0" w:noHBand="0" w:noVBand="1"/>
      </w:tblPr>
      <w:tblGrid>
        <w:gridCol w:w="2690"/>
        <w:gridCol w:w="1173"/>
        <w:gridCol w:w="525"/>
        <w:gridCol w:w="808"/>
        <w:gridCol w:w="622"/>
        <w:gridCol w:w="766"/>
        <w:gridCol w:w="1019"/>
        <w:gridCol w:w="1178"/>
      </w:tblGrid>
      <w:tr w:rsidR="005C29A2" w:rsidRPr="00723F3F" w14:paraId="09020510" w14:textId="77777777" w:rsidTr="00D61675">
        <w:trPr>
          <w:trHeight w:val="227"/>
        </w:trPr>
        <w:tc>
          <w:tcPr>
            <w:tcW w:w="5000" w:type="pct"/>
            <w:gridSpan w:val="8"/>
            <w:tcBorders>
              <w:top w:val="single" w:sz="4" w:space="0" w:color="auto"/>
              <w:left w:val="nil"/>
              <w:bottom w:val="single" w:sz="4" w:space="0" w:color="auto"/>
              <w:right w:val="nil"/>
            </w:tcBorders>
            <w:shd w:val="clear" w:color="auto" w:fill="auto"/>
            <w:vAlign w:val="bottom"/>
            <w:hideMark/>
          </w:tcPr>
          <w:p w14:paraId="538AA5A8" w14:textId="77777777" w:rsidR="005C29A2" w:rsidRPr="00723F3F" w:rsidRDefault="005C29A2" w:rsidP="00176BA0">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PASIVOS FINANCIEROS</w:t>
            </w:r>
          </w:p>
        </w:tc>
      </w:tr>
      <w:tr w:rsidR="005C29A2" w:rsidRPr="00723F3F" w14:paraId="1B325850" w14:textId="77777777" w:rsidTr="00176BA0">
        <w:trPr>
          <w:trHeight w:val="283"/>
        </w:trPr>
        <w:tc>
          <w:tcPr>
            <w:tcW w:w="1532" w:type="pct"/>
            <w:tcBorders>
              <w:top w:val="nil"/>
              <w:left w:val="nil"/>
              <w:bottom w:val="single" w:sz="4" w:space="0" w:color="auto"/>
              <w:right w:val="nil"/>
            </w:tcBorders>
            <w:shd w:val="clear" w:color="auto" w:fill="auto"/>
            <w:vAlign w:val="bottom"/>
            <w:hideMark/>
          </w:tcPr>
          <w:p w14:paraId="2D88E0EC" w14:textId="77777777"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668" w:type="pct"/>
            <w:tcBorders>
              <w:top w:val="nil"/>
              <w:left w:val="nil"/>
              <w:bottom w:val="single" w:sz="4" w:space="0" w:color="auto"/>
              <w:right w:val="nil"/>
            </w:tcBorders>
            <w:shd w:val="clear" w:color="auto" w:fill="auto"/>
            <w:vAlign w:val="bottom"/>
            <w:hideMark/>
          </w:tcPr>
          <w:p w14:paraId="77299AB8" w14:textId="5F251190"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1</w:t>
            </w:r>
          </w:p>
        </w:tc>
        <w:tc>
          <w:tcPr>
            <w:tcW w:w="299" w:type="pct"/>
            <w:tcBorders>
              <w:top w:val="nil"/>
              <w:left w:val="nil"/>
              <w:bottom w:val="single" w:sz="4" w:space="0" w:color="auto"/>
              <w:right w:val="nil"/>
            </w:tcBorders>
            <w:shd w:val="clear" w:color="auto" w:fill="auto"/>
            <w:vAlign w:val="bottom"/>
            <w:hideMark/>
          </w:tcPr>
          <w:p w14:paraId="12216EA5" w14:textId="12A813EC"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2</w:t>
            </w:r>
          </w:p>
        </w:tc>
        <w:tc>
          <w:tcPr>
            <w:tcW w:w="460" w:type="pct"/>
            <w:tcBorders>
              <w:top w:val="nil"/>
              <w:left w:val="nil"/>
              <w:bottom w:val="single" w:sz="4" w:space="0" w:color="auto"/>
              <w:right w:val="nil"/>
            </w:tcBorders>
            <w:shd w:val="clear" w:color="auto" w:fill="auto"/>
            <w:vAlign w:val="bottom"/>
            <w:hideMark/>
          </w:tcPr>
          <w:p w14:paraId="279E75B4" w14:textId="05D5BDC2"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3</w:t>
            </w:r>
          </w:p>
        </w:tc>
        <w:tc>
          <w:tcPr>
            <w:tcW w:w="354" w:type="pct"/>
            <w:tcBorders>
              <w:top w:val="nil"/>
              <w:left w:val="nil"/>
              <w:bottom w:val="single" w:sz="4" w:space="0" w:color="auto"/>
              <w:right w:val="nil"/>
            </w:tcBorders>
            <w:shd w:val="clear" w:color="auto" w:fill="auto"/>
            <w:vAlign w:val="bottom"/>
            <w:hideMark/>
          </w:tcPr>
          <w:p w14:paraId="051631FE" w14:textId="0FAEA70F"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4</w:t>
            </w:r>
          </w:p>
        </w:tc>
        <w:tc>
          <w:tcPr>
            <w:tcW w:w="436" w:type="pct"/>
            <w:tcBorders>
              <w:top w:val="nil"/>
              <w:left w:val="nil"/>
              <w:bottom w:val="single" w:sz="4" w:space="0" w:color="auto"/>
              <w:right w:val="nil"/>
            </w:tcBorders>
            <w:shd w:val="clear" w:color="auto" w:fill="auto"/>
            <w:vAlign w:val="bottom"/>
            <w:hideMark/>
          </w:tcPr>
          <w:p w14:paraId="3F888835" w14:textId="034F4F41"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5</w:t>
            </w:r>
          </w:p>
        </w:tc>
        <w:tc>
          <w:tcPr>
            <w:tcW w:w="580" w:type="pct"/>
            <w:tcBorders>
              <w:top w:val="nil"/>
              <w:left w:val="nil"/>
              <w:bottom w:val="single" w:sz="4" w:space="0" w:color="auto"/>
              <w:right w:val="nil"/>
            </w:tcBorders>
            <w:shd w:val="clear" w:color="auto" w:fill="auto"/>
            <w:vAlign w:val="bottom"/>
            <w:hideMark/>
          </w:tcPr>
          <w:p w14:paraId="73DE362A" w14:textId="77777777"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+5 años</w:t>
            </w:r>
          </w:p>
        </w:tc>
        <w:tc>
          <w:tcPr>
            <w:tcW w:w="671" w:type="pct"/>
            <w:tcBorders>
              <w:top w:val="nil"/>
              <w:left w:val="nil"/>
              <w:bottom w:val="single" w:sz="4" w:space="0" w:color="auto"/>
              <w:right w:val="nil"/>
            </w:tcBorders>
            <w:shd w:val="clear" w:color="auto" w:fill="auto"/>
            <w:vAlign w:val="bottom"/>
            <w:hideMark/>
          </w:tcPr>
          <w:p w14:paraId="2ED0CC17" w14:textId="77777777" w:rsidR="005C29A2" w:rsidRPr="00723F3F" w:rsidRDefault="005C29A2" w:rsidP="005C29A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3F3F">
              <w:rPr>
                <w:rFonts w:eastAsia="Times New Roman"/>
                <w:b/>
                <w:bCs/>
                <w:sz w:val="16"/>
                <w:szCs w:val="16"/>
                <w:bdr w:val="none" w:sz="0" w:space="0" w:color="auto"/>
                <w:lang w:eastAsia="es-ES"/>
              </w:rPr>
              <w:t>Total</w:t>
            </w:r>
          </w:p>
        </w:tc>
      </w:tr>
      <w:tr w:rsidR="005C29A2" w:rsidRPr="00723F3F" w14:paraId="719AA0A8" w14:textId="77777777" w:rsidTr="00176BA0">
        <w:trPr>
          <w:trHeight w:val="283"/>
        </w:trPr>
        <w:tc>
          <w:tcPr>
            <w:tcW w:w="1532" w:type="pct"/>
            <w:tcBorders>
              <w:top w:val="nil"/>
              <w:left w:val="nil"/>
              <w:bottom w:val="single" w:sz="4" w:space="0" w:color="auto"/>
              <w:right w:val="nil"/>
            </w:tcBorders>
            <w:shd w:val="clear" w:color="auto" w:fill="auto"/>
            <w:vAlign w:val="center"/>
          </w:tcPr>
          <w:p w14:paraId="7572B340" w14:textId="77777777" w:rsidR="005C29A2" w:rsidRPr="00723F3F"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6C6979">
              <w:rPr>
                <w:rFonts w:eastAsia="Times New Roman"/>
                <w:sz w:val="16"/>
                <w:szCs w:val="16"/>
                <w:bdr w:val="none" w:sz="0" w:space="0" w:color="auto"/>
                <w:lang w:eastAsia="es-ES"/>
              </w:rPr>
              <w:t>Deudas con entidades de</w:t>
            </w:r>
            <w:r>
              <w:rPr>
                <w:rFonts w:eastAsia="Times New Roman"/>
                <w:sz w:val="16"/>
                <w:szCs w:val="16"/>
                <w:bdr w:val="none" w:sz="0" w:space="0" w:color="auto"/>
                <w:lang w:eastAsia="es-ES"/>
              </w:rPr>
              <w:t xml:space="preserve"> </w:t>
            </w:r>
            <w:r w:rsidRPr="006C6979">
              <w:rPr>
                <w:rFonts w:eastAsia="Times New Roman"/>
                <w:sz w:val="16"/>
                <w:szCs w:val="16"/>
                <w:bdr w:val="none" w:sz="0" w:space="0" w:color="auto"/>
                <w:lang w:eastAsia="es-ES"/>
              </w:rPr>
              <w:t>crédito (Nota 8.</w:t>
            </w:r>
            <w:r>
              <w:rPr>
                <w:rFonts w:eastAsia="Times New Roman"/>
                <w:sz w:val="16"/>
                <w:szCs w:val="16"/>
                <w:bdr w:val="none" w:sz="0" w:space="0" w:color="auto"/>
                <w:lang w:eastAsia="es-ES"/>
              </w:rPr>
              <w:t>3</w:t>
            </w:r>
            <w:r w:rsidRPr="006C6979">
              <w:rPr>
                <w:rFonts w:eastAsia="Times New Roman"/>
                <w:sz w:val="16"/>
                <w:szCs w:val="16"/>
                <w:bdr w:val="none" w:sz="0" w:space="0" w:color="auto"/>
                <w:lang w:eastAsia="es-ES"/>
              </w:rPr>
              <w:t>.a)</w:t>
            </w:r>
          </w:p>
        </w:tc>
        <w:tc>
          <w:tcPr>
            <w:tcW w:w="668" w:type="pct"/>
            <w:tcBorders>
              <w:top w:val="nil"/>
              <w:left w:val="nil"/>
              <w:bottom w:val="single" w:sz="4" w:space="0" w:color="auto"/>
              <w:right w:val="nil"/>
            </w:tcBorders>
            <w:shd w:val="clear" w:color="auto" w:fill="auto"/>
            <w:vAlign w:val="center"/>
          </w:tcPr>
          <w:p w14:paraId="4C539550" w14:textId="25D2135C" w:rsidR="005C29A2" w:rsidRPr="00723F3F"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F241B7">
              <w:rPr>
                <w:sz w:val="16"/>
                <w:szCs w:val="16"/>
              </w:rPr>
              <w:t>68,88</w:t>
            </w:r>
          </w:p>
        </w:tc>
        <w:tc>
          <w:tcPr>
            <w:tcW w:w="299" w:type="pct"/>
            <w:tcBorders>
              <w:top w:val="nil"/>
              <w:left w:val="nil"/>
              <w:bottom w:val="single" w:sz="4" w:space="0" w:color="auto"/>
              <w:right w:val="nil"/>
            </w:tcBorders>
            <w:shd w:val="clear" w:color="auto" w:fill="auto"/>
            <w:vAlign w:val="center"/>
          </w:tcPr>
          <w:p w14:paraId="3D93E9AA" w14:textId="77777777" w:rsidR="005C29A2" w:rsidRPr="005C29A2"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460" w:type="pct"/>
            <w:tcBorders>
              <w:top w:val="nil"/>
              <w:left w:val="nil"/>
              <w:bottom w:val="single" w:sz="4" w:space="0" w:color="auto"/>
              <w:right w:val="nil"/>
            </w:tcBorders>
            <w:shd w:val="clear" w:color="auto" w:fill="auto"/>
            <w:vAlign w:val="center"/>
          </w:tcPr>
          <w:p w14:paraId="6E780329" w14:textId="77777777" w:rsidR="005C29A2" w:rsidRPr="005C29A2"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354" w:type="pct"/>
            <w:tcBorders>
              <w:top w:val="nil"/>
              <w:left w:val="nil"/>
              <w:bottom w:val="single" w:sz="4" w:space="0" w:color="auto"/>
              <w:right w:val="nil"/>
            </w:tcBorders>
            <w:shd w:val="clear" w:color="auto" w:fill="auto"/>
            <w:vAlign w:val="center"/>
          </w:tcPr>
          <w:p w14:paraId="0D1E2506" w14:textId="77777777" w:rsidR="005C29A2" w:rsidRPr="005C29A2"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436" w:type="pct"/>
            <w:tcBorders>
              <w:top w:val="nil"/>
              <w:left w:val="nil"/>
              <w:bottom w:val="single" w:sz="4" w:space="0" w:color="auto"/>
              <w:right w:val="nil"/>
            </w:tcBorders>
            <w:shd w:val="clear" w:color="auto" w:fill="auto"/>
            <w:vAlign w:val="center"/>
          </w:tcPr>
          <w:p w14:paraId="587F04A9" w14:textId="77777777" w:rsidR="005C29A2" w:rsidRPr="005C29A2"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580" w:type="pct"/>
            <w:tcBorders>
              <w:top w:val="nil"/>
              <w:left w:val="nil"/>
              <w:bottom w:val="single" w:sz="4" w:space="0" w:color="auto"/>
              <w:right w:val="nil"/>
            </w:tcBorders>
            <w:shd w:val="clear" w:color="auto" w:fill="auto"/>
            <w:vAlign w:val="center"/>
          </w:tcPr>
          <w:p w14:paraId="1BE2AB0D" w14:textId="77777777" w:rsidR="005C29A2" w:rsidRPr="005C29A2"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671" w:type="pct"/>
            <w:tcBorders>
              <w:top w:val="nil"/>
              <w:left w:val="nil"/>
              <w:bottom w:val="single" w:sz="4" w:space="0" w:color="auto"/>
              <w:right w:val="nil"/>
            </w:tcBorders>
            <w:shd w:val="clear" w:color="auto" w:fill="auto"/>
            <w:vAlign w:val="center"/>
          </w:tcPr>
          <w:p w14:paraId="61C8DB86" w14:textId="5DAC0C7F" w:rsidR="005C29A2" w:rsidRPr="00723F3F"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F241B7">
              <w:rPr>
                <w:sz w:val="16"/>
                <w:szCs w:val="16"/>
              </w:rPr>
              <w:t>68,88</w:t>
            </w:r>
          </w:p>
        </w:tc>
      </w:tr>
      <w:tr w:rsidR="005C29A2" w:rsidRPr="00723F3F" w14:paraId="09EC95C0" w14:textId="77777777" w:rsidTr="00176BA0">
        <w:trPr>
          <w:trHeight w:val="283"/>
        </w:trPr>
        <w:tc>
          <w:tcPr>
            <w:tcW w:w="1532" w:type="pct"/>
            <w:tcBorders>
              <w:top w:val="nil"/>
              <w:left w:val="nil"/>
              <w:bottom w:val="single" w:sz="4" w:space="0" w:color="auto"/>
              <w:right w:val="nil"/>
            </w:tcBorders>
            <w:shd w:val="clear" w:color="auto" w:fill="auto"/>
            <w:vAlign w:val="bottom"/>
          </w:tcPr>
          <w:p w14:paraId="54124C55" w14:textId="77777777" w:rsidR="005C29A2" w:rsidRPr="00723F3F"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Pasivos financieros a coste amortizado a otras empresas (Nota 8.3.a)</w:t>
            </w:r>
          </w:p>
        </w:tc>
        <w:tc>
          <w:tcPr>
            <w:tcW w:w="668" w:type="pct"/>
            <w:tcBorders>
              <w:top w:val="nil"/>
              <w:left w:val="nil"/>
              <w:bottom w:val="single" w:sz="4" w:space="0" w:color="auto"/>
              <w:right w:val="nil"/>
            </w:tcBorders>
            <w:shd w:val="clear" w:color="auto" w:fill="auto"/>
            <w:vAlign w:val="center"/>
          </w:tcPr>
          <w:p w14:paraId="5D074A18" w14:textId="12AAE384" w:rsidR="005C29A2" w:rsidRPr="00723F3F"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F241B7">
              <w:rPr>
                <w:sz w:val="16"/>
                <w:szCs w:val="16"/>
              </w:rPr>
              <w:t>3.451.670,34</w:t>
            </w:r>
          </w:p>
        </w:tc>
        <w:tc>
          <w:tcPr>
            <w:tcW w:w="299" w:type="pct"/>
            <w:tcBorders>
              <w:top w:val="nil"/>
              <w:left w:val="nil"/>
              <w:bottom w:val="single" w:sz="4" w:space="0" w:color="auto"/>
              <w:right w:val="nil"/>
            </w:tcBorders>
            <w:shd w:val="clear" w:color="auto" w:fill="auto"/>
            <w:vAlign w:val="center"/>
          </w:tcPr>
          <w:p w14:paraId="7BB2662A" w14:textId="77777777" w:rsidR="005C29A2" w:rsidRPr="005C29A2"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460" w:type="pct"/>
            <w:tcBorders>
              <w:top w:val="nil"/>
              <w:left w:val="nil"/>
              <w:bottom w:val="single" w:sz="4" w:space="0" w:color="auto"/>
              <w:right w:val="nil"/>
            </w:tcBorders>
            <w:shd w:val="clear" w:color="auto" w:fill="auto"/>
            <w:vAlign w:val="center"/>
          </w:tcPr>
          <w:p w14:paraId="0606453C" w14:textId="1F3A2A39" w:rsidR="005C29A2" w:rsidRPr="005C29A2"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354" w:type="pct"/>
            <w:tcBorders>
              <w:top w:val="nil"/>
              <w:left w:val="nil"/>
              <w:bottom w:val="single" w:sz="4" w:space="0" w:color="auto"/>
              <w:right w:val="nil"/>
            </w:tcBorders>
            <w:shd w:val="clear" w:color="auto" w:fill="auto"/>
            <w:vAlign w:val="center"/>
          </w:tcPr>
          <w:p w14:paraId="399AB888" w14:textId="77777777" w:rsidR="005C29A2" w:rsidRPr="005C29A2"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436" w:type="pct"/>
            <w:tcBorders>
              <w:top w:val="nil"/>
              <w:left w:val="nil"/>
              <w:bottom w:val="single" w:sz="4" w:space="0" w:color="auto"/>
              <w:right w:val="nil"/>
            </w:tcBorders>
            <w:shd w:val="clear" w:color="auto" w:fill="auto"/>
            <w:vAlign w:val="center"/>
          </w:tcPr>
          <w:p w14:paraId="7FA619E9" w14:textId="77777777" w:rsidR="005C29A2" w:rsidRPr="005C29A2"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580" w:type="pct"/>
            <w:tcBorders>
              <w:top w:val="nil"/>
              <w:left w:val="nil"/>
              <w:bottom w:val="single" w:sz="4" w:space="0" w:color="auto"/>
              <w:right w:val="nil"/>
            </w:tcBorders>
            <w:shd w:val="clear" w:color="auto" w:fill="auto"/>
            <w:vAlign w:val="center"/>
          </w:tcPr>
          <w:p w14:paraId="223CFE0D" w14:textId="77777777" w:rsidR="005C29A2" w:rsidRPr="005C29A2"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C29A2">
              <w:rPr>
                <w:rFonts w:eastAsia="Times New Roman"/>
                <w:sz w:val="16"/>
                <w:szCs w:val="16"/>
                <w:bdr w:val="none" w:sz="0" w:space="0" w:color="auto"/>
                <w:lang w:eastAsia="es-ES"/>
              </w:rPr>
              <w:t>-</w:t>
            </w:r>
          </w:p>
        </w:tc>
        <w:tc>
          <w:tcPr>
            <w:tcW w:w="671" w:type="pct"/>
            <w:tcBorders>
              <w:top w:val="nil"/>
              <w:left w:val="nil"/>
              <w:bottom w:val="single" w:sz="4" w:space="0" w:color="auto"/>
              <w:right w:val="nil"/>
            </w:tcBorders>
            <w:shd w:val="clear" w:color="auto" w:fill="auto"/>
            <w:vAlign w:val="center"/>
          </w:tcPr>
          <w:p w14:paraId="18EAFCAF" w14:textId="754B8A83" w:rsidR="005C29A2" w:rsidRPr="00723F3F"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F241B7">
              <w:rPr>
                <w:sz w:val="16"/>
                <w:szCs w:val="16"/>
              </w:rPr>
              <w:t>3.451.670,34</w:t>
            </w:r>
          </w:p>
        </w:tc>
      </w:tr>
      <w:tr w:rsidR="005C29A2" w:rsidRPr="00723F3F" w14:paraId="769B121A" w14:textId="77777777" w:rsidTr="00176BA0">
        <w:trPr>
          <w:trHeight w:val="283"/>
        </w:trPr>
        <w:tc>
          <w:tcPr>
            <w:tcW w:w="1532" w:type="pct"/>
            <w:tcBorders>
              <w:top w:val="nil"/>
              <w:left w:val="nil"/>
              <w:bottom w:val="single" w:sz="4" w:space="0" w:color="auto"/>
              <w:right w:val="nil"/>
            </w:tcBorders>
            <w:shd w:val="clear" w:color="auto" w:fill="auto"/>
            <w:vAlign w:val="center"/>
            <w:hideMark/>
          </w:tcPr>
          <w:p w14:paraId="5439A7DD" w14:textId="77777777" w:rsidR="005C29A2" w:rsidRPr="00F241B7"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sz w:val="16"/>
                <w:szCs w:val="16"/>
                <w:highlight w:val="yellow"/>
                <w:bdr w:val="none" w:sz="0" w:space="0" w:color="auto"/>
                <w:lang w:eastAsia="es-ES"/>
              </w:rPr>
            </w:pPr>
            <w:r w:rsidRPr="006C6979">
              <w:rPr>
                <w:rFonts w:eastAsia="Times New Roman"/>
                <w:b/>
                <w:sz w:val="16"/>
                <w:szCs w:val="16"/>
                <w:bdr w:val="none" w:sz="0" w:space="0" w:color="auto"/>
                <w:lang w:eastAsia="es-ES"/>
              </w:rPr>
              <w:t>Total</w:t>
            </w:r>
          </w:p>
        </w:tc>
        <w:tc>
          <w:tcPr>
            <w:tcW w:w="668" w:type="pct"/>
            <w:tcBorders>
              <w:top w:val="nil"/>
              <w:left w:val="nil"/>
              <w:bottom w:val="single" w:sz="4" w:space="0" w:color="auto"/>
              <w:right w:val="nil"/>
            </w:tcBorders>
            <w:shd w:val="clear" w:color="auto" w:fill="auto"/>
            <w:vAlign w:val="center"/>
          </w:tcPr>
          <w:p w14:paraId="42E99D34" w14:textId="7CCD6B2B" w:rsidR="005C29A2" w:rsidRPr="008E59B0" w:rsidRDefault="00E50CFD" w:rsidP="00D61675">
            <w:pPr>
              <w:jc w:val="right"/>
              <w:rPr>
                <w:b/>
                <w:bCs/>
                <w:sz w:val="16"/>
                <w:szCs w:val="16"/>
              </w:rPr>
            </w:pPr>
            <w:r w:rsidRPr="00F241B7">
              <w:rPr>
                <w:b/>
                <w:bCs/>
                <w:sz w:val="16"/>
                <w:szCs w:val="16"/>
              </w:rPr>
              <w:t>3.451.739,22</w:t>
            </w:r>
          </w:p>
        </w:tc>
        <w:tc>
          <w:tcPr>
            <w:tcW w:w="299" w:type="pct"/>
            <w:tcBorders>
              <w:top w:val="nil"/>
              <w:left w:val="nil"/>
              <w:bottom w:val="single" w:sz="4" w:space="0" w:color="auto"/>
              <w:right w:val="nil"/>
            </w:tcBorders>
            <w:shd w:val="clear" w:color="auto" w:fill="auto"/>
            <w:vAlign w:val="center"/>
            <w:hideMark/>
          </w:tcPr>
          <w:p w14:paraId="1740BE84" w14:textId="77777777" w:rsidR="005C29A2" w:rsidRPr="008E59B0"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rFonts w:eastAsia="Times New Roman"/>
                <w:b/>
                <w:bCs/>
                <w:sz w:val="16"/>
                <w:szCs w:val="16"/>
                <w:bdr w:val="none" w:sz="0" w:space="0" w:color="auto"/>
                <w:lang w:eastAsia="es-ES"/>
              </w:rPr>
              <w:t xml:space="preserve"> -</w:t>
            </w:r>
          </w:p>
        </w:tc>
        <w:tc>
          <w:tcPr>
            <w:tcW w:w="460" w:type="pct"/>
            <w:tcBorders>
              <w:top w:val="nil"/>
              <w:left w:val="nil"/>
              <w:bottom w:val="single" w:sz="4" w:space="0" w:color="auto"/>
              <w:right w:val="nil"/>
            </w:tcBorders>
            <w:shd w:val="clear" w:color="auto" w:fill="auto"/>
            <w:vAlign w:val="center"/>
            <w:hideMark/>
          </w:tcPr>
          <w:p w14:paraId="29D993A3" w14:textId="65EE4E42" w:rsidR="005C29A2" w:rsidRPr="008E59B0"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w:t>
            </w:r>
            <w:r w:rsidRPr="008E59B0">
              <w:rPr>
                <w:rFonts w:eastAsia="Times New Roman"/>
                <w:b/>
                <w:bCs/>
                <w:sz w:val="16"/>
                <w:szCs w:val="16"/>
                <w:bdr w:val="none" w:sz="0" w:space="0" w:color="auto"/>
                <w:lang w:eastAsia="es-ES"/>
              </w:rPr>
              <w:t> </w:t>
            </w:r>
          </w:p>
        </w:tc>
        <w:tc>
          <w:tcPr>
            <w:tcW w:w="354" w:type="pct"/>
            <w:tcBorders>
              <w:top w:val="nil"/>
              <w:left w:val="nil"/>
              <w:bottom w:val="single" w:sz="4" w:space="0" w:color="auto"/>
              <w:right w:val="nil"/>
            </w:tcBorders>
            <w:shd w:val="clear" w:color="auto" w:fill="auto"/>
            <w:vAlign w:val="center"/>
            <w:hideMark/>
          </w:tcPr>
          <w:p w14:paraId="1B01AB36" w14:textId="77777777" w:rsidR="005C29A2" w:rsidRPr="008E59B0"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rFonts w:eastAsia="Times New Roman"/>
                <w:b/>
                <w:bCs/>
                <w:sz w:val="16"/>
                <w:szCs w:val="16"/>
                <w:bdr w:val="none" w:sz="0" w:space="0" w:color="auto"/>
                <w:lang w:eastAsia="es-ES"/>
              </w:rPr>
              <w:t xml:space="preserve"> -</w:t>
            </w:r>
          </w:p>
        </w:tc>
        <w:tc>
          <w:tcPr>
            <w:tcW w:w="436" w:type="pct"/>
            <w:tcBorders>
              <w:top w:val="nil"/>
              <w:left w:val="nil"/>
              <w:bottom w:val="single" w:sz="4" w:space="0" w:color="auto"/>
              <w:right w:val="nil"/>
            </w:tcBorders>
            <w:shd w:val="clear" w:color="auto" w:fill="auto"/>
            <w:vAlign w:val="center"/>
            <w:hideMark/>
          </w:tcPr>
          <w:p w14:paraId="2A11E5AC" w14:textId="77777777" w:rsidR="005C29A2" w:rsidRPr="008E59B0"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rFonts w:eastAsia="Times New Roman"/>
                <w:b/>
                <w:bCs/>
                <w:sz w:val="16"/>
                <w:szCs w:val="16"/>
                <w:bdr w:val="none" w:sz="0" w:space="0" w:color="auto"/>
                <w:lang w:eastAsia="es-ES"/>
              </w:rPr>
              <w:t xml:space="preserve"> -</w:t>
            </w:r>
          </w:p>
        </w:tc>
        <w:tc>
          <w:tcPr>
            <w:tcW w:w="580" w:type="pct"/>
            <w:tcBorders>
              <w:top w:val="nil"/>
              <w:left w:val="nil"/>
              <w:bottom w:val="single" w:sz="4" w:space="0" w:color="auto"/>
              <w:right w:val="nil"/>
            </w:tcBorders>
            <w:shd w:val="clear" w:color="auto" w:fill="auto"/>
            <w:vAlign w:val="center"/>
            <w:hideMark/>
          </w:tcPr>
          <w:p w14:paraId="0BA4D406" w14:textId="77777777" w:rsidR="005C29A2" w:rsidRPr="008E59B0" w:rsidRDefault="005C29A2"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E59B0">
              <w:rPr>
                <w:rFonts w:eastAsia="Times New Roman"/>
                <w:b/>
                <w:bCs/>
                <w:sz w:val="16"/>
                <w:szCs w:val="16"/>
                <w:bdr w:val="none" w:sz="0" w:space="0" w:color="auto"/>
                <w:lang w:eastAsia="es-ES"/>
              </w:rPr>
              <w:t xml:space="preserve"> -</w:t>
            </w:r>
          </w:p>
        </w:tc>
        <w:tc>
          <w:tcPr>
            <w:tcW w:w="671" w:type="pct"/>
            <w:tcBorders>
              <w:top w:val="nil"/>
              <w:left w:val="nil"/>
              <w:bottom w:val="single" w:sz="4" w:space="0" w:color="auto"/>
              <w:right w:val="nil"/>
            </w:tcBorders>
            <w:shd w:val="clear" w:color="auto" w:fill="auto"/>
            <w:vAlign w:val="center"/>
          </w:tcPr>
          <w:p w14:paraId="4D66AA2B" w14:textId="4E645F29" w:rsidR="005C29A2" w:rsidRPr="008E59B0" w:rsidRDefault="00E50CFD" w:rsidP="00D6167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F241B7">
              <w:rPr>
                <w:b/>
                <w:bCs/>
                <w:sz w:val="16"/>
                <w:szCs w:val="16"/>
              </w:rPr>
              <w:t>3.451.739,22</w:t>
            </w:r>
          </w:p>
        </w:tc>
      </w:tr>
    </w:tbl>
    <w:p w14:paraId="2E14444C" w14:textId="68986D19" w:rsidR="00767602" w:rsidRPr="00F509FC" w:rsidRDefault="00767602" w:rsidP="009B444A">
      <w:pPr>
        <w:keepNext/>
        <w:keepLines/>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426" w:hanging="426"/>
        <w:outlineLvl w:val="9"/>
        <w:rPr>
          <w:i/>
          <w:snapToGrid w:val="0"/>
          <w:sz w:val="20"/>
          <w:szCs w:val="22"/>
          <w:u w:val="single"/>
        </w:rPr>
      </w:pPr>
      <w:r w:rsidRPr="00F509FC">
        <w:rPr>
          <w:i/>
          <w:sz w:val="20"/>
          <w:szCs w:val="22"/>
          <w:u w:val="single"/>
        </w:rPr>
        <w:t xml:space="preserve">Periodificaciones a </w:t>
      </w:r>
      <w:r w:rsidR="00E50CFD" w:rsidRPr="00F509FC">
        <w:rPr>
          <w:i/>
          <w:sz w:val="20"/>
          <w:szCs w:val="22"/>
          <w:u w:val="single"/>
        </w:rPr>
        <w:t>largo y cort</w:t>
      </w:r>
      <w:r w:rsidR="00085996" w:rsidRPr="00F509FC">
        <w:rPr>
          <w:i/>
          <w:sz w:val="20"/>
          <w:szCs w:val="22"/>
          <w:u w:val="single"/>
        </w:rPr>
        <w:t>o</w:t>
      </w:r>
      <w:r w:rsidRPr="00F509FC">
        <w:rPr>
          <w:i/>
          <w:sz w:val="20"/>
          <w:szCs w:val="22"/>
          <w:u w:val="single"/>
        </w:rPr>
        <w:t xml:space="preserve"> plazo</w:t>
      </w:r>
    </w:p>
    <w:p w14:paraId="2A8E1AD8" w14:textId="35286ABA" w:rsidR="001D6767" w:rsidRPr="005644E5" w:rsidRDefault="001D6767" w:rsidP="005644E5">
      <w:pPr>
        <w:widowControl w:val="0"/>
        <w:spacing w:before="120" w:after="120" w:line="260" w:lineRule="exact"/>
        <w:ind w:left="284"/>
        <w:jc w:val="both"/>
        <w:outlineLvl w:val="9"/>
        <w:rPr>
          <w:snapToGrid w:val="0"/>
          <w:sz w:val="20"/>
          <w:szCs w:val="22"/>
        </w:rPr>
      </w:pPr>
      <w:r w:rsidRPr="005644E5">
        <w:rPr>
          <w:snapToGrid w:val="0"/>
          <w:sz w:val="20"/>
          <w:szCs w:val="22"/>
        </w:rPr>
        <w:t>Los importes de las periodificaciones a largo y corto plazo a 31 de diciembre de 2021 son los siguientes:</w:t>
      </w:r>
    </w:p>
    <w:tbl>
      <w:tblPr>
        <w:tblW w:w="5000" w:type="pct"/>
        <w:tblCellMar>
          <w:left w:w="70" w:type="dxa"/>
          <w:right w:w="70" w:type="dxa"/>
        </w:tblCellMar>
        <w:tblLook w:val="04A0" w:firstRow="1" w:lastRow="0" w:firstColumn="1" w:lastColumn="0" w:noHBand="0" w:noVBand="1"/>
      </w:tblPr>
      <w:tblGrid>
        <w:gridCol w:w="5812"/>
        <w:gridCol w:w="1552"/>
        <w:gridCol w:w="1417"/>
      </w:tblGrid>
      <w:tr w:rsidR="00CD7884" w:rsidRPr="00176BA0" w14:paraId="449FC9EE" w14:textId="77777777" w:rsidTr="00CD7884">
        <w:trPr>
          <w:trHeight w:val="240"/>
        </w:trPr>
        <w:tc>
          <w:tcPr>
            <w:tcW w:w="3309" w:type="pct"/>
            <w:tcBorders>
              <w:top w:val="single" w:sz="4" w:space="0" w:color="auto"/>
              <w:left w:val="nil"/>
              <w:bottom w:val="nil"/>
              <w:right w:val="nil"/>
            </w:tcBorders>
            <w:shd w:val="clear" w:color="auto" w:fill="auto"/>
            <w:noWrap/>
            <w:vAlign w:val="center"/>
            <w:hideMark/>
          </w:tcPr>
          <w:p w14:paraId="2BEF2792" w14:textId="77777777" w:rsidR="00CD7884" w:rsidRPr="00176BA0" w:rsidRDefault="00CD7884" w:rsidP="00176BA0">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1691" w:type="pct"/>
            <w:gridSpan w:val="2"/>
            <w:tcBorders>
              <w:top w:val="single" w:sz="4" w:space="0" w:color="auto"/>
              <w:left w:val="nil"/>
              <w:bottom w:val="single" w:sz="4" w:space="0" w:color="auto"/>
              <w:right w:val="nil"/>
            </w:tcBorders>
            <w:shd w:val="clear" w:color="auto" w:fill="auto"/>
            <w:noWrap/>
            <w:vAlign w:val="bottom"/>
            <w:hideMark/>
          </w:tcPr>
          <w:p w14:paraId="10CDDCE4"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Euros</w:t>
            </w:r>
          </w:p>
        </w:tc>
      </w:tr>
      <w:tr w:rsidR="00CD7884" w:rsidRPr="00176BA0" w14:paraId="10C9A59C" w14:textId="77777777" w:rsidTr="00176BA0">
        <w:trPr>
          <w:trHeight w:val="283"/>
        </w:trPr>
        <w:tc>
          <w:tcPr>
            <w:tcW w:w="3309" w:type="pct"/>
            <w:tcBorders>
              <w:top w:val="nil"/>
              <w:left w:val="nil"/>
              <w:bottom w:val="single" w:sz="4" w:space="0" w:color="auto"/>
              <w:right w:val="nil"/>
            </w:tcBorders>
            <w:shd w:val="clear" w:color="auto" w:fill="auto"/>
            <w:noWrap/>
            <w:vAlign w:val="center"/>
            <w:hideMark/>
          </w:tcPr>
          <w:p w14:paraId="411284A8" w14:textId="77777777" w:rsidR="00CD7884" w:rsidRPr="00176BA0" w:rsidRDefault="00CD7884" w:rsidP="00176BA0">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884" w:type="pct"/>
            <w:tcBorders>
              <w:top w:val="nil"/>
              <w:left w:val="nil"/>
              <w:bottom w:val="single" w:sz="4" w:space="0" w:color="auto"/>
              <w:right w:val="nil"/>
            </w:tcBorders>
            <w:shd w:val="clear" w:color="auto" w:fill="auto"/>
            <w:noWrap/>
            <w:vAlign w:val="bottom"/>
            <w:hideMark/>
          </w:tcPr>
          <w:p w14:paraId="7E77E8A9"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31/12/2021</w:t>
            </w:r>
          </w:p>
        </w:tc>
        <w:tc>
          <w:tcPr>
            <w:tcW w:w="807" w:type="pct"/>
            <w:tcBorders>
              <w:top w:val="nil"/>
              <w:left w:val="nil"/>
              <w:bottom w:val="single" w:sz="4" w:space="0" w:color="auto"/>
              <w:right w:val="nil"/>
            </w:tcBorders>
            <w:shd w:val="clear" w:color="auto" w:fill="auto"/>
            <w:noWrap/>
            <w:vAlign w:val="bottom"/>
            <w:hideMark/>
          </w:tcPr>
          <w:p w14:paraId="59258E1C"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31/12/2020</w:t>
            </w:r>
          </w:p>
        </w:tc>
      </w:tr>
      <w:tr w:rsidR="00CD7884" w:rsidRPr="00176BA0" w14:paraId="3D2929DC" w14:textId="77777777" w:rsidTr="00176BA0">
        <w:trPr>
          <w:trHeight w:val="283"/>
        </w:trPr>
        <w:tc>
          <w:tcPr>
            <w:tcW w:w="3309" w:type="pct"/>
            <w:tcBorders>
              <w:top w:val="nil"/>
              <w:left w:val="nil"/>
              <w:bottom w:val="nil"/>
              <w:right w:val="nil"/>
            </w:tcBorders>
            <w:shd w:val="clear" w:color="auto" w:fill="auto"/>
            <w:noWrap/>
            <w:vAlign w:val="center"/>
            <w:hideMark/>
          </w:tcPr>
          <w:p w14:paraId="22E3188E" w14:textId="77777777" w:rsidR="00CD7884" w:rsidRPr="00176BA0" w:rsidRDefault="00CD7884" w:rsidP="00176BA0">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 xml:space="preserve">Periodificaciones a </w:t>
            </w:r>
            <w:proofErr w:type="spellStart"/>
            <w:r w:rsidRPr="00176BA0">
              <w:rPr>
                <w:rFonts w:eastAsia="Times New Roman"/>
                <w:b/>
                <w:bCs/>
                <w:sz w:val="18"/>
                <w:szCs w:val="18"/>
                <w:bdr w:val="none" w:sz="0" w:space="0" w:color="auto"/>
                <w:lang w:eastAsia="es-ES"/>
              </w:rPr>
              <w:t>lp</w:t>
            </w:r>
            <w:proofErr w:type="spellEnd"/>
            <w:r w:rsidRPr="00176BA0">
              <w:rPr>
                <w:rFonts w:eastAsia="Times New Roman"/>
                <w:b/>
                <w:bCs/>
                <w:sz w:val="18"/>
                <w:szCs w:val="18"/>
                <w:bdr w:val="none" w:sz="0" w:space="0" w:color="auto"/>
                <w:lang w:eastAsia="es-ES"/>
              </w:rPr>
              <w:t>:</w:t>
            </w:r>
          </w:p>
        </w:tc>
        <w:tc>
          <w:tcPr>
            <w:tcW w:w="884" w:type="pct"/>
            <w:tcBorders>
              <w:top w:val="nil"/>
              <w:left w:val="nil"/>
              <w:bottom w:val="nil"/>
              <w:right w:val="nil"/>
            </w:tcBorders>
            <w:shd w:val="clear" w:color="auto" w:fill="auto"/>
            <w:noWrap/>
            <w:vAlign w:val="center"/>
            <w:hideMark/>
          </w:tcPr>
          <w:p w14:paraId="7D31D2FA"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18.814.115,26</w:t>
            </w:r>
          </w:p>
        </w:tc>
        <w:tc>
          <w:tcPr>
            <w:tcW w:w="807" w:type="pct"/>
            <w:tcBorders>
              <w:top w:val="nil"/>
              <w:left w:val="nil"/>
              <w:bottom w:val="nil"/>
              <w:right w:val="nil"/>
            </w:tcBorders>
            <w:shd w:val="clear" w:color="auto" w:fill="auto"/>
            <w:noWrap/>
            <w:vAlign w:val="center"/>
            <w:hideMark/>
          </w:tcPr>
          <w:p w14:paraId="7B77C763"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 xml:space="preserve"> -</w:t>
            </w:r>
          </w:p>
        </w:tc>
      </w:tr>
      <w:tr w:rsidR="00CD7884" w:rsidRPr="00176BA0" w14:paraId="6254568D" w14:textId="77777777" w:rsidTr="00176BA0">
        <w:trPr>
          <w:trHeight w:val="283"/>
        </w:trPr>
        <w:tc>
          <w:tcPr>
            <w:tcW w:w="3309" w:type="pct"/>
            <w:tcBorders>
              <w:top w:val="nil"/>
              <w:left w:val="nil"/>
              <w:bottom w:val="nil"/>
              <w:right w:val="nil"/>
            </w:tcBorders>
            <w:shd w:val="clear" w:color="auto" w:fill="auto"/>
            <w:noWrap/>
            <w:vAlign w:val="center"/>
            <w:hideMark/>
          </w:tcPr>
          <w:p w14:paraId="6F37B15D" w14:textId="1BB8B7B4" w:rsidR="00CD7884" w:rsidRPr="00176BA0" w:rsidRDefault="00CD7884" w:rsidP="00176BA0">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Subvenciones de explotación prorrogadas</w:t>
            </w:r>
            <w:r w:rsidR="000C51DB" w:rsidRPr="00176BA0">
              <w:rPr>
                <w:rFonts w:eastAsia="Times New Roman"/>
                <w:sz w:val="18"/>
                <w:szCs w:val="18"/>
                <w:bdr w:val="none" w:sz="0" w:space="0" w:color="auto"/>
                <w:lang w:eastAsia="es-ES"/>
              </w:rPr>
              <w:t xml:space="preserve"> (Nota 15.2)</w:t>
            </w:r>
          </w:p>
        </w:tc>
        <w:tc>
          <w:tcPr>
            <w:tcW w:w="884" w:type="pct"/>
            <w:tcBorders>
              <w:top w:val="nil"/>
              <w:left w:val="nil"/>
              <w:bottom w:val="nil"/>
              <w:right w:val="nil"/>
            </w:tcBorders>
            <w:shd w:val="clear" w:color="auto" w:fill="auto"/>
            <w:noWrap/>
            <w:vAlign w:val="center"/>
            <w:hideMark/>
          </w:tcPr>
          <w:p w14:paraId="469C31D3"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18.814.115,26</w:t>
            </w:r>
          </w:p>
        </w:tc>
        <w:tc>
          <w:tcPr>
            <w:tcW w:w="807" w:type="pct"/>
            <w:tcBorders>
              <w:top w:val="nil"/>
              <w:left w:val="nil"/>
              <w:bottom w:val="nil"/>
              <w:right w:val="nil"/>
            </w:tcBorders>
            <w:shd w:val="clear" w:color="auto" w:fill="auto"/>
            <w:noWrap/>
            <w:vAlign w:val="center"/>
            <w:hideMark/>
          </w:tcPr>
          <w:p w14:paraId="71303B00" w14:textId="44CB4521"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w:t>
            </w:r>
          </w:p>
        </w:tc>
      </w:tr>
      <w:tr w:rsidR="00CD7884" w:rsidRPr="00176BA0" w14:paraId="4264DC28" w14:textId="77777777" w:rsidTr="00176BA0">
        <w:trPr>
          <w:trHeight w:val="283"/>
        </w:trPr>
        <w:tc>
          <w:tcPr>
            <w:tcW w:w="3309" w:type="pct"/>
            <w:tcBorders>
              <w:top w:val="nil"/>
              <w:left w:val="nil"/>
              <w:bottom w:val="nil"/>
              <w:right w:val="nil"/>
            </w:tcBorders>
            <w:shd w:val="clear" w:color="auto" w:fill="auto"/>
            <w:noWrap/>
            <w:vAlign w:val="center"/>
            <w:hideMark/>
          </w:tcPr>
          <w:p w14:paraId="58893A42" w14:textId="77777777" w:rsidR="00CD7884" w:rsidRPr="00176BA0" w:rsidRDefault="00CD7884" w:rsidP="00176BA0">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 xml:space="preserve">Periodificaciones a </w:t>
            </w:r>
            <w:proofErr w:type="spellStart"/>
            <w:r w:rsidRPr="00176BA0">
              <w:rPr>
                <w:rFonts w:eastAsia="Times New Roman"/>
                <w:b/>
                <w:bCs/>
                <w:sz w:val="18"/>
                <w:szCs w:val="18"/>
                <w:bdr w:val="none" w:sz="0" w:space="0" w:color="auto"/>
                <w:lang w:eastAsia="es-ES"/>
              </w:rPr>
              <w:t>cp</w:t>
            </w:r>
            <w:proofErr w:type="spellEnd"/>
            <w:r w:rsidRPr="00176BA0">
              <w:rPr>
                <w:rFonts w:eastAsia="Times New Roman"/>
                <w:b/>
                <w:bCs/>
                <w:sz w:val="18"/>
                <w:szCs w:val="18"/>
                <w:bdr w:val="none" w:sz="0" w:space="0" w:color="auto"/>
                <w:lang w:eastAsia="es-ES"/>
              </w:rPr>
              <w:t>:</w:t>
            </w:r>
          </w:p>
        </w:tc>
        <w:tc>
          <w:tcPr>
            <w:tcW w:w="884" w:type="pct"/>
            <w:tcBorders>
              <w:top w:val="nil"/>
              <w:left w:val="nil"/>
              <w:bottom w:val="nil"/>
              <w:right w:val="nil"/>
            </w:tcBorders>
            <w:shd w:val="clear" w:color="auto" w:fill="auto"/>
            <w:noWrap/>
            <w:vAlign w:val="center"/>
            <w:hideMark/>
          </w:tcPr>
          <w:p w14:paraId="238CEA6B"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22.514.666,58</w:t>
            </w:r>
          </w:p>
        </w:tc>
        <w:tc>
          <w:tcPr>
            <w:tcW w:w="807" w:type="pct"/>
            <w:tcBorders>
              <w:top w:val="nil"/>
              <w:left w:val="nil"/>
              <w:bottom w:val="nil"/>
              <w:right w:val="nil"/>
            </w:tcBorders>
            <w:shd w:val="clear" w:color="auto" w:fill="auto"/>
            <w:noWrap/>
            <w:vAlign w:val="center"/>
            <w:hideMark/>
          </w:tcPr>
          <w:p w14:paraId="7009C8AF"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9.367.320,08</w:t>
            </w:r>
          </w:p>
        </w:tc>
      </w:tr>
      <w:tr w:rsidR="00CD7884" w:rsidRPr="00176BA0" w14:paraId="3EC89A90" w14:textId="77777777" w:rsidTr="00176BA0">
        <w:trPr>
          <w:trHeight w:val="283"/>
        </w:trPr>
        <w:tc>
          <w:tcPr>
            <w:tcW w:w="3309" w:type="pct"/>
            <w:tcBorders>
              <w:top w:val="nil"/>
              <w:left w:val="nil"/>
              <w:bottom w:val="nil"/>
              <w:right w:val="nil"/>
            </w:tcBorders>
            <w:shd w:val="clear" w:color="auto" w:fill="auto"/>
            <w:noWrap/>
            <w:vAlign w:val="center"/>
            <w:hideMark/>
          </w:tcPr>
          <w:p w14:paraId="325ECAAA" w14:textId="43480D5A" w:rsidR="00CD7884" w:rsidRPr="00176BA0" w:rsidRDefault="00CD7884" w:rsidP="00176BA0">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Subvenciones de explotación prorrogadas</w:t>
            </w:r>
            <w:r w:rsidR="000C51DB" w:rsidRPr="00176BA0">
              <w:rPr>
                <w:rFonts w:eastAsia="Times New Roman"/>
                <w:sz w:val="18"/>
                <w:szCs w:val="18"/>
                <w:bdr w:val="none" w:sz="0" w:space="0" w:color="auto"/>
                <w:lang w:eastAsia="es-ES"/>
              </w:rPr>
              <w:t xml:space="preserve"> (Nota 15.2)</w:t>
            </w:r>
          </w:p>
        </w:tc>
        <w:tc>
          <w:tcPr>
            <w:tcW w:w="884" w:type="pct"/>
            <w:tcBorders>
              <w:top w:val="nil"/>
              <w:left w:val="nil"/>
              <w:bottom w:val="nil"/>
              <w:right w:val="nil"/>
            </w:tcBorders>
            <w:shd w:val="clear" w:color="auto" w:fill="auto"/>
            <w:noWrap/>
            <w:vAlign w:val="center"/>
            <w:hideMark/>
          </w:tcPr>
          <w:p w14:paraId="7991B751"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22.467.003,00</w:t>
            </w:r>
          </w:p>
        </w:tc>
        <w:tc>
          <w:tcPr>
            <w:tcW w:w="807" w:type="pct"/>
            <w:tcBorders>
              <w:top w:val="nil"/>
              <w:left w:val="nil"/>
              <w:bottom w:val="nil"/>
              <w:right w:val="nil"/>
            </w:tcBorders>
            <w:shd w:val="clear" w:color="auto" w:fill="auto"/>
            <w:noWrap/>
            <w:vAlign w:val="center"/>
            <w:hideMark/>
          </w:tcPr>
          <w:p w14:paraId="66329D47"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9.367.320,08</w:t>
            </w:r>
          </w:p>
        </w:tc>
      </w:tr>
      <w:tr w:rsidR="00CD7884" w:rsidRPr="00176BA0" w14:paraId="48952F1C" w14:textId="77777777" w:rsidTr="00176BA0">
        <w:trPr>
          <w:trHeight w:val="283"/>
        </w:trPr>
        <w:tc>
          <w:tcPr>
            <w:tcW w:w="3309" w:type="pct"/>
            <w:tcBorders>
              <w:top w:val="nil"/>
              <w:left w:val="nil"/>
              <w:bottom w:val="nil"/>
              <w:right w:val="nil"/>
            </w:tcBorders>
            <w:shd w:val="clear" w:color="auto" w:fill="auto"/>
            <w:noWrap/>
            <w:vAlign w:val="center"/>
            <w:hideMark/>
          </w:tcPr>
          <w:p w14:paraId="30DE6420" w14:textId="77777777" w:rsidR="00CD7884" w:rsidRPr="00176BA0" w:rsidRDefault="00CD7884" w:rsidP="00176BA0">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Otros ingresos anticipados</w:t>
            </w:r>
          </w:p>
        </w:tc>
        <w:tc>
          <w:tcPr>
            <w:tcW w:w="884" w:type="pct"/>
            <w:tcBorders>
              <w:top w:val="nil"/>
              <w:left w:val="nil"/>
              <w:bottom w:val="nil"/>
              <w:right w:val="nil"/>
            </w:tcBorders>
            <w:shd w:val="clear" w:color="auto" w:fill="auto"/>
            <w:noWrap/>
            <w:vAlign w:val="center"/>
            <w:hideMark/>
          </w:tcPr>
          <w:p w14:paraId="5EB3E2FC"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47.663,58</w:t>
            </w:r>
          </w:p>
        </w:tc>
        <w:tc>
          <w:tcPr>
            <w:tcW w:w="807" w:type="pct"/>
            <w:tcBorders>
              <w:top w:val="nil"/>
              <w:left w:val="nil"/>
              <w:bottom w:val="nil"/>
              <w:right w:val="nil"/>
            </w:tcBorders>
            <w:shd w:val="clear" w:color="auto" w:fill="auto"/>
            <w:noWrap/>
            <w:vAlign w:val="center"/>
            <w:hideMark/>
          </w:tcPr>
          <w:p w14:paraId="3617C2B3"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 -</w:t>
            </w:r>
          </w:p>
        </w:tc>
      </w:tr>
      <w:tr w:rsidR="00CD7884" w:rsidRPr="00176BA0" w14:paraId="5898E687" w14:textId="77777777" w:rsidTr="00176BA0">
        <w:trPr>
          <w:trHeight w:val="283"/>
        </w:trPr>
        <w:tc>
          <w:tcPr>
            <w:tcW w:w="3309" w:type="pct"/>
            <w:tcBorders>
              <w:top w:val="single" w:sz="4" w:space="0" w:color="auto"/>
              <w:left w:val="nil"/>
              <w:bottom w:val="single" w:sz="4" w:space="0" w:color="auto"/>
              <w:right w:val="nil"/>
            </w:tcBorders>
            <w:shd w:val="clear" w:color="auto" w:fill="auto"/>
            <w:noWrap/>
            <w:vAlign w:val="center"/>
            <w:hideMark/>
          </w:tcPr>
          <w:p w14:paraId="1E3D1619" w14:textId="77777777" w:rsidR="00CD7884" w:rsidRPr="00176BA0" w:rsidRDefault="00CD7884" w:rsidP="00176BA0">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Total</w:t>
            </w:r>
          </w:p>
        </w:tc>
        <w:tc>
          <w:tcPr>
            <w:tcW w:w="884" w:type="pct"/>
            <w:tcBorders>
              <w:top w:val="single" w:sz="4" w:space="0" w:color="auto"/>
              <w:left w:val="nil"/>
              <w:bottom w:val="single" w:sz="4" w:space="0" w:color="auto"/>
              <w:right w:val="nil"/>
            </w:tcBorders>
            <w:shd w:val="clear" w:color="auto" w:fill="auto"/>
            <w:noWrap/>
            <w:vAlign w:val="center"/>
            <w:hideMark/>
          </w:tcPr>
          <w:p w14:paraId="28857727"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41.328.781,84</w:t>
            </w:r>
          </w:p>
        </w:tc>
        <w:tc>
          <w:tcPr>
            <w:tcW w:w="807" w:type="pct"/>
            <w:tcBorders>
              <w:top w:val="single" w:sz="4" w:space="0" w:color="auto"/>
              <w:left w:val="nil"/>
              <w:bottom w:val="single" w:sz="4" w:space="0" w:color="auto"/>
              <w:right w:val="nil"/>
            </w:tcBorders>
            <w:shd w:val="clear" w:color="auto" w:fill="auto"/>
            <w:noWrap/>
            <w:vAlign w:val="center"/>
            <w:hideMark/>
          </w:tcPr>
          <w:p w14:paraId="2338E43E" w14:textId="77777777" w:rsidR="00CD7884" w:rsidRPr="00176BA0"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9.367.320,08</w:t>
            </w:r>
          </w:p>
        </w:tc>
      </w:tr>
    </w:tbl>
    <w:p w14:paraId="5A8CE0E3" w14:textId="3C31AC2E" w:rsidR="00767602" w:rsidRDefault="00767602" w:rsidP="00176BA0">
      <w:pPr>
        <w:widowControl w:val="0"/>
        <w:spacing w:before="120" w:after="120" w:line="260" w:lineRule="exact"/>
        <w:ind w:left="284"/>
        <w:jc w:val="both"/>
        <w:outlineLvl w:val="9"/>
        <w:rPr>
          <w:snapToGrid w:val="0"/>
          <w:sz w:val="20"/>
          <w:szCs w:val="22"/>
        </w:rPr>
      </w:pPr>
      <w:r w:rsidRPr="00F509FC">
        <w:rPr>
          <w:snapToGrid w:val="0"/>
          <w:sz w:val="20"/>
          <w:szCs w:val="22"/>
        </w:rPr>
        <w:t>A 31 de diciembre de 202</w:t>
      </w:r>
      <w:r w:rsidR="00A86619" w:rsidRPr="00F509FC">
        <w:rPr>
          <w:snapToGrid w:val="0"/>
          <w:sz w:val="20"/>
          <w:szCs w:val="22"/>
        </w:rPr>
        <w:t>1</w:t>
      </w:r>
      <w:r w:rsidRPr="00F509FC">
        <w:rPr>
          <w:snapToGrid w:val="0"/>
          <w:sz w:val="20"/>
          <w:szCs w:val="22"/>
        </w:rPr>
        <w:t xml:space="preserve"> los ajustes por periodificación de pasivos </w:t>
      </w:r>
      <w:r w:rsidR="00E50CFD" w:rsidRPr="00F509FC">
        <w:rPr>
          <w:snapToGrid w:val="0"/>
          <w:sz w:val="20"/>
          <w:szCs w:val="22"/>
        </w:rPr>
        <w:t xml:space="preserve">a largo plazo </w:t>
      </w:r>
      <w:r w:rsidRPr="00F509FC">
        <w:rPr>
          <w:snapToGrid w:val="0"/>
          <w:sz w:val="20"/>
          <w:szCs w:val="22"/>
        </w:rPr>
        <w:t xml:space="preserve">por importe de </w:t>
      </w:r>
      <w:r w:rsidR="001D6767" w:rsidRPr="00F509FC">
        <w:rPr>
          <w:snapToGrid w:val="0"/>
          <w:sz w:val="20"/>
          <w:szCs w:val="22"/>
        </w:rPr>
        <w:t>18.814.115,26 euros y a corto plazo por importe de 22.</w:t>
      </w:r>
      <w:r w:rsidR="00960471" w:rsidRPr="00F509FC">
        <w:rPr>
          <w:snapToGrid w:val="0"/>
          <w:sz w:val="20"/>
          <w:szCs w:val="22"/>
        </w:rPr>
        <w:t>467.003</w:t>
      </w:r>
      <w:r w:rsidR="001D6767" w:rsidRPr="00F509FC">
        <w:rPr>
          <w:snapToGrid w:val="0"/>
          <w:sz w:val="20"/>
          <w:szCs w:val="22"/>
        </w:rPr>
        <w:t xml:space="preserve"> euros (9.367.320,08 euros en 2020)</w:t>
      </w:r>
      <w:r w:rsidRPr="00F509FC">
        <w:rPr>
          <w:snapToGrid w:val="0"/>
          <w:sz w:val="20"/>
          <w:szCs w:val="22"/>
        </w:rPr>
        <w:t xml:space="preserve"> corresponden </w:t>
      </w:r>
      <w:r w:rsidR="00960471" w:rsidRPr="00F509FC">
        <w:rPr>
          <w:snapToGrid w:val="0"/>
          <w:sz w:val="20"/>
          <w:szCs w:val="22"/>
        </w:rPr>
        <w:t>a</w:t>
      </w:r>
      <w:r w:rsidRPr="00F509FC">
        <w:rPr>
          <w:snapToGrid w:val="0"/>
          <w:sz w:val="20"/>
          <w:szCs w:val="22"/>
        </w:rPr>
        <w:t xml:space="preserve"> las subvenciones de explotación concedidas por el Socio Único en el ejercicio que serán ejecutadas durante el ejercicio 202</w:t>
      </w:r>
      <w:r w:rsidR="00A86619" w:rsidRPr="00F509FC">
        <w:rPr>
          <w:snapToGrid w:val="0"/>
          <w:sz w:val="20"/>
          <w:szCs w:val="22"/>
        </w:rPr>
        <w:t>2</w:t>
      </w:r>
      <w:r w:rsidRPr="00F509FC">
        <w:rPr>
          <w:snapToGrid w:val="0"/>
          <w:sz w:val="20"/>
          <w:szCs w:val="22"/>
        </w:rPr>
        <w:t xml:space="preserve"> (Nota 1</w:t>
      </w:r>
      <w:r w:rsidR="000778A8" w:rsidRPr="00F509FC">
        <w:rPr>
          <w:snapToGrid w:val="0"/>
          <w:sz w:val="20"/>
          <w:szCs w:val="22"/>
        </w:rPr>
        <w:t>5.2</w:t>
      </w:r>
      <w:r w:rsidRPr="00F509FC">
        <w:rPr>
          <w:snapToGrid w:val="0"/>
          <w:sz w:val="20"/>
          <w:szCs w:val="22"/>
        </w:rPr>
        <w:t>).</w:t>
      </w:r>
    </w:p>
    <w:p w14:paraId="699C5707" w14:textId="58A7FAFC" w:rsidR="006220A2" w:rsidRPr="0083433F" w:rsidRDefault="00176BA0" w:rsidP="00176BA0">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00" w:after="120" w:line="260" w:lineRule="exact"/>
        <w:ind w:left="284" w:hanging="284"/>
        <w:outlineLvl w:val="9"/>
        <w:rPr>
          <w:b/>
          <w:sz w:val="20"/>
          <w:szCs w:val="22"/>
        </w:rPr>
      </w:pPr>
      <w:r>
        <w:rPr>
          <w:b/>
          <w:sz w:val="20"/>
          <w:szCs w:val="22"/>
        </w:rPr>
        <w:t xml:space="preserve"> </w:t>
      </w:r>
      <w:r w:rsidR="006220A2" w:rsidRPr="0083433F">
        <w:rPr>
          <w:b/>
          <w:sz w:val="20"/>
          <w:szCs w:val="22"/>
        </w:rPr>
        <w:t>Fondos Propios</w:t>
      </w:r>
    </w:p>
    <w:p w14:paraId="2DC39D55" w14:textId="77777777" w:rsidR="006220A2" w:rsidRPr="0083433F" w:rsidRDefault="006220A2" w:rsidP="003254FA">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ind w:left="0" w:firstLine="0"/>
        <w:outlineLvl w:val="9"/>
        <w:rPr>
          <w:i/>
          <w:sz w:val="20"/>
          <w:szCs w:val="22"/>
          <w:u w:val="single"/>
        </w:rPr>
      </w:pPr>
      <w:r w:rsidRPr="0083433F">
        <w:rPr>
          <w:i/>
          <w:sz w:val="20"/>
          <w:szCs w:val="22"/>
          <w:u w:val="single"/>
        </w:rPr>
        <w:t>Capital Social</w:t>
      </w:r>
    </w:p>
    <w:p w14:paraId="44778E09" w14:textId="26FF9702" w:rsidR="006220A2" w:rsidRPr="0083433F" w:rsidRDefault="006220A2" w:rsidP="005644E5">
      <w:pPr>
        <w:widowControl w:val="0"/>
        <w:spacing w:before="120" w:after="120" w:line="260" w:lineRule="exact"/>
        <w:ind w:left="284"/>
        <w:jc w:val="both"/>
        <w:outlineLvl w:val="9"/>
        <w:rPr>
          <w:snapToGrid w:val="0"/>
          <w:sz w:val="20"/>
          <w:szCs w:val="22"/>
        </w:rPr>
      </w:pPr>
      <w:r w:rsidRPr="0083433F">
        <w:rPr>
          <w:snapToGrid w:val="0"/>
          <w:sz w:val="20"/>
          <w:szCs w:val="22"/>
        </w:rPr>
        <w:t xml:space="preserve">El capital social está representado por 102 acciones clase “A” nominativas, de 3.000,00 euros nominales cada una, y 98 acciones clase “B” nominativas, de 3.000,00 euros nominales cada una. Todas las acciones gozan de iguales derechos políticos y económicos. El Capital </w:t>
      </w:r>
      <w:r w:rsidR="005644E5">
        <w:rPr>
          <w:snapToGrid w:val="0"/>
          <w:sz w:val="20"/>
          <w:szCs w:val="22"/>
        </w:rPr>
        <w:t>esta</w:t>
      </w:r>
      <w:r w:rsidRPr="0083433F">
        <w:rPr>
          <w:snapToGrid w:val="0"/>
          <w:sz w:val="20"/>
          <w:szCs w:val="22"/>
        </w:rPr>
        <w:t xml:space="preserve"> íntegramente desembolsado.</w:t>
      </w:r>
    </w:p>
    <w:tbl>
      <w:tblPr>
        <w:tblW w:w="5000" w:type="pct"/>
        <w:jc w:val="center"/>
        <w:tblCellMar>
          <w:left w:w="70" w:type="dxa"/>
          <w:right w:w="70" w:type="dxa"/>
        </w:tblCellMar>
        <w:tblLook w:val="04A0" w:firstRow="1" w:lastRow="0" w:firstColumn="1" w:lastColumn="0" w:noHBand="0" w:noVBand="1"/>
      </w:tblPr>
      <w:tblGrid>
        <w:gridCol w:w="4050"/>
        <w:gridCol w:w="2265"/>
        <w:gridCol w:w="2466"/>
      </w:tblGrid>
      <w:tr w:rsidR="006220A2" w:rsidRPr="00176BA0" w14:paraId="5B992A57" w14:textId="77777777" w:rsidTr="00176BA0">
        <w:trPr>
          <w:trHeight w:val="283"/>
          <w:jc w:val="center"/>
        </w:trPr>
        <w:tc>
          <w:tcPr>
            <w:tcW w:w="2306" w:type="pct"/>
            <w:tcBorders>
              <w:top w:val="single" w:sz="4" w:space="0" w:color="auto"/>
              <w:left w:val="nil"/>
              <w:bottom w:val="nil"/>
              <w:right w:val="nil"/>
            </w:tcBorders>
            <w:shd w:val="clear" w:color="auto" w:fill="auto"/>
            <w:vAlign w:val="bottom"/>
            <w:hideMark/>
          </w:tcPr>
          <w:p w14:paraId="3990C60A" w14:textId="77777777" w:rsidR="006220A2" w:rsidRPr="00176BA0" w:rsidRDefault="006220A2" w:rsidP="00176BA0">
            <w:pPr>
              <w:ind w:left="217"/>
              <w:jc w:val="center"/>
              <w:rPr>
                <w:rFonts w:eastAsia="Times New Roman"/>
                <w:sz w:val="18"/>
                <w:szCs w:val="18"/>
              </w:rPr>
            </w:pPr>
          </w:p>
        </w:tc>
        <w:tc>
          <w:tcPr>
            <w:tcW w:w="2694" w:type="pct"/>
            <w:gridSpan w:val="2"/>
            <w:tcBorders>
              <w:top w:val="single" w:sz="4" w:space="0" w:color="auto"/>
              <w:left w:val="nil"/>
              <w:bottom w:val="single" w:sz="4" w:space="0" w:color="auto"/>
              <w:right w:val="nil"/>
            </w:tcBorders>
            <w:shd w:val="clear" w:color="auto" w:fill="auto"/>
            <w:vAlign w:val="bottom"/>
            <w:hideMark/>
          </w:tcPr>
          <w:p w14:paraId="020A2E26" w14:textId="77777777" w:rsidR="006220A2" w:rsidRPr="00176BA0" w:rsidRDefault="006220A2" w:rsidP="005D3D49">
            <w:pPr>
              <w:jc w:val="center"/>
              <w:rPr>
                <w:rFonts w:eastAsia="Times New Roman"/>
                <w:b/>
                <w:bCs/>
                <w:sz w:val="18"/>
                <w:szCs w:val="18"/>
              </w:rPr>
            </w:pPr>
            <w:r w:rsidRPr="00176BA0">
              <w:rPr>
                <w:rFonts w:eastAsia="Times New Roman"/>
                <w:b/>
                <w:bCs/>
                <w:snapToGrid w:val="0"/>
                <w:sz w:val="18"/>
                <w:szCs w:val="18"/>
              </w:rPr>
              <w:t>Euros</w:t>
            </w:r>
          </w:p>
        </w:tc>
      </w:tr>
      <w:tr w:rsidR="00680448" w:rsidRPr="00176BA0" w14:paraId="4207A215" w14:textId="77777777" w:rsidTr="00176BA0">
        <w:trPr>
          <w:trHeight w:val="283"/>
          <w:jc w:val="center"/>
        </w:trPr>
        <w:tc>
          <w:tcPr>
            <w:tcW w:w="2306" w:type="pct"/>
            <w:tcBorders>
              <w:top w:val="nil"/>
              <w:left w:val="nil"/>
              <w:bottom w:val="single" w:sz="4" w:space="0" w:color="auto"/>
              <w:right w:val="nil"/>
            </w:tcBorders>
            <w:shd w:val="clear" w:color="auto" w:fill="auto"/>
            <w:vAlign w:val="bottom"/>
            <w:hideMark/>
          </w:tcPr>
          <w:p w14:paraId="1DFA30D7" w14:textId="77777777" w:rsidR="00680448" w:rsidRPr="00176BA0" w:rsidRDefault="00680448" w:rsidP="00176BA0">
            <w:pPr>
              <w:ind w:left="217" w:firstLineChars="200" w:firstLine="360"/>
              <w:jc w:val="center"/>
              <w:rPr>
                <w:rFonts w:eastAsia="Times New Roman"/>
                <w:sz w:val="18"/>
                <w:szCs w:val="18"/>
              </w:rPr>
            </w:pPr>
          </w:p>
        </w:tc>
        <w:tc>
          <w:tcPr>
            <w:tcW w:w="1290" w:type="pct"/>
            <w:tcBorders>
              <w:top w:val="nil"/>
              <w:left w:val="nil"/>
              <w:bottom w:val="single" w:sz="4" w:space="0" w:color="auto"/>
              <w:right w:val="nil"/>
            </w:tcBorders>
            <w:shd w:val="clear" w:color="auto" w:fill="auto"/>
            <w:vAlign w:val="bottom"/>
            <w:hideMark/>
          </w:tcPr>
          <w:p w14:paraId="22305B6F" w14:textId="1FB11002" w:rsidR="00680448" w:rsidRPr="00176BA0" w:rsidRDefault="00680448" w:rsidP="00680448">
            <w:pPr>
              <w:keepNext/>
              <w:keepLines/>
              <w:jc w:val="center"/>
              <w:rPr>
                <w:rFonts w:eastAsia="Times New Roman"/>
                <w:b/>
                <w:bCs/>
                <w:sz w:val="18"/>
                <w:szCs w:val="18"/>
              </w:rPr>
            </w:pPr>
            <w:r w:rsidRPr="00176BA0">
              <w:rPr>
                <w:rFonts w:eastAsia="Times New Roman"/>
                <w:b/>
                <w:bCs/>
                <w:sz w:val="18"/>
                <w:szCs w:val="18"/>
              </w:rPr>
              <w:t>31/12/2021</w:t>
            </w:r>
          </w:p>
        </w:tc>
        <w:tc>
          <w:tcPr>
            <w:tcW w:w="1405" w:type="pct"/>
            <w:tcBorders>
              <w:top w:val="nil"/>
              <w:left w:val="nil"/>
              <w:bottom w:val="single" w:sz="4" w:space="0" w:color="auto"/>
              <w:right w:val="nil"/>
            </w:tcBorders>
            <w:shd w:val="clear" w:color="auto" w:fill="auto"/>
            <w:vAlign w:val="bottom"/>
            <w:hideMark/>
          </w:tcPr>
          <w:p w14:paraId="3430750F" w14:textId="61778202" w:rsidR="00680448" w:rsidRPr="00176BA0" w:rsidRDefault="00680448" w:rsidP="00680448">
            <w:pPr>
              <w:keepNext/>
              <w:keepLines/>
              <w:jc w:val="center"/>
              <w:rPr>
                <w:rFonts w:eastAsia="Times New Roman"/>
                <w:b/>
                <w:bCs/>
                <w:sz w:val="18"/>
                <w:szCs w:val="18"/>
              </w:rPr>
            </w:pPr>
            <w:r w:rsidRPr="00176BA0">
              <w:rPr>
                <w:rFonts w:eastAsia="Times New Roman"/>
                <w:b/>
                <w:bCs/>
                <w:sz w:val="18"/>
                <w:szCs w:val="18"/>
              </w:rPr>
              <w:t>31/12/2020</w:t>
            </w:r>
          </w:p>
        </w:tc>
      </w:tr>
      <w:tr w:rsidR="00680448" w:rsidRPr="00176BA0" w14:paraId="2734897D" w14:textId="77777777" w:rsidTr="00176BA0">
        <w:trPr>
          <w:trHeight w:val="283"/>
          <w:jc w:val="center"/>
        </w:trPr>
        <w:tc>
          <w:tcPr>
            <w:tcW w:w="2306" w:type="pct"/>
            <w:tcBorders>
              <w:top w:val="nil"/>
              <w:left w:val="nil"/>
              <w:bottom w:val="single" w:sz="4" w:space="0" w:color="auto"/>
              <w:right w:val="nil"/>
            </w:tcBorders>
            <w:shd w:val="clear" w:color="auto" w:fill="auto"/>
            <w:vAlign w:val="center"/>
            <w:hideMark/>
          </w:tcPr>
          <w:p w14:paraId="39E1CD1B" w14:textId="77777777" w:rsidR="00680448" w:rsidRPr="00176BA0" w:rsidRDefault="00680448" w:rsidP="00176BA0">
            <w:pPr>
              <w:ind w:left="217"/>
              <w:rPr>
                <w:rFonts w:eastAsia="Times New Roman"/>
                <w:sz w:val="18"/>
                <w:szCs w:val="18"/>
              </w:rPr>
            </w:pPr>
            <w:r w:rsidRPr="00176BA0">
              <w:rPr>
                <w:rFonts w:eastAsia="Times New Roman"/>
                <w:snapToGrid w:val="0"/>
                <w:sz w:val="18"/>
                <w:szCs w:val="18"/>
              </w:rPr>
              <w:t xml:space="preserve">Capital escriturado </w:t>
            </w:r>
          </w:p>
        </w:tc>
        <w:tc>
          <w:tcPr>
            <w:tcW w:w="1290" w:type="pct"/>
            <w:tcBorders>
              <w:top w:val="nil"/>
              <w:left w:val="nil"/>
              <w:bottom w:val="single" w:sz="4" w:space="0" w:color="auto"/>
              <w:right w:val="nil"/>
            </w:tcBorders>
            <w:shd w:val="clear" w:color="auto" w:fill="auto"/>
            <w:vAlign w:val="center"/>
          </w:tcPr>
          <w:p w14:paraId="2686579B" w14:textId="77777777" w:rsidR="00680448" w:rsidRPr="00176BA0" w:rsidRDefault="00680448" w:rsidP="00680448">
            <w:pPr>
              <w:ind w:right="354" w:firstLineChars="200" w:firstLine="360"/>
              <w:jc w:val="right"/>
              <w:rPr>
                <w:rFonts w:eastAsia="Times New Roman"/>
                <w:sz w:val="18"/>
                <w:szCs w:val="18"/>
              </w:rPr>
            </w:pPr>
            <w:r w:rsidRPr="00176BA0">
              <w:rPr>
                <w:rFonts w:eastAsia="Times New Roman"/>
                <w:snapToGrid w:val="0"/>
                <w:sz w:val="18"/>
                <w:szCs w:val="18"/>
              </w:rPr>
              <w:t>600.000,00</w:t>
            </w:r>
          </w:p>
        </w:tc>
        <w:tc>
          <w:tcPr>
            <w:tcW w:w="1405" w:type="pct"/>
            <w:tcBorders>
              <w:top w:val="nil"/>
              <w:left w:val="nil"/>
              <w:bottom w:val="single" w:sz="4" w:space="0" w:color="auto"/>
              <w:right w:val="nil"/>
            </w:tcBorders>
            <w:shd w:val="clear" w:color="auto" w:fill="auto"/>
            <w:vAlign w:val="center"/>
            <w:hideMark/>
          </w:tcPr>
          <w:p w14:paraId="0ADBA423" w14:textId="274773B4" w:rsidR="00680448" w:rsidRPr="00176BA0" w:rsidRDefault="00680448" w:rsidP="00680448">
            <w:pPr>
              <w:ind w:right="354" w:firstLineChars="200" w:firstLine="360"/>
              <w:jc w:val="right"/>
              <w:rPr>
                <w:rFonts w:eastAsia="Times New Roman"/>
                <w:sz w:val="18"/>
                <w:szCs w:val="18"/>
              </w:rPr>
            </w:pPr>
            <w:r w:rsidRPr="00176BA0">
              <w:rPr>
                <w:rFonts w:eastAsia="Times New Roman"/>
                <w:snapToGrid w:val="0"/>
                <w:sz w:val="18"/>
                <w:szCs w:val="18"/>
              </w:rPr>
              <w:t>600.000,00</w:t>
            </w:r>
          </w:p>
        </w:tc>
      </w:tr>
      <w:tr w:rsidR="00680448" w:rsidRPr="00176BA0" w14:paraId="5E7897F0" w14:textId="77777777" w:rsidTr="00176BA0">
        <w:trPr>
          <w:trHeight w:val="283"/>
          <w:jc w:val="center"/>
        </w:trPr>
        <w:tc>
          <w:tcPr>
            <w:tcW w:w="2306" w:type="pct"/>
            <w:tcBorders>
              <w:top w:val="nil"/>
              <w:left w:val="nil"/>
              <w:bottom w:val="single" w:sz="4" w:space="0" w:color="auto"/>
              <w:right w:val="nil"/>
            </w:tcBorders>
            <w:shd w:val="clear" w:color="auto" w:fill="auto"/>
            <w:vAlign w:val="center"/>
            <w:hideMark/>
          </w:tcPr>
          <w:p w14:paraId="258B51C9" w14:textId="77777777" w:rsidR="00680448" w:rsidRPr="00176BA0" w:rsidRDefault="00680448" w:rsidP="00176BA0">
            <w:pPr>
              <w:ind w:left="217" w:firstLineChars="200" w:firstLine="360"/>
              <w:rPr>
                <w:rFonts w:eastAsia="Times New Roman"/>
                <w:sz w:val="18"/>
                <w:szCs w:val="18"/>
              </w:rPr>
            </w:pPr>
            <w:r w:rsidRPr="00176BA0">
              <w:rPr>
                <w:rFonts w:eastAsia="Times New Roman"/>
                <w:snapToGrid w:val="0"/>
                <w:sz w:val="18"/>
                <w:szCs w:val="18"/>
              </w:rPr>
              <w:t> </w:t>
            </w:r>
          </w:p>
        </w:tc>
        <w:tc>
          <w:tcPr>
            <w:tcW w:w="1290" w:type="pct"/>
            <w:tcBorders>
              <w:top w:val="nil"/>
              <w:left w:val="nil"/>
              <w:bottom w:val="single" w:sz="4" w:space="0" w:color="auto"/>
              <w:right w:val="nil"/>
            </w:tcBorders>
            <w:shd w:val="clear" w:color="auto" w:fill="auto"/>
            <w:vAlign w:val="center"/>
          </w:tcPr>
          <w:p w14:paraId="6CCD4989" w14:textId="77777777" w:rsidR="00680448" w:rsidRPr="00176BA0" w:rsidRDefault="00680448" w:rsidP="00680448">
            <w:pPr>
              <w:ind w:right="354" w:firstLineChars="200" w:firstLine="361"/>
              <w:jc w:val="right"/>
              <w:rPr>
                <w:rFonts w:eastAsia="Times New Roman"/>
                <w:b/>
                <w:bCs/>
                <w:sz w:val="18"/>
                <w:szCs w:val="18"/>
              </w:rPr>
            </w:pPr>
            <w:r w:rsidRPr="00176BA0">
              <w:rPr>
                <w:rFonts w:eastAsia="Times New Roman"/>
                <w:b/>
                <w:bCs/>
                <w:snapToGrid w:val="0"/>
                <w:sz w:val="18"/>
                <w:szCs w:val="18"/>
              </w:rPr>
              <w:t>600.000,00</w:t>
            </w:r>
          </w:p>
        </w:tc>
        <w:tc>
          <w:tcPr>
            <w:tcW w:w="1405" w:type="pct"/>
            <w:tcBorders>
              <w:top w:val="nil"/>
              <w:left w:val="nil"/>
              <w:bottom w:val="single" w:sz="4" w:space="0" w:color="auto"/>
              <w:right w:val="nil"/>
            </w:tcBorders>
            <w:shd w:val="clear" w:color="auto" w:fill="auto"/>
            <w:vAlign w:val="center"/>
            <w:hideMark/>
          </w:tcPr>
          <w:p w14:paraId="1A8AEB7B" w14:textId="45839F3E" w:rsidR="00680448" w:rsidRPr="00176BA0" w:rsidRDefault="00680448" w:rsidP="00680448">
            <w:pPr>
              <w:ind w:right="354" w:firstLineChars="200" w:firstLine="361"/>
              <w:jc w:val="right"/>
              <w:rPr>
                <w:rFonts w:eastAsia="Times New Roman"/>
                <w:b/>
                <w:bCs/>
                <w:sz w:val="18"/>
                <w:szCs w:val="18"/>
              </w:rPr>
            </w:pPr>
            <w:r w:rsidRPr="00176BA0">
              <w:rPr>
                <w:rFonts w:eastAsia="Times New Roman"/>
                <w:b/>
                <w:bCs/>
                <w:snapToGrid w:val="0"/>
                <w:sz w:val="18"/>
                <w:szCs w:val="18"/>
              </w:rPr>
              <w:t>600.000,00</w:t>
            </w:r>
          </w:p>
        </w:tc>
      </w:tr>
    </w:tbl>
    <w:p w14:paraId="5369AC40" w14:textId="77777777" w:rsidR="006220A2" w:rsidRPr="0083433F" w:rsidRDefault="006220A2" w:rsidP="005644E5">
      <w:pPr>
        <w:widowControl w:val="0"/>
        <w:spacing w:before="120" w:after="120" w:line="260" w:lineRule="exact"/>
        <w:ind w:left="284"/>
        <w:jc w:val="both"/>
        <w:outlineLvl w:val="9"/>
        <w:rPr>
          <w:snapToGrid w:val="0"/>
          <w:sz w:val="20"/>
          <w:szCs w:val="22"/>
        </w:rPr>
      </w:pPr>
      <w:r w:rsidRPr="0083433F">
        <w:rPr>
          <w:snapToGrid w:val="0"/>
          <w:sz w:val="20"/>
          <w:szCs w:val="22"/>
        </w:rPr>
        <w:t xml:space="preserve">El único accionista de la Sociedad es </w:t>
      </w:r>
      <w:smartTag w:uri="urn:schemas-microsoft-com:office:smarttags" w:element="PersonName">
        <w:smartTagPr>
          <w:attr w:name="ProductID" w:val="la Administraci￳n P￺blica"/>
        </w:smartTagPr>
        <w:r w:rsidRPr="0083433F">
          <w:rPr>
            <w:snapToGrid w:val="0"/>
            <w:sz w:val="20"/>
            <w:szCs w:val="22"/>
          </w:rPr>
          <w:t>la Administración Pública</w:t>
        </w:r>
      </w:smartTag>
      <w:r w:rsidRPr="0083433F">
        <w:rPr>
          <w:snapToGrid w:val="0"/>
          <w:sz w:val="20"/>
          <w:szCs w:val="22"/>
        </w:rPr>
        <w:t xml:space="preserve"> de </w:t>
      </w:r>
      <w:smartTag w:uri="urn:schemas-microsoft-com:office:smarttags" w:element="PersonName">
        <w:smartTagPr>
          <w:attr w:name="ProductID" w:val="la Comunidad Aut￳noma"/>
        </w:smartTagPr>
        <w:r w:rsidRPr="0083433F">
          <w:rPr>
            <w:snapToGrid w:val="0"/>
            <w:sz w:val="20"/>
            <w:szCs w:val="22"/>
          </w:rPr>
          <w:t>la Comunidad Autónoma</w:t>
        </w:r>
      </w:smartTag>
      <w:r w:rsidRPr="0083433F">
        <w:rPr>
          <w:snapToGrid w:val="0"/>
          <w:sz w:val="20"/>
          <w:szCs w:val="22"/>
        </w:rPr>
        <w:t xml:space="preserve"> de Canarias, aunque se prevé que las acciones de </w:t>
      </w:r>
      <w:smartTag w:uri="urn:schemas-microsoft-com:office:smarttags" w:element="PersonName">
        <w:smartTagPr>
          <w:attr w:name="ProductID" w:val="la Serie B"/>
        </w:smartTagPr>
        <w:r w:rsidRPr="0083433F">
          <w:rPr>
            <w:snapToGrid w:val="0"/>
            <w:sz w:val="20"/>
            <w:szCs w:val="22"/>
          </w:rPr>
          <w:t>la Serie B</w:t>
        </w:r>
      </w:smartTag>
      <w:r w:rsidRPr="0083433F">
        <w:rPr>
          <w:snapToGrid w:val="0"/>
          <w:sz w:val="20"/>
          <w:szCs w:val="22"/>
        </w:rPr>
        <w:t xml:space="preserve"> sean adquiridas por las Entidades de </w:t>
      </w:r>
      <w:smartTag w:uri="urn:schemas-microsoft-com:office:smarttags" w:element="PersonName">
        <w:r w:rsidRPr="0083433F">
          <w:rPr>
            <w:snapToGrid w:val="0"/>
            <w:sz w:val="20"/>
            <w:szCs w:val="22"/>
          </w:rPr>
          <w:t>Promoción</w:t>
        </w:r>
      </w:smartTag>
      <w:r w:rsidRPr="0083433F">
        <w:rPr>
          <w:snapToGrid w:val="0"/>
          <w:sz w:val="20"/>
          <w:szCs w:val="22"/>
        </w:rPr>
        <w:t xml:space="preserve"> Turística Insular constituidas por los Cabildos Insulares, o en su defecto, por los propios Cabildos Insulares.</w:t>
      </w:r>
    </w:p>
    <w:p w14:paraId="1801F9D4" w14:textId="77777777" w:rsidR="006220A2" w:rsidRPr="0083433F" w:rsidRDefault="006220A2" w:rsidP="005644E5">
      <w:pPr>
        <w:widowControl w:val="0"/>
        <w:spacing w:before="120" w:after="120" w:line="260" w:lineRule="exact"/>
        <w:ind w:left="284"/>
        <w:jc w:val="both"/>
        <w:outlineLvl w:val="9"/>
        <w:rPr>
          <w:snapToGrid w:val="0"/>
          <w:sz w:val="20"/>
          <w:szCs w:val="22"/>
        </w:rPr>
      </w:pPr>
      <w:r w:rsidRPr="0083433F">
        <w:rPr>
          <w:snapToGrid w:val="0"/>
          <w:sz w:val="20"/>
          <w:szCs w:val="22"/>
        </w:rPr>
        <w:t xml:space="preserve">Adicionalmente, la Sociedad recibe con carácter general y, de acuerdo con los Presupuestos Generales de </w:t>
      </w:r>
      <w:smartTag w:uri="urn:schemas-microsoft-com:office:smarttags" w:element="PersonName">
        <w:smartTagPr>
          <w:attr w:name="ProductID" w:val="la Comunidad Aut￳noma"/>
        </w:smartTagPr>
        <w:r w:rsidRPr="0083433F">
          <w:rPr>
            <w:snapToGrid w:val="0"/>
            <w:sz w:val="20"/>
            <w:szCs w:val="22"/>
          </w:rPr>
          <w:t>la Comunidad Autónoma</w:t>
        </w:r>
      </w:smartTag>
      <w:r w:rsidRPr="0083433F">
        <w:rPr>
          <w:snapToGrid w:val="0"/>
          <w:sz w:val="20"/>
          <w:szCs w:val="22"/>
        </w:rPr>
        <w:t xml:space="preserve"> de Canarias de cada año, determinadas subvenciones y/o transferencias destinadas a garantizar su actividad habitual.</w:t>
      </w:r>
    </w:p>
    <w:p w14:paraId="1EDA070B" w14:textId="77777777" w:rsidR="006220A2" w:rsidRPr="0083433F" w:rsidRDefault="006220A2" w:rsidP="00176BA0">
      <w:pPr>
        <w:keepNext/>
        <w:keepLines/>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line="276" w:lineRule="auto"/>
        <w:ind w:left="0" w:firstLine="0"/>
        <w:outlineLvl w:val="9"/>
        <w:rPr>
          <w:i/>
          <w:sz w:val="20"/>
          <w:szCs w:val="22"/>
          <w:u w:val="single"/>
        </w:rPr>
      </w:pPr>
      <w:r w:rsidRPr="0083433F">
        <w:rPr>
          <w:i/>
          <w:sz w:val="20"/>
          <w:szCs w:val="22"/>
          <w:u w:val="single"/>
        </w:rPr>
        <w:lastRenderedPageBreak/>
        <w:t>Reserva legal</w:t>
      </w:r>
    </w:p>
    <w:p w14:paraId="2D4D0059" w14:textId="77777777" w:rsidR="006220A2" w:rsidRPr="0083433F" w:rsidRDefault="006220A2" w:rsidP="00176BA0">
      <w:pPr>
        <w:keepNext/>
        <w:keepLines/>
        <w:widowControl w:val="0"/>
        <w:spacing w:before="120" w:after="120" w:line="260" w:lineRule="exact"/>
        <w:ind w:left="284"/>
        <w:jc w:val="both"/>
        <w:outlineLvl w:val="9"/>
        <w:rPr>
          <w:snapToGrid w:val="0"/>
          <w:sz w:val="20"/>
          <w:szCs w:val="22"/>
        </w:rPr>
      </w:pPr>
      <w:r w:rsidRPr="0083433F">
        <w:rPr>
          <w:snapToGrid w:val="0"/>
          <w:sz w:val="20"/>
          <w:szCs w:val="22"/>
        </w:rPr>
        <w:t>De acuerdo con la Ley de Sociedades de Capital, debe destinarse una cifra igual al 10% del beneficio del ejercicio a la reserva legal hasta que ésta alcance, al menos, el 20% del capital social.</w:t>
      </w:r>
    </w:p>
    <w:p w14:paraId="7E131784" w14:textId="77777777" w:rsidR="006220A2" w:rsidRPr="0083433F" w:rsidRDefault="006220A2" w:rsidP="00176BA0">
      <w:pPr>
        <w:keepNext/>
        <w:keepLines/>
        <w:widowControl w:val="0"/>
        <w:spacing w:before="120" w:after="120" w:line="260" w:lineRule="exact"/>
        <w:ind w:left="284"/>
        <w:jc w:val="both"/>
        <w:outlineLvl w:val="9"/>
        <w:rPr>
          <w:snapToGrid w:val="0"/>
          <w:sz w:val="20"/>
          <w:szCs w:val="22"/>
        </w:rPr>
      </w:pPr>
      <w:r w:rsidRPr="0083433F">
        <w:rPr>
          <w:snapToGrid w:val="0"/>
          <w:sz w:val="20"/>
          <w:szCs w:val="22"/>
        </w:rPr>
        <w:t>La reserva legal podrá utilizarse para aumentar el capital social en la parte de su saldo que exceda del 10% del capital ya aumentado.</w:t>
      </w:r>
    </w:p>
    <w:p w14:paraId="3D7A2434" w14:textId="77777777" w:rsidR="006220A2" w:rsidRPr="0083433F" w:rsidRDefault="006220A2" w:rsidP="005644E5">
      <w:pPr>
        <w:widowControl w:val="0"/>
        <w:spacing w:before="120" w:after="120" w:line="260" w:lineRule="exact"/>
        <w:ind w:left="284"/>
        <w:jc w:val="both"/>
        <w:outlineLvl w:val="9"/>
        <w:rPr>
          <w:snapToGrid w:val="0"/>
          <w:sz w:val="20"/>
          <w:szCs w:val="22"/>
        </w:rPr>
      </w:pPr>
      <w:r w:rsidRPr="0083433F">
        <w:rPr>
          <w:snapToGrid w:val="0"/>
          <w:sz w:val="20"/>
          <w:szCs w:val="22"/>
        </w:rPr>
        <w:t>Salvo para la finalidad mencionada anteriormente, y mientras no supere el 20% del capital social, esta reserva sólo podrá destinarse a la compensación de pérdidas y siempre que no existan otras reservas disponibles suficientes para este fin.</w:t>
      </w:r>
    </w:p>
    <w:p w14:paraId="11CBC578" w14:textId="5A64A993" w:rsidR="006220A2" w:rsidRPr="0083433F" w:rsidRDefault="006220A2" w:rsidP="005644E5">
      <w:pPr>
        <w:widowControl w:val="0"/>
        <w:spacing w:before="120" w:after="120" w:line="260" w:lineRule="exact"/>
        <w:ind w:left="284"/>
        <w:jc w:val="both"/>
        <w:outlineLvl w:val="9"/>
        <w:rPr>
          <w:snapToGrid w:val="0"/>
          <w:sz w:val="20"/>
          <w:szCs w:val="22"/>
        </w:rPr>
      </w:pPr>
      <w:r w:rsidRPr="0083433F">
        <w:rPr>
          <w:snapToGrid w:val="0"/>
          <w:sz w:val="20"/>
          <w:szCs w:val="22"/>
        </w:rPr>
        <w:t xml:space="preserve">La Sociedad no ha destinado importe alguno a reserva legal debido a que no ha obtenido beneficios en los ejercicios fiscales cerrados hasta el 31 de diciembre de </w:t>
      </w:r>
      <w:r w:rsidR="004261D1" w:rsidRPr="0083433F">
        <w:rPr>
          <w:snapToGrid w:val="0"/>
          <w:sz w:val="20"/>
          <w:szCs w:val="22"/>
        </w:rPr>
        <w:t>20</w:t>
      </w:r>
      <w:r w:rsidR="000322A4">
        <w:rPr>
          <w:snapToGrid w:val="0"/>
          <w:sz w:val="20"/>
          <w:szCs w:val="22"/>
        </w:rPr>
        <w:t>2</w:t>
      </w:r>
      <w:r w:rsidR="00CE03BE">
        <w:rPr>
          <w:snapToGrid w:val="0"/>
          <w:sz w:val="20"/>
          <w:szCs w:val="22"/>
        </w:rPr>
        <w:t>1</w:t>
      </w:r>
      <w:r w:rsidRPr="0083433F">
        <w:rPr>
          <w:snapToGrid w:val="0"/>
          <w:sz w:val="20"/>
          <w:szCs w:val="22"/>
        </w:rPr>
        <w:t>.</w:t>
      </w:r>
    </w:p>
    <w:p w14:paraId="5163599F" w14:textId="77777777" w:rsidR="00F06EE1" w:rsidRPr="0083433F" w:rsidRDefault="00F06EE1" w:rsidP="00176BA0">
      <w:pPr>
        <w:keepNext/>
        <w:keepLines/>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after="120" w:line="260" w:lineRule="exact"/>
        <w:ind w:left="0" w:firstLine="0"/>
        <w:outlineLvl w:val="9"/>
        <w:rPr>
          <w:i/>
          <w:sz w:val="20"/>
          <w:szCs w:val="22"/>
          <w:u w:val="single"/>
        </w:rPr>
      </w:pPr>
      <w:r w:rsidRPr="0083433F">
        <w:rPr>
          <w:i/>
          <w:sz w:val="20"/>
          <w:szCs w:val="22"/>
          <w:u w:val="single"/>
        </w:rPr>
        <w:t>Reserva voluntaria</w:t>
      </w:r>
    </w:p>
    <w:p w14:paraId="6B71F81C" w14:textId="64D12945" w:rsidR="00F06EE1" w:rsidRPr="005644E5" w:rsidRDefault="00F06EE1" w:rsidP="005644E5">
      <w:pPr>
        <w:widowControl w:val="0"/>
        <w:spacing w:before="120" w:after="120" w:line="260" w:lineRule="exact"/>
        <w:ind w:left="284"/>
        <w:jc w:val="both"/>
        <w:outlineLvl w:val="9"/>
        <w:rPr>
          <w:snapToGrid w:val="0"/>
          <w:sz w:val="20"/>
          <w:szCs w:val="22"/>
        </w:rPr>
      </w:pPr>
      <w:r w:rsidRPr="00215893">
        <w:rPr>
          <w:snapToGrid w:val="0"/>
          <w:sz w:val="20"/>
          <w:szCs w:val="22"/>
        </w:rPr>
        <w:t xml:space="preserve">El 28 de </w:t>
      </w:r>
      <w:r w:rsidRPr="005644E5">
        <w:rPr>
          <w:snapToGrid w:val="0"/>
          <w:sz w:val="20"/>
          <w:szCs w:val="22"/>
        </w:rPr>
        <w:t>febrero de 2020 con anterioridad a la formulación de las Cuentas Anuales del ejercicio 2019, la Sociedad recib</w:t>
      </w:r>
      <w:r w:rsidR="00215893" w:rsidRPr="005644E5">
        <w:rPr>
          <w:snapToGrid w:val="0"/>
          <w:sz w:val="20"/>
          <w:szCs w:val="22"/>
        </w:rPr>
        <w:t>ió</w:t>
      </w:r>
      <w:r w:rsidRPr="005644E5">
        <w:rPr>
          <w:snapToGrid w:val="0"/>
          <w:sz w:val="20"/>
          <w:szCs w:val="22"/>
        </w:rPr>
        <w:t xml:space="preserve"> los Informes Definitivos de Control Financiero de la Consejería de Hacienda, Presupuestos y Asuntos Europeos correspondientes a la justificación de las subvenciones de Promoción Turística de las Islas Canarias dirigidas a profesionales FEDER 2016-2017 y Promoción Turística de las Islas Canarias dirigidas al público FEDER 2016-2017, solicitando el reintegro de 235.200,07 euros y 492.670,89 euros respectivamente.</w:t>
      </w:r>
      <w:r w:rsidR="000322A4" w:rsidRPr="005644E5">
        <w:rPr>
          <w:snapToGrid w:val="0"/>
          <w:sz w:val="20"/>
          <w:szCs w:val="22"/>
        </w:rPr>
        <w:t xml:space="preserve"> </w:t>
      </w:r>
    </w:p>
    <w:p w14:paraId="0E4831BA" w14:textId="4B41732A" w:rsidR="000322A4" w:rsidRPr="005644E5" w:rsidRDefault="000322A4" w:rsidP="005644E5">
      <w:pPr>
        <w:widowControl w:val="0"/>
        <w:spacing w:before="120" w:after="120" w:line="260" w:lineRule="exact"/>
        <w:ind w:left="284"/>
        <w:jc w:val="both"/>
        <w:outlineLvl w:val="9"/>
        <w:rPr>
          <w:snapToGrid w:val="0"/>
          <w:sz w:val="20"/>
          <w:szCs w:val="22"/>
        </w:rPr>
      </w:pPr>
      <w:r w:rsidRPr="005644E5">
        <w:rPr>
          <w:snapToGrid w:val="0"/>
          <w:sz w:val="20"/>
          <w:szCs w:val="22"/>
        </w:rPr>
        <w:t xml:space="preserve">A 31 de diciembre de 2020 la </w:t>
      </w:r>
      <w:r w:rsidR="00723F3F" w:rsidRPr="005644E5">
        <w:rPr>
          <w:snapToGrid w:val="0"/>
          <w:sz w:val="20"/>
          <w:szCs w:val="22"/>
        </w:rPr>
        <w:t>S</w:t>
      </w:r>
      <w:r w:rsidRPr="005644E5">
        <w:rPr>
          <w:snapToGrid w:val="0"/>
          <w:sz w:val="20"/>
          <w:szCs w:val="22"/>
        </w:rPr>
        <w:t>ociedad</w:t>
      </w:r>
      <w:r w:rsidR="00215893" w:rsidRPr="005644E5">
        <w:rPr>
          <w:snapToGrid w:val="0"/>
          <w:sz w:val="20"/>
          <w:szCs w:val="22"/>
        </w:rPr>
        <w:t xml:space="preserve"> </w:t>
      </w:r>
      <w:r w:rsidRPr="005644E5">
        <w:rPr>
          <w:snapToGrid w:val="0"/>
          <w:sz w:val="20"/>
          <w:szCs w:val="22"/>
        </w:rPr>
        <w:t>abon</w:t>
      </w:r>
      <w:r w:rsidR="00215893" w:rsidRPr="005644E5">
        <w:rPr>
          <w:snapToGrid w:val="0"/>
          <w:sz w:val="20"/>
          <w:szCs w:val="22"/>
        </w:rPr>
        <w:t>ó</w:t>
      </w:r>
      <w:r w:rsidRPr="005644E5">
        <w:rPr>
          <w:snapToGrid w:val="0"/>
          <w:sz w:val="20"/>
          <w:szCs w:val="22"/>
        </w:rPr>
        <w:t xml:space="preserve"> el reintegro de las subvenciones FEDER</w:t>
      </w:r>
      <w:r w:rsidR="005D3D49" w:rsidRPr="005644E5">
        <w:rPr>
          <w:snapToGrid w:val="0"/>
          <w:sz w:val="20"/>
          <w:szCs w:val="22"/>
        </w:rPr>
        <w:t xml:space="preserve"> 2016-2017</w:t>
      </w:r>
      <w:r w:rsidRPr="005644E5">
        <w:rPr>
          <w:snapToGrid w:val="0"/>
          <w:sz w:val="20"/>
          <w:szCs w:val="22"/>
        </w:rPr>
        <w:t>, registradas</w:t>
      </w:r>
      <w:r w:rsidR="003E27B2" w:rsidRPr="005644E5">
        <w:rPr>
          <w:snapToGrid w:val="0"/>
          <w:sz w:val="20"/>
          <w:szCs w:val="22"/>
        </w:rPr>
        <w:t xml:space="preserve"> en el ejercicio 2019</w:t>
      </w:r>
      <w:r w:rsidRPr="005644E5">
        <w:rPr>
          <w:snapToGrid w:val="0"/>
          <w:sz w:val="20"/>
          <w:szCs w:val="22"/>
        </w:rPr>
        <w:t xml:space="preserve"> como reservas voluntarias.</w:t>
      </w:r>
    </w:p>
    <w:p w14:paraId="02A86140" w14:textId="21A08CBB" w:rsidR="00F06EE1" w:rsidRPr="00176BA0" w:rsidRDefault="00F06EE1" w:rsidP="00176BA0">
      <w:pPr>
        <w:widowControl w:val="0"/>
        <w:spacing w:before="120" w:after="120" w:line="260" w:lineRule="exact"/>
        <w:ind w:left="284"/>
        <w:jc w:val="both"/>
        <w:outlineLvl w:val="9"/>
        <w:rPr>
          <w:snapToGrid w:val="0"/>
          <w:sz w:val="20"/>
          <w:szCs w:val="22"/>
        </w:rPr>
      </w:pPr>
      <w:r w:rsidRPr="00176BA0">
        <w:rPr>
          <w:snapToGrid w:val="0"/>
          <w:sz w:val="20"/>
          <w:szCs w:val="22"/>
        </w:rPr>
        <w:t>La Sociedad dot</w:t>
      </w:r>
      <w:r w:rsidR="00723F3F" w:rsidRPr="00176BA0">
        <w:rPr>
          <w:snapToGrid w:val="0"/>
          <w:sz w:val="20"/>
          <w:szCs w:val="22"/>
        </w:rPr>
        <w:t>ó</w:t>
      </w:r>
      <w:r w:rsidRPr="00176BA0">
        <w:rPr>
          <w:snapToGrid w:val="0"/>
          <w:sz w:val="20"/>
          <w:szCs w:val="22"/>
        </w:rPr>
        <w:t xml:space="preserve"> una provisión por el importe total de los reintegros a 31 de diciembre </w:t>
      </w:r>
      <w:r w:rsidR="00462D8D" w:rsidRPr="00176BA0">
        <w:rPr>
          <w:snapToGrid w:val="0"/>
          <w:sz w:val="20"/>
          <w:szCs w:val="22"/>
        </w:rPr>
        <w:t>de 20</w:t>
      </w:r>
      <w:r w:rsidR="005D3D49" w:rsidRPr="00176BA0">
        <w:rPr>
          <w:snapToGrid w:val="0"/>
          <w:sz w:val="20"/>
          <w:szCs w:val="22"/>
        </w:rPr>
        <w:t>19</w:t>
      </w:r>
      <w:r w:rsidR="00462D8D" w:rsidRPr="00176BA0">
        <w:rPr>
          <w:snapToGrid w:val="0"/>
          <w:sz w:val="20"/>
          <w:szCs w:val="22"/>
        </w:rPr>
        <w:t xml:space="preserve"> en reservas voluntarias</w:t>
      </w:r>
      <w:r w:rsidR="00767602" w:rsidRPr="00176BA0">
        <w:rPr>
          <w:snapToGrid w:val="0"/>
          <w:sz w:val="20"/>
          <w:szCs w:val="22"/>
        </w:rPr>
        <w:t>, reintegrada durante el 2020</w:t>
      </w:r>
      <w:r w:rsidR="00462D8D" w:rsidRPr="00176BA0">
        <w:rPr>
          <w:snapToGrid w:val="0"/>
          <w:sz w:val="20"/>
          <w:szCs w:val="22"/>
        </w:rPr>
        <w:t>:</w:t>
      </w:r>
    </w:p>
    <w:tbl>
      <w:tblPr>
        <w:tblW w:w="5010" w:type="pct"/>
        <w:jc w:val="center"/>
        <w:tblCellMar>
          <w:left w:w="70" w:type="dxa"/>
          <w:right w:w="70" w:type="dxa"/>
        </w:tblCellMar>
        <w:tblLook w:val="04A0" w:firstRow="1" w:lastRow="0" w:firstColumn="1" w:lastColumn="0" w:noHBand="0" w:noVBand="1"/>
      </w:tblPr>
      <w:tblGrid>
        <w:gridCol w:w="1985"/>
        <w:gridCol w:w="1362"/>
        <w:gridCol w:w="1364"/>
        <w:gridCol w:w="1364"/>
        <w:gridCol w:w="1364"/>
        <w:gridCol w:w="1360"/>
      </w:tblGrid>
      <w:tr w:rsidR="000322A4" w:rsidRPr="00176BA0" w14:paraId="5D299615" w14:textId="77777777" w:rsidTr="00176BA0">
        <w:trPr>
          <w:trHeight w:val="283"/>
          <w:jc w:val="center"/>
        </w:trPr>
        <w:tc>
          <w:tcPr>
            <w:tcW w:w="1128" w:type="pct"/>
            <w:tcBorders>
              <w:top w:val="single" w:sz="4" w:space="0" w:color="auto"/>
              <w:left w:val="nil"/>
              <w:bottom w:val="nil"/>
              <w:right w:val="nil"/>
            </w:tcBorders>
            <w:shd w:val="clear" w:color="auto" w:fill="auto"/>
            <w:vAlign w:val="center"/>
            <w:hideMark/>
          </w:tcPr>
          <w:p w14:paraId="10A77BF7" w14:textId="77777777" w:rsidR="000322A4" w:rsidRPr="00176BA0"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3872" w:type="pct"/>
            <w:gridSpan w:val="5"/>
            <w:tcBorders>
              <w:top w:val="single" w:sz="4" w:space="0" w:color="auto"/>
              <w:left w:val="nil"/>
              <w:bottom w:val="single" w:sz="4" w:space="0" w:color="auto"/>
              <w:right w:val="nil"/>
            </w:tcBorders>
            <w:shd w:val="clear" w:color="auto" w:fill="auto"/>
            <w:vAlign w:val="bottom"/>
            <w:hideMark/>
          </w:tcPr>
          <w:p w14:paraId="044B708D" w14:textId="77777777" w:rsidR="000322A4" w:rsidRPr="00176BA0" w:rsidRDefault="000322A4" w:rsidP="005D3D4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Euros</w:t>
            </w:r>
          </w:p>
        </w:tc>
      </w:tr>
      <w:tr w:rsidR="00215893" w:rsidRPr="00176BA0" w14:paraId="59000340" w14:textId="77777777" w:rsidTr="00176BA0">
        <w:trPr>
          <w:trHeight w:val="283"/>
          <w:jc w:val="center"/>
        </w:trPr>
        <w:tc>
          <w:tcPr>
            <w:tcW w:w="1128" w:type="pct"/>
            <w:tcBorders>
              <w:top w:val="nil"/>
              <w:left w:val="nil"/>
              <w:bottom w:val="single" w:sz="4" w:space="0" w:color="auto"/>
              <w:right w:val="nil"/>
            </w:tcBorders>
            <w:shd w:val="clear" w:color="auto" w:fill="auto"/>
            <w:vAlign w:val="center"/>
            <w:hideMark/>
          </w:tcPr>
          <w:p w14:paraId="1F6F7AB3" w14:textId="77777777" w:rsidR="00215893" w:rsidRPr="00176BA0" w:rsidRDefault="00215893" w:rsidP="00215893">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0"/>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774" w:type="pct"/>
            <w:tcBorders>
              <w:top w:val="nil"/>
              <w:left w:val="nil"/>
              <w:bottom w:val="single" w:sz="4" w:space="0" w:color="auto"/>
              <w:right w:val="nil"/>
            </w:tcBorders>
            <w:shd w:val="clear" w:color="auto" w:fill="auto"/>
            <w:vAlign w:val="bottom"/>
            <w:hideMark/>
          </w:tcPr>
          <w:p w14:paraId="12C2DB0E" w14:textId="25E8C8A8" w:rsidR="00215893" w:rsidRPr="00176BA0" w:rsidRDefault="00215893" w:rsidP="0021589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31/12/2019</w:t>
            </w:r>
          </w:p>
        </w:tc>
        <w:tc>
          <w:tcPr>
            <w:tcW w:w="775" w:type="pct"/>
            <w:tcBorders>
              <w:top w:val="nil"/>
              <w:left w:val="nil"/>
              <w:bottom w:val="single" w:sz="4" w:space="0" w:color="auto"/>
              <w:right w:val="nil"/>
            </w:tcBorders>
            <w:shd w:val="clear" w:color="auto" w:fill="auto"/>
            <w:vAlign w:val="bottom"/>
            <w:hideMark/>
          </w:tcPr>
          <w:p w14:paraId="585A5A23" w14:textId="70C8DB4A" w:rsidR="00215893" w:rsidRPr="00176BA0" w:rsidRDefault="00215893" w:rsidP="0021589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Bajas</w:t>
            </w:r>
          </w:p>
        </w:tc>
        <w:tc>
          <w:tcPr>
            <w:tcW w:w="775" w:type="pct"/>
            <w:tcBorders>
              <w:top w:val="nil"/>
              <w:left w:val="nil"/>
              <w:bottom w:val="single" w:sz="4" w:space="0" w:color="auto"/>
              <w:right w:val="nil"/>
            </w:tcBorders>
            <w:shd w:val="clear" w:color="auto" w:fill="auto"/>
            <w:vAlign w:val="bottom"/>
            <w:hideMark/>
          </w:tcPr>
          <w:p w14:paraId="1D40D772" w14:textId="40FF7E5D" w:rsidR="00215893" w:rsidRPr="00176BA0" w:rsidRDefault="00215893" w:rsidP="0021589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31/12/2020</w:t>
            </w:r>
          </w:p>
        </w:tc>
        <w:tc>
          <w:tcPr>
            <w:tcW w:w="775" w:type="pct"/>
            <w:tcBorders>
              <w:top w:val="nil"/>
              <w:left w:val="nil"/>
              <w:bottom w:val="single" w:sz="4" w:space="0" w:color="auto"/>
              <w:right w:val="nil"/>
            </w:tcBorders>
            <w:shd w:val="clear" w:color="auto" w:fill="auto"/>
            <w:vAlign w:val="bottom"/>
            <w:hideMark/>
          </w:tcPr>
          <w:p w14:paraId="5B95E503" w14:textId="47B59CE1" w:rsidR="00215893" w:rsidRPr="00176BA0" w:rsidRDefault="00215893" w:rsidP="0021589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Bajas</w:t>
            </w:r>
          </w:p>
        </w:tc>
        <w:tc>
          <w:tcPr>
            <w:tcW w:w="773" w:type="pct"/>
            <w:tcBorders>
              <w:top w:val="nil"/>
              <w:left w:val="nil"/>
              <w:bottom w:val="single" w:sz="4" w:space="0" w:color="auto"/>
              <w:right w:val="nil"/>
            </w:tcBorders>
            <w:shd w:val="clear" w:color="auto" w:fill="auto"/>
            <w:vAlign w:val="bottom"/>
            <w:hideMark/>
          </w:tcPr>
          <w:p w14:paraId="207F9190" w14:textId="146E4170" w:rsidR="00215893" w:rsidRPr="00176BA0" w:rsidRDefault="00215893" w:rsidP="0021589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31/12/2021</w:t>
            </w:r>
          </w:p>
        </w:tc>
      </w:tr>
      <w:tr w:rsidR="00215893" w:rsidRPr="00176BA0" w14:paraId="068CA4E0" w14:textId="77777777" w:rsidTr="00176BA0">
        <w:trPr>
          <w:trHeight w:val="283"/>
          <w:jc w:val="center"/>
        </w:trPr>
        <w:tc>
          <w:tcPr>
            <w:tcW w:w="1128" w:type="pct"/>
            <w:tcBorders>
              <w:top w:val="nil"/>
              <w:left w:val="nil"/>
              <w:bottom w:val="single" w:sz="4" w:space="0" w:color="auto"/>
              <w:right w:val="nil"/>
            </w:tcBorders>
            <w:shd w:val="clear" w:color="auto" w:fill="auto"/>
            <w:vAlign w:val="center"/>
            <w:hideMark/>
          </w:tcPr>
          <w:p w14:paraId="70898218" w14:textId="77777777" w:rsidR="00215893" w:rsidRPr="00176BA0" w:rsidRDefault="00215893" w:rsidP="0021589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Reservas voluntarias</w:t>
            </w:r>
          </w:p>
        </w:tc>
        <w:tc>
          <w:tcPr>
            <w:tcW w:w="774" w:type="pct"/>
            <w:tcBorders>
              <w:top w:val="nil"/>
              <w:left w:val="nil"/>
              <w:bottom w:val="nil"/>
              <w:right w:val="nil"/>
            </w:tcBorders>
            <w:shd w:val="clear" w:color="auto" w:fill="auto"/>
            <w:noWrap/>
            <w:vAlign w:val="center"/>
            <w:hideMark/>
          </w:tcPr>
          <w:p w14:paraId="6650B65F" w14:textId="1641F6BA" w:rsidR="00215893" w:rsidRPr="00176BA0" w:rsidRDefault="00215893" w:rsidP="00D34C6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(727.870,96)</w:t>
            </w:r>
          </w:p>
        </w:tc>
        <w:tc>
          <w:tcPr>
            <w:tcW w:w="775" w:type="pct"/>
            <w:tcBorders>
              <w:top w:val="nil"/>
              <w:left w:val="nil"/>
              <w:bottom w:val="nil"/>
              <w:right w:val="nil"/>
            </w:tcBorders>
            <w:shd w:val="clear" w:color="auto" w:fill="auto"/>
            <w:noWrap/>
            <w:vAlign w:val="center"/>
            <w:hideMark/>
          </w:tcPr>
          <w:p w14:paraId="41714AD4" w14:textId="343A1437" w:rsidR="00215893" w:rsidRPr="00176BA0" w:rsidRDefault="00215893" w:rsidP="00D34C6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727.870,96</w:t>
            </w:r>
          </w:p>
        </w:tc>
        <w:tc>
          <w:tcPr>
            <w:tcW w:w="775" w:type="pct"/>
            <w:tcBorders>
              <w:top w:val="nil"/>
              <w:left w:val="nil"/>
              <w:bottom w:val="nil"/>
              <w:right w:val="nil"/>
            </w:tcBorders>
            <w:shd w:val="clear" w:color="auto" w:fill="auto"/>
            <w:noWrap/>
            <w:vAlign w:val="center"/>
            <w:hideMark/>
          </w:tcPr>
          <w:p w14:paraId="32508B92" w14:textId="5F69F24F" w:rsidR="00215893" w:rsidRPr="00176BA0" w:rsidRDefault="00215893" w:rsidP="00D34C6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 -</w:t>
            </w:r>
          </w:p>
        </w:tc>
        <w:tc>
          <w:tcPr>
            <w:tcW w:w="775" w:type="pct"/>
            <w:tcBorders>
              <w:top w:val="nil"/>
              <w:left w:val="nil"/>
              <w:bottom w:val="nil"/>
              <w:right w:val="nil"/>
            </w:tcBorders>
            <w:shd w:val="clear" w:color="auto" w:fill="auto"/>
            <w:noWrap/>
            <w:vAlign w:val="center"/>
            <w:hideMark/>
          </w:tcPr>
          <w:p w14:paraId="570730BC" w14:textId="677290E9" w:rsidR="00215893" w:rsidRPr="00176BA0" w:rsidRDefault="00215893" w:rsidP="00D34C6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 -</w:t>
            </w:r>
          </w:p>
        </w:tc>
        <w:tc>
          <w:tcPr>
            <w:tcW w:w="773" w:type="pct"/>
            <w:tcBorders>
              <w:top w:val="nil"/>
              <w:left w:val="nil"/>
              <w:bottom w:val="nil"/>
              <w:right w:val="nil"/>
            </w:tcBorders>
            <w:shd w:val="clear" w:color="auto" w:fill="auto"/>
            <w:noWrap/>
            <w:vAlign w:val="center"/>
            <w:hideMark/>
          </w:tcPr>
          <w:p w14:paraId="49E58E30" w14:textId="0BC3896B" w:rsidR="00215893" w:rsidRPr="00176BA0" w:rsidRDefault="00215893" w:rsidP="00D34C6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 -</w:t>
            </w:r>
          </w:p>
        </w:tc>
      </w:tr>
      <w:tr w:rsidR="00215893" w:rsidRPr="00176BA0" w14:paraId="5EAEBD9D" w14:textId="77777777" w:rsidTr="00176BA0">
        <w:trPr>
          <w:trHeight w:val="283"/>
          <w:jc w:val="center"/>
        </w:trPr>
        <w:tc>
          <w:tcPr>
            <w:tcW w:w="1128" w:type="pct"/>
            <w:tcBorders>
              <w:top w:val="nil"/>
              <w:left w:val="nil"/>
              <w:bottom w:val="single" w:sz="4" w:space="0" w:color="auto"/>
              <w:right w:val="nil"/>
            </w:tcBorders>
            <w:shd w:val="clear" w:color="auto" w:fill="auto"/>
            <w:vAlign w:val="center"/>
            <w:hideMark/>
          </w:tcPr>
          <w:p w14:paraId="5C9DEC41" w14:textId="77777777" w:rsidR="00215893" w:rsidRPr="00176BA0" w:rsidRDefault="00215893" w:rsidP="00215893">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0"/>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774" w:type="pct"/>
            <w:tcBorders>
              <w:top w:val="single" w:sz="4" w:space="0" w:color="auto"/>
              <w:left w:val="nil"/>
              <w:bottom w:val="single" w:sz="4" w:space="0" w:color="auto"/>
              <w:right w:val="nil"/>
            </w:tcBorders>
            <w:shd w:val="clear" w:color="auto" w:fill="auto"/>
            <w:noWrap/>
            <w:vAlign w:val="center"/>
            <w:hideMark/>
          </w:tcPr>
          <w:p w14:paraId="317D735F" w14:textId="4D51AEF6" w:rsidR="00215893" w:rsidRPr="00176BA0" w:rsidRDefault="00215893" w:rsidP="00D34C6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(727.870,96)</w:t>
            </w:r>
          </w:p>
        </w:tc>
        <w:tc>
          <w:tcPr>
            <w:tcW w:w="775" w:type="pct"/>
            <w:tcBorders>
              <w:top w:val="single" w:sz="4" w:space="0" w:color="auto"/>
              <w:left w:val="nil"/>
              <w:bottom w:val="single" w:sz="4" w:space="0" w:color="auto"/>
              <w:right w:val="nil"/>
            </w:tcBorders>
            <w:shd w:val="clear" w:color="auto" w:fill="auto"/>
            <w:noWrap/>
            <w:vAlign w:val="center"/>
            <w:hideMark/>
          </w:tcPr>
          <w:p w14:paraId="34BFE3B8" w14:textId="2FBDF4C2" w:rsidR="00215893" w:rsidRPr="00176BA0" w:rsidRDefault="00215893" w:rsidP="00D34C6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727.870,96</w:t>
            </w:r>
          </w:p>
        </w:tc>
        <w:tc>
          <w:tcPr>
            <w:tcW w:w="775" w:type="pct"/>
            <w:tcBorders>
              <w:top w:val="single" w:sz="4" w:space="0" w:color="auto"/>
              <w:left w:val="nil"/>
              <w:bottom w:val="single" w:sz="4" w:space="0" w:color="auto"/>
              <w:right w:val="nil"/>
            </w:tcBorders>
            <w:shd w:val="clear" w:color="auto" w:fill="auto"/>
            <w:noWrap/>
            <w:vAlign w:val="center"/>
            <w:hideMark/>
          </w:tcPr>
          <w:p w14:paraId="408FEC60" w14:textId="756B1EB4" w:rsidR="00215893" w:rsidRPr="00176BA0" w:rsidRDefault="00215893" w:rsidP="00D34C6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 xml:space="preserve"> -</w:t>
            </w:r>
          </w:p>
        </w:tc>
        <w:tc>
          <w:tcPr>
            <w:tcW w:w="775" w:type="pct"/>
            <w:tcBorders>
              <w:top w:val="single" w:sz="4" w:space="0" w:color="auto"/>
              <w:left w:val="nil"/>
              <w:bottom w:val="single" w:sz="4" w:space="0" w:color="auto"/>
              <w:right w:val="nil"/>
            </w:tcBorders>
            <w:shd w:val="clear" w:color="auto" w:fill="auto"/>
            <w:noWrap/>
            <w:vAlign w:val="center"/>
            <w:hideMark/>
          </w:tcPr>
          <w:p w14:paraId="6C6BF33E" w14:textId="54AB92FA" w:rsidR="00215893" w:rsidRPr="00176BA0" w:rsidRDefault="00215893" w:rsidP="00D34C6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 xml:space="preserve"> -</w:t>
            </w:r>
          </w:p>
        </w:tc>
        <w:tc>
          <w:tcPr>
            <w:tcW w:w="773" w:type="pct"/>
            <w:tcBorders>
              <w:top w:val="single" w:sz="4" w:space="0" w:color="auto"/>
              <w:left w:val="nil"/>
              <w:bottom w:val="single" w:sz="4" w:space="0" w:color="auto"/>
              <w:right w:val="nil"/>
            </w:tcBorders>
            <w:shd w:val="clear" w:color="auto" w:fill="auto"/>
            <w:noWrap/>
            <w:vAlign w:val="center"/>
            <w:hideMark/>
          </w:tcPr>
          <w:p w14:paraId="045F7F99" w14:textId="0882A07B" w:rsidR="00215893" w:rsidRPr="00176BA0" w:rsidRDefault="00215893" w:rsidP="00D34C6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 xml:space="preserve"> -</w:t>
            </w:r>
          </w:p>
        </w:tc>
      </w:tr>
    </w:tbl>
    <w:p w14:paraId="70AD103E" w14:textId="77777777" w:rsidR="006220A2" w:rsidRPr="0083433F" w:rsidRDefault="006220A2" w:rsidP="003254FA">
      <w:pPr>
        <w:keepNext/>
        <w:keepLines/>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ind w:left="0" w:firstLine="0"/>
        <w:outlineLvl w:val="9"/>
        <w:rPr>
          <w:i/>
          <w:sz w:val="20"/>
          <w:szCs w:val="22"/>
          <w:u w:val="single"/>
        </w:rPr>
      </w:pPr>
      <w:r w:rsidRPr="0083433F">
        <w:rPr>
          <w:i/>
          <w:sz w:val="20"/>
          <w:szCs w:val="22"/>
          <w:u w:val="single"/>
        </w:rPr>
        <w:t>Otras aportaciones de socios</w:t>
      </w:r>
    </w:p>
    <w:p w14:paraId="3A54FD0E" w14:textId="5E605087" w:rsidR="006220A2" w:rsidRPr="0083433F" w:rsidRDefault="006220A2" w:rsidP="00176BA0">
      <w:pPr>
        <w:widowControl w:val="0"/>
        <w:spacing w:before="120" w:after="120" w:line="260" w:lineRule="exact"/>
        <w:ind w:left="284"/>
        <w:jc w:val="both"/>
        <w:outlineLvl w:val="9"/>
        <w:rPr>
          <w:snapToGrid w:val="0"/>
          <w:sz w:val="20"/>
          <w:szCs w:val="22"/>
        </w:rPr>
      </w:pPr>
      <w:r w:rsidRPr="0083433F">
        <w:rPr>
          <w:snapToGrid w:val="0"/>
          <w:sz w:val="20"/>
          <w:szCs w:val="22"/>
        </w:rPr>
        <w:t>El importe contabilizado en este epígrafe se corresponde con la transferencia concedida y dev</w:t>
      </w:r>
      <w:r w:rsidR="004261D1" w:rsidRPr="0083433F">
        <w:rPr>
          <w:snapToGrid w:val="0"/>
          <w:sz w:val="20"/>
          <w:szCs w:val="22"/>
        </w:rPr>
        <w:t>engada a 31 de diciembre de 20</w:t>
      </w:r>
      <w:r w:rsidR="000322A4">
        <w:rPr>
          <w:snapToGrid w:val="0"/>
          <w:sz w:val="20"/>
          <w:szCs w:val="22"/>
        </w:rPr>
        <w:t>2</w:t>
      </w:r>
      <w:r w:rsidR="005A6619">
        <w:rPr>
          <w:snapToGrid w:val="0"/>
          <w:sz w:val="20"/>
          <w:szCs w:val="22"/>
        </w:rPr>
        <w:t>1</w:t>
      </w:r>
      <w:r w:rsidRPr="0083433F">
        <w:rPr>
          <w:snapToGrid w:val="0"/>
          <w:sz w:val="20"/>
          <w:szCs w:val="22"/>
        </w:rPr>
        <w:t xml:space="preserve">, por parte de la Consejería de </w:t>
      </w:r>
      <w:r w:rsidRPr="00274EE1">
        <w:rPr>
          <w:snapToGrid w:val="0"/>
          <w:sz w:val="20"/>
          <w:szCs w:val="22"/>
        </w:rPr>
        <w:t xml:space="preserve">Turismo, </w:t>
      </w:r>
      <w:r w:rsidR="003D1D1F" w:rsidRPr="00274EE1">
        <w:rPr>
          <w:snapToGrid w:val="0"/>
          <w:sz w:val="20"/>
          <w:szCs w:val="22"/>
        </w:rPr>
        <w:t>Industria y Comercio</w:t>
      </w:r>
      <w:r w:rsidRPr="0083433F">
        <w:rPr>
          <w:snapToGrid w:val="0"/>
          <w:sz w:val="20"/>
          <w:szCs w:val="22"/>
        </w:rPr>
        <w:t xml:space="preserve"> para financiar déficits de explotación o gastos generales de funcionamiento de la empresa, a </w:t>
      </w:r>
      <w:r w:rsidR="004E7CD6" w:rsidRPr="0083433F">
        <w:rPr>
          <w:snapToGrid w:val="0"/>
          <w:sz w:val="20"/>
          <w:szCs w:val="22"/>
        </w:rPr>
        <w:t>continuación,</w:t>
      </w:r>
      <w:r w:rsidRPr="0083433F">
        <w:rPr>
          <w:snapToGrid w:val="0"/>
          <w:sz w:val="20"/>
          <w:szCs w:val="22"/>
        </w:rPr>
        <w:t xml:space="preserve"> se detalla la misma:</w:t>
      </w:r>
    </w:p>
    <w:tbl>
      <w:tblPr>
        <w:tblW w:w="5000" w:type="pct"/>
        <w:jc w:val="center"/>
        <w:tblCellMar>
          <w:left w:w="70" w:type="dxa"/>
          <w:right w:w="70" w:type="dxa"/>
        </w:tblCellMar>
        <w:tblLook w:val="04A0" w:firstRow="1" w:lastRow="0" w:firstColumn="1" w:lastColumn="0" w:noHBand="0" w:noVBand="1"/>
      </w:tblPr>
      <w:tblGrid>
        <w:gridCol w:w="4742"/>
        <w:gridCol w:w="759"/>
        <w:gridCol w:w="1640"/>
        <w:gridCol w:w="1640"/>
      </w:tblGrid>
      <w:tr w:rsidR="000322A4" w:rsidRPr="00176BA0" w14:paraId="644F20B4" w14:textId="77777777" w:rsidTr="00176BA0">
        <w:trPr>
          <w:trHeight w:val="283"/>
          <w:jc w:val="center"/>
        </w:trPr>
        <w:tc>
          <w:tcPr>
            <w:tcW w:w="2700" w:type="pct"/>
            <w:tcBorders>
              <w:top w:val="single" w:sz="4" w:space="0" w:color="auto"/>
              <w:left w:val="nil"/>
              <w:bottom w:val="nil"/>
              <w:right w:val="nil"/>
            </w:tcBorders>
            <w:shd w:val="clear" w:color="auto" w:fill="auto"/>
            <w:vAlign w:val="center"/>
            <w:hideMark/>
          </w:tcPr>
          <w:p w14:paraId="697CD687" w14:textId="77777777" w:rsidR="000322A4" w:rsidRPr="00176BA0" w:rsidRDefault="000322A4" w:rsidP="00176BA0">
            <w:pPr>
              <w:pBdr>
                <w:top w:val="none" w:sz="0" w:space="0" w:color="auto"/>
                <w:left w:val="none" w:sz="0" w:space="0" w:color="auto"/>
                <w:bottom w:val="none" w:sz="0" w:space="0" w:color="auto"/>
                <w:right w:val="none" w:sz="0" w:space="0" w:color="auto"/>
                <w:between w:val="none" w:sz="0" w:space="0" w:color="auto"/>
                <w:bar w:val="none" w:sz="0" w:color="auto"/>
              </w:pBdr>
              <w:ind w:left="217"/>
              <w:jc w:val="cente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432" w:type="pct"/>
            <w:tcBorders>
              <w:top w:val="single" w:sz="4" w:space="0" w:color="auto"/>
              <w:left w:val="nil"/>
              <w:bottom w:val="nil"/>
              <w:right w:val="nil"/>
            </w:tcBorders>
            <w:shd w:val="clear" w:color="auto" w:fill="auto"/>
            <w:vAlign w:val="center"/>
            <w:hideMark/>
          </w:tcPr>
          <w:p w14:paraId="753EEE14" w14:textId="77777777" w:rsidR="000322A4" w:rsidRPr="00176BA0"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1868" w:type="pct"/>
            <w:gridSpan w:val="2"/>
            <w:tcBorders>
              <w:top w:val="single" w:sz="4" w:space="0" w:color="auto"/>
              <w:left w:val="nil"/>
              <w:bottom w:val="single" w:sz="4" w:space="0" w:color="auto"/>
              <w:right w:val="nil"/>
            </w:tcBorders>
            <w:shd w:val="clear" w:color="auto" w:fill="auto"/>
            <w:vAlign w:val="bottom"/>
            <w:hideMark/>
          </w:tcPr>
          <w:p w14:paraId="0A406AD5" w14:textId="77777777" w:rsidR="000322A4" w:rsidRPr="00176BA0" w:rsidRDefault="000322A4" w:rsidP="00DA79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Euros</w:t>
            </w:r>
          </w:p>
        </w:tc>
      </w:tr>
      <w:tr w:rsidR="00FA3E52" w:rsidRPr="00176BA0" w14:paraId="35D16DC1" w14:textId="77777777" w:rsidTr="00176BA0">
        <w:trPr>
          <w:trHeight w:val="283"/>
          <w:jc w:val="center"/>
        </w:trPr>
        <w:tc>
          <w:tcPr>
            <w:tcW w:w="2700" w:type="pct"/>
            <w:tcBorders>
              <w:top w:val="nil"/>
              <w:left w:val="nil"/>
              <w:bottom w:val="single" w:sz="4" w:space="0" w:color="auto"/>
              <w:right w:val="nil"/>
            </w:tcBorders>
            <w:shd w:val="clear" w:color="auto" w:fill="auto"/>
            <w:vAlign w:val="center"/>
            <w:hideMark/>
          </w:tcPr>
          <w:p w14:paraId="4AA6837D" w14:textId="77777777" w:rsidR="00FA3E52" w:rsidRPr="00176BA0" w:rsidRDefault="00FA3E52" w:rsidP="00176BA0">
            <w:pPr>
              <w:pBdr>
                <w:top w:val="none" w:sz="0" w:space="0" w:color="auto"/>
                <w:left w:val="none" w:sz="0" w:space="0" w:color="auto"/>
                <w:bottom w:val="none" w:sz="0" w:space="0" w:color="auto"/>
                <w:right w:val="none" w:sz="0" w:space="0" w:color="auto"/>
                <w:between w:val="none" w:sz="0" w:space="0" w:color="auto"/>
                <w:bar w:val="none" w:sz="0" w:color="auto"/>
              </w:pBdr>
              <w:ind w:left="217" w:firstLineChars="200" w:firstLine="360"/>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432" w:type="pct"/>
            <w:tcBorders>
              <w:top w:val="nil"/>
              <w:left w:val="nil"/>
              <w:bottom w:val="single" w:sz="4" w:space="0" w:color="auto"/>
              <w:right w:val="nil"/>
            </w:tcBorders>
            <w:shd w:val="clear" w:color="auto" w:fill="auto"/>
            <w:vAlign w:val="center"/>
            <w:hideMark/>
          </w:tcPr>
          <w:p w14:paraId="710F340A" w14:textId="77777777" w:rsidR="00FA3E52" w:rsidRPr="00176BA0" w:rsidRDefault="00FA3E52" w:rsidP="00FA3E52">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0"/>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934" w:type="pct"/>
            <w:tcBorders>
              <w:top w:val="nil"/>
              <w:left w:val="nil"/>
              <w:bottom w:val="single" w:sz="4" w:space="0" w:color="auto"/>
              <w:right w:val="nil"/>
            </w:tcBorders>
            <w:shd w:val="clear" w:color="auto" w:fill="auto"/>
            <w:vAlign w:val="bottom"/>
            <w:hideMark/>
          </w:tcPr>
          <w:p w14:paraId="6F4C5778" w14:textId="302BE98A" w:rsidR="00FA3E52" w:rsidRPr="00176BA0" w:rsidRDefault="00FA3E52" w:rsidP="00D34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b/>
                <w:bCs/>
                <w:sz w:val="18"/>
                <w:szCs w:val="18"/>
              </w:rPr>
              <w:t>2021</w:t>
            </w:r>
          </w:p>
        </w:tc>
        <w:tc>
          <w:tcPr>
            <w:tcW w:w="934" w:type="pct"/>
            <w:tcBorders>
              <w:top w:val="nil"/>
              <w:left w:val="nil"/>
              <w:bottom w:val="single" w:sz="4" w:space="0" w:color="auto"/>
              <w:right w:val="nil"/>
            </w:tcBorders>
            <w:shd w:val="clear" w:color="auto" w:fill="auto"/>
            <w:vAlign w:val="bottom"/>
            <w:hideMark/>
          </w:tcPr>
          <w:p w14:paraId="5EC48FE7" w14:textId="42628E75" w:rsidR="00FA3E52" w:rsidRPr="00176BA0" w:rsidRDefault="00FA3E52" w:rsidP="00FA3E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2020</w:t>
            </w:r>
          </w:p>
        </w:tc>
      </w:tr>
      <w:tr w:rsidR="00FA3E52" w:rsidRPr="00176BA0" w14:paraId="1C78B6DE" w14:textId="77777777" w:rsidTr="00176BA0">
        <w:trPr>
          <w:trHeight w:val="283"/>
          <w:jc w:val="center"/>
        </w:trPr>
        <w:tc>
          <w:tcPr>
            <w:tcW w:w="2700" w:type="pct"/>
            <w:tcBorders>
              <w:top w:val="nil"/>
              <w:left w:val="nil"/>
              <w:bottom w:val="single" w:sz="4" w:space="0" w:color="auto"/>
              <w:right w:val="nil"/>
            </w:tcBorders>
            <w:shd w:val="clear" w:color="auto" w:fill="auto"/>
            <w:vAlign w:val="center"/>
            <w:hideMark/>
          </w:tcPr>
          <w:p w14:paraId="3E6C60FA" w14:textId="77777777" w:rsidR="00FA3E52" w:rsidRPr="00176BA0" w:rsidRDefault="00FA3E52" w:rsidP="00176BA0">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Transferencia para gastos de explotación</w:t>
            </w:r>
          </w:p>
        </w:tc>
        <w:tc>
          <w:tcPr>
            <w:tcW w:w="432" w:type="pct"/>
            <w:tcBorders>
              <w:top w:val="nil"/>
              <w:left w:val="nil"/>
              <w:bottom w:val="single" w:sz="4" w:space="0" w:color="auto"/>
              <w:right w:val="nil"/>
            </w:tcBorders>
            <w:shd w:val="clear" w:color="auto" w:fill="auto"/>
            <w:vAlign w:val="center"/>
            <w:hideMark/>
          </w:tcPr>
          <w:p w14:paraId="5ED124D2" w14:textId="77777777" w:rsidR="00FA3E52" w:rsidRPr="00176BA0" w:rsidRDefault="00FA3E52" w:rsidP="00FA3E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934" w:type="pct"/>
            <w:tcBorders>
              <w:top w:val="nil"/>
              <w:left w:val="nil"/>
              <w:bottom w:val="single" w:sz="4" w:space="0" w:color="auto"/>
              <w:right w:val="nil"/>
            </w:tcBorders>
            <w:shd w:val="clear" w:color="auto" w:fill="auto"/>
            <w:vAlign w:val="center"/>
            <w:hideMark/>
          </w:tcPr>
          <w:p w14:paraId="187E6981" w14:textId="04DABEC8" w:rsidR="00FA3E52" w:rsidRPr="00176BA0" w:rsidRDefault="00FA3E52" w:rsidP="00FA3E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176BA0">
              <w:rPr>
                <w:sz w:val="18"/>
                <w:szCs w:val="18"/>
              </w:rPr>
              <w:t>2.267.888,00</w:t>
            </w:r>
          </w:p>
        </w:tc>
        <w:tc>
          <w:tcPr>
            <w:tcW w:w="934" w:type="pct"/>
            <w:tcBorders>
              <w:top w:val="nil"/>
              <w:left w:val="nil"/>
              <w:bottom w:val="single" w:sz="4" w:space="0" w:color="auto"/>
              <w:right w:val="nil"/>
            </w:tcBorders>
            <w:shd w:val="clear" w:color="auto" w:fill="auto"/>
            <w:vAlign w:val="center"/>
            <w:hideMark/>
          </w:tcPr>
          <w:p w14:paraId="44A22BD7" w14:textId="494C37A5" w:rsidR="00FA3E52" w:rsidRPr="00176BA0" w:rsidRDefault="00FA3E52" w:rsidP="00FA3E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2.223.683,00</w:t>
            </w:r>
          </w:p>
        </w:tc>
      </w:tr>
      <w:tr w:rsidR="00FA3E52" w:rsidRPr="00176BA0" w14:paraId="691422A6" w14:textId="77777777" w:rsidTr="00176BA0">
        <w:trPr>
          <w:trHeight w:val="283"/>
          <w:jc w:val="center"/>
        </w:trPr>
        <w:tc>
          <w:tcPr>
            <w:tcW w:w="2700" w:type="pct"/>
            <w:tcBorders>
              <w:top w:val="nil"/>
              <w:left w:val="nil"/>
              <w:bottom w:val="single" w:sz="4" w:space="0" w:color="auto"/>
              <w:right w:val="nil"/>
            </w:tcBorders>
            <w:shd w:val="clear" w:color="auto" w:fill="auto"/>
            <w:vAlign w:val="center"/>
            <w:hideMark/>
          </w:tcPr>
          <w:p w14:paraId="5E0C1B5E" w14:textId="77777777" w:rsidR="00FA3E52" w:rsidRPr="00176BA0" w:rsidRDefault="00FA3E52" w:rsidP="00176BA0">
            <w:pPr>
              <w:pBdr>
                <w:top w:val="none" w:sz="0" w:space="0" w:color="auto"/>
                <w:left w:val="none" w:sz="0" w:space="0" w:color="auto"/>
                <w:bottom w:val="none" w:sz="0" w:space="0" w:color="auto"/>
                <w:right w:val="none" w:sz="0" w:space="0" w:color="auto"/>
                <w:between w:val="none" w:sz="0" w:space="0" w:color="auto"/>
                <w:bar w:val="none" w:sz="0" w:color="auto"/>
              </w:pBdr>
              <w:ind w:left="217" w:firstLineChars="200" w:firstLine="360"/>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432" w:type="pct"/>
            <w:tcBorders>
              <w:top w:val="nil"/>
              <w:left w:val="nil"/>
              <w:bottom w:val="single" w:sz="4" w:space="0" w:color="auto"/>
              <w:right w:val="nil"/>
            </w:tcBorders>
            <w:shd w:val="clear" w:color="auto" w:fill="auto"/>
            <w:vAlign w:val="center"/>
            <w:hideMark/>
          </w:tcPr>
          <w:p w14:paraId="1182D23F" w14:textId="77777777" w:rsidR="00FA3E52" w:rsidRPr="00176BA0" w:rsidRDefault="00FA3E52" w:rsidP="00FA3E52">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0"/>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934" w:type="pct"/>
            <w:tcBorders>
              <w:top w:val="nil"/>
              <w:left w:val="nil"/>
              <w:bottom w:val="single" w:sz="4" w:space="0" w:color="auto"/>
              <w:right w:val="nil"/>
            </w:tcBorders>
            <w:shd w:val="clear" w:color="auto" w:fill="auto"/>
            <w:vAlign w:val="center"/>
            <w:hideMark/>
          </w:tcPr>
          <w:p w14:paraId="62C88058" w14:textId="5C651373" w:rsidR="00FA3E52" w:rsidRPr="00176BA0" w:rsidRDefault="00FA3E52" w:rsidP="00FA3E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b/>
                <w:bCs/>
                <w:sz w:val="18"/>
                <w:szCs w:val="18"/>
              </w:rPr>
              <w:t>2.267.888,00</w:t>
            </w:r>
          </w:p>
        </w:tc>
        <w:tc>
          <w:tcPr>
            <w:tcW w:w="934" w:type="pct"/>
            <w:tcBorders>
              <w:top w:val="nil"/>
              <w:left w:val="nil"/>
              <w:bottom w:val="single" w:sz="4" w:space="0" w:color="auto"/>
              <w:right w:val="nil"/>
            </w:tcBorders>
            <w:shd w:val="clear" w:color="auto" w:fill="auto"/>
            <w:vAlign w:val="center"/>
            <w:hideMark/>
          </w:tcPr>
          <w:p w14:paraId="40F0986B" w14:textId="65912646" w:rsidR="00FA3E52" w:rsidRPr="00176BA0" w:rsidRDefault="00FA3E52" w:rsidP="00FA3E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2.223.683,00</w:t>
            </w:r>
          </w:p>
        </w:tc>
      </w:tr>
    </w:tbl>
    <w:p w14:paraId="44823C15" w14:textId="5C778403" w:rsidR="00176BA0" w:rsidRDefault="00176BA0" w:rsidP="006220A2">
      <w:pPr>
        <w:widowControl w:val="0"/>
        <w:tabs>
          <w:tab w:val="num" w:pos="644"/>
        </w:tabs>
        <w:rPr>
          <w:b/>
          <w:sz w:val="22"/>
          <w:szCs w:val="22"/>
        </w:rPr>
      </w:pPr>
    </w:p>
    <w:p w14:paraId="7010524F" w14:textId="77777777" w:rsidR="00176BA0" w:rsidRDefault="00176BA0">
      <w:pPr>
        <w:pBdr>
          <w:top w:val="none" w:sz="0" w:space="0" w:color="auto"/>
          <w:left w:val="none" w:sz="0" w:space="0" w:color="auto"/>
          <w:bottom w:val="none" w:sz="0" w:space="0" w:color="auto"/>
          <w:right w:val="none" w:sz="0" w:space="0" w:color="auto"/>
          <w:between w:val="none" w:sz="0" w:space="0" w:color="auto"/>
          <w:bar w:val="none" w:sz="0" w:color="auto"/>
        </w:pBdr>
        <w:outlineLvl w:val="9"/>
        <w:rPr>
          <w:b/>
          <w:sz w:val="22"/>
          <w:szCs w:val="22"/>
        </w:rPr>
      </w:pPr>
      <w:r>
        <w:rPr>
          <w:b/>
          <w:sz w:val="22"/>
          <w:szCs w:val="22"/>
        </w:rPr>
        <w:br w:type="page"/>
      </w:r>
    </w:p>
    <w:p w14:paraId="020B26A7" w14:textId="145920A6" w:rsidR="006220A2" w:rsidRPr="0083433F" w:rsidRDefault="003E75F6"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Pr>
          <w:b/>
          <w:snapToGrid w:val="0"/>
          <w:sz w:val="22"/>
          <w:szCs w:val="22"/>
        </w:rPr>
        <w:lastRenderedPageBreak/>
        <w:t xml:space="preserve"> </w:t>
      </w:r>
      <w:r w:rsidR="006220A2" w:rsidRPr="0083433F">
        <w:rPr>
          <w:b/>
          <w:snapToGrid w:val="0"/>
          <w:sz w:val="22"/>
          <w:szCs w:val="22"/>
        </w:rPr>
        <w:t>Gestión del riesgo financiero</w:t>
      </w:r>
    </w:p>
    <w:p w14:paraId="00D68467" w14:textId="77777777" w:rsidR="006220A2" w:rsidRPr="0083433F" w:rsidRDefault="006220A2" w:rsidP="00322988">
      <w:pPr>
        <w:keepNext/>
        <w:keepLines/>
        <w:widowControl w:val="0"/>
        <w:spacing w:before="200"/>
        <w:rPr>
          <w:b/>
          <w:sz w:val="20"/>
          <w:u w:val="single"/>
        </w:rPr>
      </w:pPr>
      <w:r w:rsidRPr="0083433F">
        <w:rPr>
          <w:b/>
          <w:sz w:val="20"/>
        </w:rPr>
        <w:t>9.1 Factores de riesgo financiero</w:t>
      </w:r>
    </w:p>
    <w:p w14:paraId="40A20B95"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 xml:space="preserve">Las actividades de la Sociedad están expuestas a riesgo de mercado. El programa de gestión del riesgo global de la Sociedad se centra en la incertidumbre de los mercados financieros y trata de minimizar los efectos potenciales adversos sobre su rentabilidad financiera. </w:t>
      </w:r>
    </w:p>
    <w:p w14:paraId="23A32B64"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 xml:space="preserve">La gestión del riesgo está controlada por la Dirección Financiera de la </w:t>
      </w:r>
      <w:r w:rsidR="00716A99" w:rsidRPr="00176BA0">
        <w:rPr>
          <w:snapToGrid w:val="0"/>
          <w:sz w:val="20"/>
          <w:szCs w:val="22"/>
        </w:rPr>
        <w:t>Sociedad que</w:t>
      </w:r>
      <w:r w:rsidRPr="00176BA0">
        <w:rPr>
          <w:snapToGrid w:val="0"/>
          <w:sz w:val="20"/>
          <w:szCs w:val="22"/>
        </w:rPr>
        <w:t xml:space="preserve"> identifica, evalúa y cubre los riesgos financieros con arreglo a las políticas aprobadas por el Consejo de Administración. El Consejo proporciona políticas para la gestión del riesgo global.</w:t>
      </w:r>
    </w:p>
    <w:p w14:paraId="45C46103" w14:textId="77777777" w:rsidR="006220A2" w:rsidRPr="0083433F" w:rsidRDefault="006220A2" w:rsidP="006220A2">
      <w:pPr>
        <w:widowControl w:val="0"/>
        <w:spacing w:before="200"/>
        <w:rPr>
          <w:sz w:val="20"/>
        </w:rPr>
      </w:pPr>
      <w:r w:rsidRPr="0083433F">
        <w:rPr>
          <w:b/>
          <w:sz w:val="20"/>
        </w:rPr>
        <w:t>9.2 Riesgo de mercado</w:t>
      </w:r>
    </w:p>
    <w:p w14:paraId="19CA8716"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 xml:space="preserve">Riesgo de tipo de cambio: las operaciones en moneda extranjera de </w:t>
      </w:r>
      <w:smartTag w:uri="urn:schemas-microsoft-com:office:smarttags" w:element="PersonName">
        <w:smartTagPr>
          <w:attr w:name="ProductID" w:val="la Sociedad"/>
        </w:smartTagPr>
        <w:r w:rsidRPr="00176BA0">
          <w:rPr>
            <w:snapToGrid w:val="0"/>
            <w:sz w:val="20"/>
            <w:szCs w:val="22"/>
          </w:rPr>
          <w:t>la Sociedad</w:t>
        </w:r>
      </w:smartTag>
      <w:r w:rsidRPr="00176BA0">
        <w:rPr>
          <w:snapToGrid w:val="0"/>
          <w:sz w:val="20"/>
          <w:szCs w:val="22"/>
        </w:rPr>
        <w:t xml:space="preserve"> tienen un volumen poco significativo.</w:t>
      </w:r>
    </w:p>
    <w:p w14:paraId="09AD060D" w14:textId="77777777" w:rsidR="006220A2" w:rsidRPr="0083433F" w:rsidRDefault="006220A2" w:rsidP="00D34C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rPr>
          <w:snapToGrid w:val="0"/>
          <w:sz w:val="22"/>
          <w:szCs w:val="22"/>
        </w:rPr>
      </w:pPr>
    </w:p>
    <w:p w14:paraId="4DCDD6E5" w14:textId="111E5BC4" w:rsidR="006220A2" w:rsidRPr="005B2CA4"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5B2CA4">
        <w:rPr>
          <w:b/>
          <w:snapToGrid w:val="0"/>
          <w:sz w:val="22"/>
          <w:szCs w:val="22"/>
        </w:rPr>
        <w:t xml:space="preserve"> Moneda Extranjera</w:t>
      </w:r>
    </w:p>
    <w:p w14:paraId="6CB9F58B" w14:textId="77777777" w:rsidR="006220A2" w:rsidRPr="005B2CA4" w:rsidRDefault="006220A2" w:rsidP="008E57E1">
      <w:pPr>
        <w:keepNex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120" w:after="120"/>
        <w:ind w:left="284" w:hanging="284"/>
        <w:outlineLvl w:val="9"/>
        <w:rPr>
          <w:i/>
          <w:sz w:val="20"/>
          <w:szCs w:val="22"/>
          <w:u w:val="single"/>
        </w:rPr>
      </w:pPr>
      <w:r w:rsidRPr="005B2CA4">
        <w:rPr>
          <w:i/>
          <w:sz w:val="20"/>
          <w:szCs w:val="22"/>
          <w:u w:val="single"/>
        </w:rPr>
        <w:t>Transacciones en moneda extranjera</w:t>
      </w:r>
    </w:p>
    <w:p w14:paraId="350DB3FB" w14:textId="5406E9A2"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Las transacciones que se ha</w:t>
      </w:r>
      <w:r w:rsidR="003E1A27" w:rsidRPr="00176BA0">
        <w:rPr>
          <w:snapToGrid w:val="0"/>
          <w:sz w:val="20"/>
          <w:szCs w:val="22"/>
        </w:rPr>
        <w:t>n realizado en el ejercicio 20</w:t>
      </w:r>
      <w:r w:rsidR="00B6701C" w:rsidRPr="00176BA0">
        <w:rPr>
          <w:snapToGrid w:val="0"/>
          <w:sz w:val="20"/>
          <w:szCs w:val="22"/>
        </w:rPr>
        <w:t>2</w:t>
      </w:r>
      <w:r w:rsidR="00431587" w:rsidRPr="00176BA0">
        <w:rPr>
          <w:snapToGrid w:val="0"/>
          <w:sz w:val="20"/>
          <w:szCs w:val="22"/>
        </w:rPr>
        <w:t>1</w:t>
      </w:r>
      <w:r w:rsidR="003E1A27" w:rsidRPr="00176BA0">
        <w:rPr>
          <w:snapToGrid w:val="0"/>
          <w:sz w:val="20"/>
          <w:szCs w:val="22"/>
        </w:rPr>
        <w:t xml:space="preserve"> y 20</w:t>
      </w:r>
      <w:r w:rsidR="00431587" w:rsidRPr="00176BA0">
        <w:rPr>
          <w:snapToGrid w:val="0"/>
          <w:sz w:val="20"/>
          <w:szCs w:val="22"/>
        </w:rPr>
        <w:t>20</w:t>
      </w:r>
      <w:r w:rsidRPr="00176BA0">
        <w:rPr>
          <w:snapToGrid w:val="0"/>
          <w:sz w:val="20"/>
          <w:szCs w:val="22"/>
        </w:rPr>
        <w:t xml:space="preserve"> en moneda extranjera, distinguiendo por moneda son las siguientes (los datos están en euros):</w:t>
      </w:r>
    </w:p>
    <w:tbl>
      <w:tblPr>
        <w:tblW w:w="5000" w:type="pct"/>
        <w:jc w:val="center"/>
        <w:tblCellMar>
          <w:left w:w="70" w:type="dxa"/>
          <w:right w:w="70" w:type="dxa"/>
        </w:tblCellMar>
        <w:tblLook w:val="04A0" w:firstRow="1" w:lastRow="0" w:firstColumn="1" w:lastColumn="0" w:noHBand="0" w:noVBand="1"/>
      </w:tblPr>
      <w:tblGrid>
        <w:gridCol w:w="4011"/>
        <w:gridCol w:w="2385"/>
        <w:gridCol w:w="2385"/>
      </w:tblGrid>
      <w:tr w:rsidR="00F92D2C" w:rsidRPr="00176BA0" w14:paraId="5710AEBE" w14:textId="77777777" w:rsidTr="00176BA0">
        <w:trPr>
          <w:trHeight w:val="283"/>
          <w:jc w:val="center"/>
        </w:trPr>
        <w:tc>
          <w:tcPr>
            <w:tcW w:w="2284" w:type="pct"/>
            <w:tcBorders>
              <w:top w:val="single" w:sz="4" w:space="0" w:color="auto"/>
              <w:left w:val="nil"/>
              <w:bottom w:val="nil"/>
              <w:right w:val="nil"/>
            </w:tcBorders>
            <w:shd w:val="clear" w:color="auto" w:fill="auto"/>
            <w:noWrap/>
            <w:vAlign w:val="bottom"/>
            <w:hideMark/>
          </w:tcPr>
          <w:p w14:paraId="69BE7FF8" w14:textId="77777777" w:rsidR="00F92D2C" w:rsidRPr="00176BA0" w:rsidRDefault="00F92D2C" w:rsidP="00176BA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2716" w:type="pct"/>
            <w:gridSpan w:val="2"/>
            <w:tcBorders>
              <w:top w:val="single" w:sz="4" w:space="0" w:color="auto"/>
              <w:left w:val="nil"/>
              <w:bottom w:val="single" w:sz="4" w:space="0" w:color="auto"/>
              <w:right w:val="nil"/>
            </w:tcBorders>
            <w:shd w:val="clear" w:color="auto" w:fill="auto"/>
            <w:noWrap/>
            <w:vAlign w:val="bottom"/>
            <w:hideMark/>
          </w:tcPr>
          <w:p w14:paraId="4C403A7D" w14:textId="77777777" w:rsidR="00F92D2C" w:rsidRPr="00176BA0" w:rsidRDefault="00F92D2C" w:rsidP="00E204E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Euros</w:t>
            </w:r>
          </w:p>
        </w:tc>
      </w:tr>
      <w:tr w:rsidR="00431587" w:rsidRPr="00176BA0" w14:paraId="070BBADA" w14:textId="77777777" w:rsidTr="00176BA0">
        <w:trPr>
          <w:trHeight w:val="283"/>
          <w:jc w:val="center"/>
        </w:trPr>
        <w:tc>
          <w:tcPr>
            <w:tcW w:w="2284" w:type="pct"/>
            <w:tcBorders>
              <w:top w:val="nil"/>
              <w:left w:val="nil"/>
              <w:bottom w:val="single" w:sz="4" w:space="0" w:color="auto"/>
              <w:right w:val="nil"/>
            </w:tcBorders>
            <w:shd w:val="clear" w:color="auto" w:fill="auto"/>
            <w:noWrap/>
            <w:vAlign w:val="bottom"/>
            <w:hideMark/>
          </w:tcPr>
          <w:p w14:paraId="360C86FD" w14:textId="77777777" w:rsidR="00431587" w:rsidRPr="00176BA0" w:rsidRDefault="00431587" w:rsidP="00176BA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1358" w:type="pct"/>
            <w:tcBorders>
              <w:top w:val="nil"/>
              <w:left w:val="nil"/>
              <w:bottom w:val="single" w:sz="4" w:space="0" w:color="auto"/>
              <w:right w:val="nil"/>
            </w:tcBorders>
            <w:shd w:val="clear" w:color="auto" w:fill="auto"/>
            <w:noWrap/>
            <w:vAlign w:val="bottom"/>
            <w:hideMark/>
          </w:tcPr>
          <w:p w14:paraId="19A37B31" w14:textId="50180115" w:rsidR="00431587" w:rsidRPr="00176BA0" w:rsidRDefault="00431587" w:rsidP="0043158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2021</w:t>
            </w:r>
          </w:p>
        </w:tc>
        <w:tc>
          <w:tcPr>
            <w:tcW w:w="1358" w:type="pct"/>
            <w:tcBorders>
              <w:top w:val="nil"/>
              <w:left w:val="nil"/>
              <w:bottom w:val="single" w:sz="4" w:space="0" w:color="auto"/>
              <w:right w:val="nil"/>
            </w:tcBorders>
            <w:shd w:val="clear" w:color="auto" w:fill="auto"/>
            <w:noWrap/>
            <w:vAlign w:val="bottom"/>
            <w:hideMark/>
          </w:tcPr>
          <w:p w14:paraId="2FB9D421" w14:textId="74DA36E9" w:rsidR="00431587" w:rsidRPr="00176BA0" w:rsidRDefault="00431587" w:rsidP="0043158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2020</w:t>
            </w:r>
          </w:p>
        </w:tc>
      </w:tr>
      <w:tr w:rsidR="00431587" w:rsidRPr="00176BA0" w14:paraId="262BB776" w14:textId="77777777" w:rsidTr="00176BA0">
        <w:trPr>
          <w:trHeight w:val="283"/>
          <w:jc w:val="center"/>
        </w:trPr>
        <w:tc>
          <w:tcPr>
            <w:tcW w:w="2284" w:type="pct"/>
            <w:tcBorders>
              <w:top w:val="nil"/>
              <w:left w:val="nil"/>
              <w:bottom w:val="nil"/>
              <w:right w:val="nil"/>
            </w:tcBorders>
            <w:shd w:val="clear" w:color="auto" w:fill="auto"/>
            <w:noWrap/>
            <w:vAlign w:val="center"/>
            <w:hideMark/>
          </w:tcPr>
          <w:p w14:paraId="680BEDE6" w14:textId="77777777" w:rsidR="00431587" w:rsidRPr="00176BA0" w:rsidRDefault="00431587" w:rsidP="00176BA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REINO UNIDO</w:t>
            </w:r>
          </w:p>
        </w:tc>
        <w:tc>
          <w:tcPr>
            <w:tcW w:w="1358" w:type="pct"/>
            <w:tcBorders>
              <w:top w:val="nil"/>
              <w:left w:val="nil"/>
              <w:bottom w:val="nil"/>
              <w:right w:val="nil"/>
            </w:tcBorders>
            <w:shd w:val="clear" w:color="auto" w:fill="auto"/>
            <w:vAlign w:val="center"/>
          </w:tcPr>
          <w:p w14:paraId="2CB26CF1" w14:textId="1389376E" w:rsidR="00431587" w:rsidRPr="00176BA0" w:rsidRDefault="00540FEA" w:rsidP="0043158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lang w:val="es-ES_tradnl" w:eastAsia="es-ES"/>
              </w:rPr>
              <w:t>432.223,28</w:t>
            </w:r>
          </w:p>
        </w:tc>
        <w:tc>
          <w:tcPr>
            <w:tcW w:w="1358" w:type="pct"/>
            <w:tcBorders>
              <w:top w:val="nil"/>
              <w:left w:val="nil"/>
              <w:bottom w:val="nil"/>
              <w:right w:val="nil"/>
            </w:tcBorders>
            <w:shd w:val="clear" w:color="auto" w:fill="auto"/>
            <w:vAlign w:val="center"/>
            <w:hideMark/>
          </w:tcPr>
          <w:p w14:paraId="540A31F7" w14:textId="3B58A072" w:rsidR="00431587" w:rsidRPr="00176BA0" w:rsidRDefault="00431587" w:rsidP="0043158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106.755,40 </w:t>
            </w:r>
          </w:p>
        </w:tc>
      </w:tr>
      <w:tr w:rsidR="00431587" w:rsidRPr="00176BA0" w14:paraId="68FEE260" w14:textId="77777777" w:rsidTr="00176BA0">
        <w:trPr>
          <w:trHeight w:val="283"/>
          <w:jc w:val="center"/>
        </w:trPr>
        <w:tc>
          <w:tcPr>
            <w:tcW w:w="2284" w:type="pct"/>
            <w:tcBorders>
              <w:top w:val="nil"/>
              <w:left w:val="nil"/>
              <w:bottom w:val="nil"/>
              <w:right w:val="nil"/>
            </w:tcBorders>
            <w:shd w:val="clear" w:color="auto" w:fill="auto"/>
            <w:noWrap/>
            <w:vAlign w:val="center"/>
            <w:hideMark/>
          </w:tcPr>
          <w:p w14:paraId="594373F7" w14:textId="77777777" w:rsidR="00431587" w:rsidRPr="00176BA0" w:rsidRDefault="00431587" w:rsidP="00176BA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ESTADOS UNIDOS</w:t>
            </w:r>
          </w:p>
        </w:tc>
        <w:tc>
          <w:tcPr>
            <w:tcW w:w="1358" w:type="pct"/>
            <w:tcBorders>
              <w:top w:val="nil"/>
              <w:left w:val="nil"/>
              <w:bottom w:val="nil"/>
              <w:right w:val="nil"/>
            </w:tcBorders>
            <w:shd w:val="clear" w:color="auto" w:fill="auto"/>
            <w:vAlign w:val="center"/>
          </w:tcPr>
          <w:p w14:paraId="0BC4BB47" w14:textId="7F6071F3" w:rsidR="00431587" w:rsidRPr="00176BA0" w:rsidRDefault="00540FEA" w:rsidP="0043158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lang w:val="es-ES_tradnl" w:eastAsia="es-ES"/>
              </w:rPr>
              <w:t>1.524,84</w:t>
            </w:r>
          </w:p>
        </w:tc>
        <w:tc>
          <w:tcPr>
            <w:tcW w:w="1358" w:type="pct"/>
            <w:tcBorders>
              <w:top w:val="nil"/>
              <w:left w:val="nil"/>
              <w:bottom w:val="nil"/>
              <w:right w:val="nil"/>
            </w:tcBorders>
            <w:shd w:val="clear" w:color="auto" w:fill="auto"/>
            <w:vAlign w:val="center"/>
            <w:hideMark/>
          </w:tcPr>
          <w:p w14:paraId="15513F87" w14:textId="7A2B6681" w:rsidR="00431587" w:rsidRPr="00176BA0" w:rsidRDefault="00431587" w:rsidP="0043158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3.536,94</w:t>
            </w:r>
          </w:p>
        </w:tc>
      </w:tr>
      <w:tr w:rsidR="00431587" w:rsidRPr="00176BA0" w14:paraId="52F7D095" w14:textId="77777777" w:rsidTr="00176BA0">
        <w:trPr>
          <w:trHeight w:val="283"/>
          <w:jc w:val="center"/>
        </w:trPr>
        <w:tc>
          <w:tcPr>
            <w:tcW w:w="2284" w:type="pct"/>
            <w:tcBorders>
              <w:top w:val="nil"/>
              <w:left w:val="nil"/>
              <w:bottom w:val="nil"/>
              <w:right w:val="nil"/>
            </w:tcBorders>
            <w:shd w:val="clear" w:color="auto" w:fill="auto"/>
            <w:noWrap/>
            <w:vAlign w:val="center"/>
            <w:hideMark/>
          </w:tcPr>
          <w:p w14:paraId="02686716" w14:textId="77777777" w:rsidR="00431587" w:rsidRPr="00176BA0" w:rsidRDefault="00431587" w:rsidP="00176BA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TURQUIA</w:t>
            </w:r>
          </w:p>
        </w:tc>
        <w:tc>
          <w:tcPr>
            <w:tcW w:w="1358" w:type="pct"/>
            <w:tcBorders>
              <w:top w:val="nil"/>
              <w:left w:val="nil"/>
              <w:bottom w:val="nil"/>
              <w:right w:val="nil"/>
            </w:tcBorders>
            <w:shd w:val="clear" w:color="auto" w:fill="auto"/>
            <w:vAlign w:val="center"/>
          </w:tcPr>
          <w:p w14:paraId="7A4770FC" w14:textId="275B0508" w:rsidR="00431587" w:rsidRPr="00176BA0" w:rsidRDefault="00540FEA" w:rsidP="0043158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w:t>
            </w:r>
          </w:p>
        </w:tc>
        <w:tc>
          <w:tcPr>
            <w:tcW w:w="1358" w:type="pct"/>
            <w:tcBorders>
              <w:top w:val="nil"/>
              <w:left w:val="nil"/>
              <w:bottom w:val="nil"/>
              <w:right w:val="nil"/>
            </w:tcBorders>
            <w:shd w:val="clear" w:color="auto" w:fill="auto"/>
            <w:vAlign w:val="center"/>
            <w:hideMark/>
          </w:tcPr>
          <w:p w14:paraId="21C66405" w14:textId="3141FA30" w:rsidR="00431587" w:rsidRPr="00176BA0" w:rsidRDefault="00431587" w:rsidP="0043158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101,46</w:t>
            </w:r>
          </w:p>
        </w:tc>
      </w:tr>
      <w:tr w:rsidR="00431587" w:rsidRPr="00176BA0" w14:paraId="5A9581AF" w14:textId="77777777" w:rsidTr="00176BA0">
        <w:trPr>
          <w:trHeight w:val="283"/>
          <w:jc w:val="center"/>
        </w:trPr>
        <w:tc>
          <w:tcPr>
            <w:tcW w:w="2284" w:type="pct"/>
            <w:tcBorders>
              <w:top w:val="single" w:sz="4" w:space="0" w:color="auto"/>
              <w:left w:val="nil"/>
              <w:bottom w:val="single" w:sz="4" w:space="0" w:color="auto"/>
              <w:right w:val="nil"/>
            </w:tcBorders>
            <w:shd w:val="clear" w:color="auto" w:fill="auto"/>
            <w:noWrap/>
            <w:vAlign w:val="center"/>
            <w:hideMark/>
          </w:tcPr>
          <w:p w14:paraId="0809C9E3" w14:textId="77777777" w:rsidR="00431587" w:rsidRPr="00176BA0" w:rsidRDefault="00431587" w:rsidP="00176BA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jc w:val="both"/>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Total</w:t>
            </w:r>
          </w:p>
        </w:tc>
        <w:tc>
          <w:tcPr>
            <w:tcW w:w="1358" w:type="pct"/>
            <w:tcBorders>
              <w:top w:val="single" w:sz="4" w:space="0" w:color="auto"/>
              <w:left w:val="nil"/>
              <w:bottom w:val="single" w:sz="4" w:space="0" w:color="auto"/>
              <w:right w:val="nil"/>
            </w:tcBorders>
            <w:shd w:val="clear" w:color="auto" w:fill="auto"/>
            <w:vAlign w:val="center"/>
          </w:tcPr>
          <w:p w14:paraId="7A92B033" w14:textId="49EF3457" w:rsidR="00431587" w:rsidRPr="00176BA0" w:rsidRDefault="00540FEA" w:rsidP="0043158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b/>
                <w:bCs/>
                <w:sz w:val="18"/>
                <w:szCs w:val="18"/>
                <w:lang w:val="es-ES_tradnl" w:eastAsia="es-ES"/>
              </w:rPr>
              <w:t>433.748,12</w:t>
            </w:r>
          </w:p>
        </w:tc>
        <w:tc>
          <w:tcPr>
            <w:tcW w:w="1358" w:type="pct"/>
            <w:tcBorders>
              <w:top w:val="single" w:sz="4" w:space="0" w:color="auto"/>
              <w:left w:val="nil"/>
              <w:bottom w:val="single" w:sz="4" w:space="0" w:color="auto"/>
              <w:right w:val="nil"/>
            </w:tcBorders>
            <w:shd w:val="clear" w:color="auto" w:fill="auto"/>
            <w:vAlign w:val="center"/>
            <w:hideMark/>
          </w:tcPr>
          <w:p w14:paraId="687E9135" w14:textId="51559600" w:rsidR="00431587" w:rsidRPr="00176BA0" w:rsidRDefault="00431587" w:rsidP="0043158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110.393,80</w:t>
            </w:r>
          </w:p>
        </w:tc>
      </w:tr>
    </w:tbl>
    <w:p w14:paraId="349CF1D7" w14:textId="77777777" w:rsidR="006220A2" w:rsidRDefault="006220A2" w:rsidP="008E57E1">
      <w:pPr>
        <w:keepNext/>
        <w:keepLines/>
        <w:widowControl w:val="0"/>
        <w:jc w:val="both"/>
        <w:rPr>
          <w:snapToGrid w:val="0"/>
          <w:sz w:val="22"/>
          <w:szCs w:val="22"/>
        </w:rPr>
      </w:pPr>
    </w:p>
    <w:p w14:paraId="03F681BA" w14:textId="589A4D7E" w:rsidR="005B2CA4" w:rsidRDefault="005B2CA4">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2"/>
          <w:szCs w:val="22"/>
        </w:rPr>
      </w:pPr>
      <w:r>
        <w:rPr>
          <w:snapToGrid w:val="0"/>
          <w:sz w:val="22"/>
          <w:szCs w:val="22"/>
        </w:rPr>
        <w:br w:type="page"/>
      </w:r>
    </w:p>
    <w:p w14:paraId="329BBA02" w14:textId="77777777" w:rsidR="00E204E5" w:rsidRDefault="00E204E5" w:rsidP="008E57E1">
      <w:pPr>
        <w:keepNext/>
        <w:keepLines/>
        <w:widowControl w:val="0"/>
        <w:jc w:val="both"/>
        <w:rPr>
          <w:snapToGrid w:val="0"/>
          <w:sz w:val="22"/>
          <w:szCs w:val="22"/>
        </w:rPr>
      </w:pPr>
    </w:p>
    <w:p w14:paraId="22DB6E06" w14:textId="76AC584A" w:rsidR="003E75F6" w:rsidRPr="0083433F"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DE1DD6">
        <w:rPr>
          <w:b/>
          <w:snapToGrid w:val="0"/>
          <w:sz w:val="22"/>
          <w:szCs w:val="22"/>
        </w:rPr>
        <w:t xml:space="preserve"> Administraciones Públicas</w:t>
      </w:r>
    </w:p>
    <w:p w14:paraId="5718B186" w14:textId="77777777" w:rsidR="006220A2" w:rsidRPr="0083433F" w:rsidRDefault="006220A2" w:rsidP="006220A2">
      <w:pPr>
        <w:keepNext/>
        <w:keepLines/>
        <w:widowControl w:val="0"/>
        <w:spacing w:before="200"/>
        <w:rPr>
          <w:b/>
          <w:sz w:val="20"/>
          <w:szCs w:val="22"/>
        </w:rPr>
      </w:pPr>
      <w:r w:rsidRPr="0083433F">
        <w:rPr>
          <w:b/>
          <w:sz w:val="20"/>
          <w:szCs w:val="22"/>
        </w:rPr>
        <w:t>11.1. Saldos con Administraciones Públicas</w:t>
      </w:r>
    </w:p>
    <w:p w14:paraId="695F373F" w14:textId="5BB7A319" w:rsidR="006220A2" w:rsidRDefault="006220A2" w:rsidP="00176BA0">
      <w:pPr>
        <w:widowControl w:val="0"/>
        <w:spacing w:before="120" w:after="120" w:line="260" w:lineRule="exact"/>
        <w:ind w:left="284"/>
        <w:jc w:val="both"/>
        <w:outlineLvl w:val="9"/>
        <w:rPr>
          <w:snapToGrid w:val="0"/>
          <w:sz w:val="20"/>
          <w:szCs w:val="22"/>
        </w:rPr>
      </w:pPr>
      <w:r w:rsidRPr="0083433F">
        <w:rPr>
          <w:snapToGrid w:val="0"/>
          <w:sz w:val="20"/>
          <w:szCs w:val="22"/>
        </w:rPr>
        <w:t xml:space="preserve">Los saldos </w:t>
      </w:r>
      <w:r w:rsidR="001476DB">
        <w:rPr>
          <w:snapToGrid w:val="0"/>
          <w:sz w:val="20"/>
          <w:szCs w:val="22"/>
        </w:rPr>
        <w:t xml:space="preserve">a corto plazo </w:t>
      </w:r>
      <w:r w:rsidRPr="0083433F">
        <w:rPr>
          <w:snapToGrid w:val="0"/>
          <w:sz w:val="20"/>
          <w:szCs w:val="22"/>
        </w:rPr>
        <w:t>con la Administración Pública al 31 de diciembre de 20</w:t>
      </w:r>
      <w:r w:rsidR="00B6701C">
        <w:rPr>
          <w:snapToGrid w:val="0"/>
          <w:sz w:val="20"/>
          <w:szCs w:val="22"/>
        </w:rPr>
        <w:t>2</w:t>
      </w:r>
      <w:r w:rsidR="001F49F8">
        <w:rPr>
          <w:snapToGrid w:val="0"/>
          <w:sz w:val="20"/>
          <w:szCs w:val="22"/>
        </w:rPr>
        <w:t>1</w:t>
      </w:r>
      <w:r w:rsidR="00C67F6F" w:rsidRPr="0083433F">
        <w:rPr>
          <w:snapToGrid w:val="0"/>
          <w:sz w:val="20"/>
          <w:szCs w:val="22"/>
        </w:rPr>
        <w:t xml:space="preserve"> y 20</w:t>
      </w:r>
      <w:r w:rsidR="001F49F8">
        <w:rPr>
          <w:snapToGrid w:val="0"/>
          <w:sz w:val="20"/>
          <w:szCs w:val="22"/>
        </w:rPr>
        <w:t>20</w:t>
      </w:r>
      <w:r w:rsidRPr="0083433F">
        <w:rPr>
          <w:snapToGrid w:val="0"/>
          <w:sz w:val="20"/>
          <w:szCs w:val="22"/>
        </w:rPr>
        <w:t>, se distribuyen de la siguiente manera:</w:t>
      </w:r>
    </w:p>
    <w:tbl>
      <w:tblPr>
        <w:tblW w:w="5000" w:type="pct"/>
        <w:tblCellMar>
          <w:left w:w="70" w:type="dxa"/>
          <w:right w:w="70" w:type="dxa"/>
        </w:tblCellMar>
        <w:tblLook w:val="04A0" w:firstRow="1" w:lastRow="0" w:firstColumn="1" w:lastColumn="0" w:noHBand="0" w:noVBand="1"/>
      </w:tblPr>
      <w:tblGrid>
        <w:gridCol w:w="3727"/>
        <w:gridCol w:w="1292"/>
        <w:gridCol w:w="1253"/>
        <w:gridCol w:w="1253"/>
        <w:gridCol w:w="1256"/>
      </w:tblGrid>
      <w:tr w:rsidR="008459B8" w:rsidRPr="00176BA0" w14:paraId="5A2A71A4" w14:textId="77777777" w:rsidTr="00176BA0">
        <w:trPr>
          <w:trHeight w:val="227"/>
        </w:trPr>
        <w:tc>
          <w:tcPr>
            <w:tcW w:w="2127" w:type="pct"/>
            <w:tcBorders>
              <w:top w:val="single" w:sz="4" w:space="0" w:color="auto"/>
              <w:left w:val="nil"/>
              <w:bottom w:val="nil"/>
              <w:right w:val="nil"/>
            </w:tcBorders>
            <w:shd w:val="clear" w:color="auto" w:fill="auto"/>
            <w:vAlign w:val="bottom"/>
            <w:hideMark/>
          </w:tcPr>
          <w:p w14:paraId="04D7565D"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2873" w:type="pct"/>
            <w:gridSpan w:val="4"/>
            <w:tcBorders>
              <w:top w:val="single" w:sz="4" w:space="0" w:color="auto"/>
              <w:left w:val="nil"/>
              <w:bottom w:val="single" w:sz="4" w:space="0" w:color="auto"/>
              <w:right w:val="nil"/>
            </w:tcBorders>
            <w:shd w:val="clear" w:color="auto" w:fill="auto"/>
            <w:vAlign w:val="bottom"/>
            <w:hideMark/>
          </w:tcPr>
          <w:p w14:paraId="5418E588"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Euros</w:t>
            </w:r>
          </w:p>
        </w:tc>
      </w:tr>
      <w:tr w:rsidR="008459B8" w:rsidRPr="00176BA0" w14:paraId="3B2099B3" w14:textId="77777777" w:rsidTr="00176BA0">
        <w:trPr>
          <w:trHeight w:val="227"/>
        </w:trPr>
        <w:tc>
          <w:tcPr>
            <w:tcW w:w="2127" w:type="pct"/>
            <w:tcBorders>
              <w:top w:val="nil"/>
              <w:left w:val="nil"/>
              <w:bottom w:val="nil"/>
              <w:right w:val="nil"/>
            </w:tcBorders>
            <w:shd w:val="clear" w:color="auto" w:fill="auto"/>
            <w:vAlign w:val="bottom"/>
            <w:hideMark/>
          </w:tcPr>
          <w:p w14:paraId="29567540"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436" w:type="pct"/>
            <w:gridSpan w:val="2"/>
            <w:tcBorders>
              <w:top w:val="nil"/>
              <w:left w:val="nil"/>
              <w:bottom w:val="single" w:sz="4" w:space="0" w:color="auto"/>
              <w:right w:val="nil"/>
            </w:tcBorders>
            <w:shd w:val="clear" w:color="auto" w:fill="auto"/>
            <w:vAlign w:val="bottom"/>
            <w:hideMark/>
          </w:tcPr>
          <w:p w14:paraId="74DCD577" w14:textId="5DC371A4"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w:t>
            </w:r>
            <w:r w:rsidR="001F49F8" w:rsidRPr="00176BA0">
              <w:rPr>
                <w:rFonts w:eastAsia="Times New Roman"/>
                <w:b/>
                <w:bCs/>
                <w:sz w:val="18"/>
                <w:szCs w:val="18"/>
                <w:bdr w:val="none" w:sz="0" w:space="0" w:color="auto"/>
                <w:lang w:eastAsia="es-ES"/>
              </w:rPr>
              <w:t>1</w:t>
            </w:r>
          </w:p>
        </w:tc>
        <w:tc>
          <w:tcPr>
            <w:tcW w:w="1437" w:type="pct"/>
            <w:gridSpan w:val="2"/>
            <w:tcBorders>
              <w:top w:val="nil"/>
              <w:left w:val="nil"/>
              <w:bottom w:val="single" w:sz="4" w:space="0" w:color="auto"/>
              <w:right w:val="nil"/>
            </w:tcBorders>
            <w:shd w:val="clear" w:color="auto" w:fill="auto"/>
            <w:vAlign w:val="bottom"/>
            <w:hideMark/>
          </w:tcPr>
          <w:p w14:paraId="56F61F6E" w14:textId="4043F4C2"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w:t>
            </w:r>
            <w:r w:rsidR="001F49F8" w:rsidRPr="00176BA0">
              <w:rPr>
                <w:rFonts w:eastAsia="Times New Roman"/>
                <w:b/>
                <w:bCs/>
                <w:sz w:val="18"/>
                <w:szCs w:val="18"/>
                <w:bdr w:val="none" w:sz="0" w:space="0" w:color="auto"/>
                <w:lang w:eastAsia="es-ES"/>
              </w:rPr>
              <w:t>20</w:t>
            </w:r>
          </w:p>
        </w:tc>
      </w:tr>
      <w:tr w:rsidR="00856EA0" w:rsidRPr="00176BA0" w14:paraId="76A81278" w14:textId="77777777" w:rsidTr="00176BA0">
        <w:trPr>
          <w:trHeight w:val="227"/>
        </w:trPr>
        <w:tc>
          <w:tcPr>
            <w:tcW w:w="2127" w:type="pct"/>
            <w:tcBorders>
              <w:top w:val="nil"/>
              <w:left w:val="nil"/>
              <w:bottom w:val="single" w:sz="4" w:space="0" w:color="auto"/>
              <w:right w:val="nil"/>
            </w:tcBorders>
            <w:shd w:val="clear" w:color="auto" w:fill="auto"/>
            <w:vAlign w:val="bottom"/>
            <w:hideMark/>
          </w:tcPr>
          <w:p w14:paraId="6CB54097"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718" w:type="pct"/>
            <w:tcBorders>
              <w:top w:val="nil"/>
              <w:left w:val="nil"/>
              <w:bottom w:val="single" w:sz="4" w:space="0" w:color="auto"/>
              <w:right w:val="nil"/>
            </w:tcBorders>
            <w:shd w:val="clear" w:color="auto" w:fill="auto"/>
            <w:vAlign w:val="bottom"/>
            <w:hideMark/>
          </w:tcPr>
          <w:p w14:paraId="007BD586"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Deudor</w:t>
            </w:r>
          </w:p>
        </w:tc>
        <w:tc>
          <w:tcPr>
            <w:tcW w:w="718" w:type="pct"/>
            <w:tcBorders>
              <w:top w:val="nil"/>
              <w:left w:val="nil"/>
              <w:bottom w:val="single" w:sz="4" w:space="0" w:color="auto"/>
              <w:right w:val="nil"/>
            </w:tcBorders>
            <w:shd w:val="clear" w:color="auto" w:fill="auto"/>
            <w:vAlign w:val="bottom"/>
            <w:hideMark/>
          </w:tcPr>
          <w:p w14:paraId="29BB221D"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Acreedor</w:t>
            </w:r>
          </w:p>
        </w:tc>
        <w:tc>
          <w:tcPr>
            <w:tcW w:w="718" w:type="pct"/>
            <w:tcBorders>
              <w:top w:val="nil"/>
              <w:left w:val="nil"/>
              <w:bottom w:val="single" w:sz="4" w:space="0" w:color="auto"/>
              <w:right w:val="nil"/>
            </w:tcBorders>
            <w:shd w:val="clear" w:color="auto" w:fill="auto"/>
            <w:vAlign w:val="bottom"/>
            <w:hideMark/>
          </w:tcPr>
          <w:p w14:paraId="0B18815D"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Deudor</w:t>
            </w:r>
          </w:p>
        </w:tc>
        <w:tc>
          <w:tcPr>
            <w:tcW w:w="719" w:type="pct"/>
            <w:tcBorders>
              <w:top w:val="nil"/>
              <w:left w:val="nil"/>
              <w:bottom w:val="single" w:sz="4" w:space="0" w:color="auto"/>
              <w:right w:val="nil"/>
            </w:tcBorders>
            <w:shd w:val="clear" w:color="auto" w:fill="auto"/>
            <w:vAlign w:val="bottom"/>
            <w:hideMark/>
          </w:tcPr>
          <w:p w14:paraId="46278F0F"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Acreedor</w:t>
            </w:r>
          </w:p>
        </w:tc>
      </w:tr>
      <w:tr w:rsidR="00856EA0" w:rsidRPr="00176BA0" w14:paraId="39E8D580" w14:textId="77777777" w:rsidTr="00176BA0">
        <w:trPr>
          <w:trHeight w:val="283"/>
        </w:trPr>
        <w:tc>
          <w:tcPr>
            <w:tcW w:w="2127" w:type="pct"/>
            <w:tcBorders>
              <w:top w:val="nil"/>
              <w:left w:val="nil"/>
              <w:bottom w:val="nil"/>
              <w:right w:val="nil"/>
            </w:tcBorders>
            <w:shd w:val="clear" w:color="auto" w:fill="auto"/>
            <w:vAlign w:val="center"/>
            <w:hideMark/>
          </w:tcPr>
          <w:p w14:paraId="28D969D9"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Administraciones Públicas</w:t>
            </w:r>
          </w:p>
        </w:tc>
        <w:tc>
          <w:tcPr>
            <w:tcW w:w="718" w:type="pct"/>
            <w:tcBorders>
              <w:top w:val="nil"/>
              <w:left w:val="nil"/>
              <w:bottom w:val="nil"/>
              <w:right w:val="nil"/>
            </w:tcBorders>
            <w:shd w:val="clear" w:color="auto" w:fill="auto"/>
            <w:vAlign w:val="center"/>
            <w:hideMark/>
          </w:tcPr>
          <w:p w14:paraId="37BE852C"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718" w:type="pct"/>
            <w:tcBorders>
              <w:top w:val="nil"/>
              <w:left w:val="nil"/>
              <w:bottom w:val="nil"/>
              <w:right w:val="nil"/>
            </w:tcBorders>
            <w:shd w:val="clear" w:color="auto" w:fill="auto"/>
            <w:vAlign w:val="center"/>
            <w:hideMark/>
          </w:tcPr>
          <w:p w14:paraId="2307AC92"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p>
        </w:tc>
        <w:tc>
          <w:tcPr>
            <w:tcW w:w="718" w:type="pct"/>
            <w:tcBorders>
              <w:top w:val="nil"/>
              <w:left w:val="nil"/>
              <w:bottom w:val="nil"/>
              <w:right w:val="nil"/>
            </w:tcBorders>
            <w:shd w:val="clear" w:color="auto" w:fill="auto"/>
            <w:vAlign w:val="center"/>
            <w:hideMark/>
          </w:tcPr>
          <w:p w14:paraId="787430BB"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p>
        </w:tc>
        <w:tc>
          <w:tcPr>
            <w:tcW w:w="719" w:type="pct"/>
            <w:tcBorders>
              <w:top w:val="nil"/>
              <w:left w:val="nil"/>
              <w:bottom w:val="nil"/>
              <w:right w:val="nil"/>
            </w:tcBorders>
            <w:shd w:val="clear" w:color="auto" w:fill="auto"/>
            <w:vAlign w:val="center"/>
            <w:hideMark/>
          </w:tcPr>
          <w:p w14:paraId="1C7E7204"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p>
        </w:tc>
      </w:tr>
      <w:tr w:rsidR="001F49F8" w:rsidRPr="00176BA0" w14:paraId="42E96461" w14:textId="77777777" w:rsidTr="00176BA0">
        <w:trPr>
          <w:trHeight w:val="283"/>
        </w:trPr>
        <w:tc>
          <w:tcPr>
            <w:tcW w:w="2127" w:type="pct"/>
            <w:tcBorders>
              <w:top w:val="nil"/>
              <w:left w:val="nil"/>
              <w:bottom w:val="nil"/>
              <w:right w:val="nil"/>
            </w:tcBorders>
            <w:shd w:val="clear" w:color="auto" w:fill="auto"/>
            <w:vAlign w:val="center"/>
            <w:hideMark/>
          </w:tcPr>
          <w:p w14:paraId="3453655E" w14:textId="77777777" w:rsidR="001F49F8" w:rsidRPr="00176BA0" w:rsidRDefault="001F49F8" w:rsidP="001F49F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H.P. deudora por diversos conceptos</w:t>
            </w:r>
          </w:p>
        </w:tc>
        <w:tc>
          <w:tcPr>
            <w:tcW w:w="718" w:type="pct"/>
            <w:tcBorders>
              <w:top w:val="nil"/>
              <w:left w:val="nil"/>
              <w:bottom w:val="nil"/>
              <w:right w:val="nil"/>
            </w:tcBorders>
            <w:shd w:val="clear" w:color="auto" w:fill="auto"/>
            <w:vAlign w:val="center"/>
          </w:tcPr>
          <w:p w14:paraId="7E64A721" w14:textId="387DC843" w:rsidR="001F49F8" w:rsidRPr="00176BA0" w:rsidRDefault="00A66166" w:rsidP="001F49F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39.900.000,00</w:t>
            </w:r>
          </w:p>
        </w:tc>
        <w:tc>
          <w:tcPr>
            <w:tcW w:w="718" w:type="pct"/>
            <w:tcBorders>
              <w:top w:val="nil"/>
              <w:left w:val="nil"/>
              <w:bottom w:val="nil"/>
              <w:right w:val="nil"/>
            </w:tcBorders>
            <w:shd w:val="clear" w:color="auto" w:fill="auto"/>
            <w:vAlign w:val="center"/>
          </w:tcPr>
          <w:p w14:paraId="766C90F9" w14:textId="4C789013" w:rsidR="001F49F8" w:rsidRPr="00176BA0" w:rsidRDefault="00A66166" w:rsidP="001F49F8">
            <w:pPr>
              <w:jc w:val="right"/>
              <w:rPr>
                <w:sz w:val="18"/>
                <w:szCs w:val="18"/>
              </w:rPr>
            </w:pPr>
            <w:r w:rsidRPr="00176BA0">
              <w:rPr>
                <w:sz w:val="18"/>
                <w:szCs w:val="18"/>
              </w:rPr>
              <w:t>-</w:t>
            </w:r>
          </w:p>
        </w:tc>
        <w:tc>
          <w:tcPr>
            <w:tcW w:w="718" w:type="pct"/>
            <w:tcBorders>
              <w:top w:val="nil"/>
              <w:left w:val="nil"/>
              <w:bottom w:val="nil"/>
              <w:right w:val="nil"/>
            </w:tcBorders>
            <w:shd w:val="clear" w:color="auto" w:fill="auto"/>
            <w:vAlign w:val="center"/>
            <w:hideMark/>
          </w:tcPr>
          <w:p w14:paraId="3E02A78E" w14:textId="7FD88437" w:rsidR="001F49F8" w:rsidRPr="00176BA0" w:rsidRDefault="001F49F8" w:rsidP="001F49F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 xml:space="preserve">112.493,89 </w:t>
            </w:r>
          </w:p>
        </w:tc>
        <w:tc>
          <w:tcPr>
            <w:tcW w:w="719" w:type="pct"/>
            <w:tcBorders>
              <w:top w:val="nil"/>
              <w:left w:val="nil"/>
              <w:bottom w:val="nil"/>
              <w:right w:val="nil"/>
            </w:tcBorders>
            <w:shd w:val="clear" w:color="auto" w:fill="auto"/>
            <w:vAlign w:val="center"/>
            <w:hideMark/>
          </w:tcPr>
          <w:p w14:paraId="06E2B93F" w14:textId="4E1176A7" w:rsidR="001F49F8" w:rsidRPr="00176BA0" w:rsidRDefault="001F49F8" w:rsidP="001F49F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w:t>
            </w:r>
          </w:p>
        </w:tc>
      </w:tr>
      <w:tr w:rsidR="00A66166" w:rsidRPr="00176BA0" w14:paraId="458829CB" w14:textId="77777777" w:rsidTr="00176BA0">
        <w:trPr>
          <w:trHeight w:val="283"/>
        </w:trPr>
        <w:tc>
          <w:tcPr>
            <w:tcW w:w="2127" w:type="pct"/>
            <w:tcBorders>
              <w:top w:val="nil"/>
              <w:left w:val="nil"/>
              <w:bottom w:val="nil"/>
              <w:right w:val="nil"/>
            </w:tcBorders>
            <w:shd w:val="clear" w:color="auto" w:fill="auto"/>
            <w:vAlign w:val="center"/>
          </w:tcPr>
          <w:p w14:paraId="786CCBA9" w14:textId="5B052C87" w:rsidR="00A66166" w:rsidRPr="00176BA0" w:rsidRDefault="00A66166" w:rsidP="001F49F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H.P. por subvenciones a reintegrar</w:t>
            </w:r>
          </w:p>
        </w:tc>
        <w:tc>
          <w:tcPr>
            <w:tcW w:w="718" w:type="pct"/>
            <w:tcBorders>
              <w:top w:val="nil"/>
              <w:left w:val="nil"/>
              <w:bottom w:val="nil"/>
              <w:right w:val="nil"/>
            </w:tcBorders>
            <w:shd w:val="clear" w:color="auto" w:fill="auto"/>
            <w:vAlign w:val="center"/>
          </w:tcPr>
          <w:p w14:paraId="00CE1A18" w14:textId="77777777" w:rsidR="00A66166" w:rsidRPr="00176BA0" w:rsidRDefault="00A66166" w:rsidP="001F49F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p>
        </w:tc>
        <w:tc>
          <w:tcPr>
            <w:tcW w:w="718" w:type="pct"/>
            <w:tcBorders>
              <w:top w:val="nil"/>
              <w:left w:val="nil"/>
              <w:bottom w:val="nil"/>
              <w:right w:val="nil"/>
            </w:tcBorders>
            <w:shd w:val="clear" w:color="auto" w:fill="auto"/>
            <w:vAlign w:val="center"/>
          </w:tcPr>
          <w:p w14:paraId="7DCBBC65" w14:textId="47D6D359" w:rsidR="00A66166" w:rsidRPr="00176BA0" w:rsidRDefault="00A66166" w:rsidP="001F49F8">
            <w:pPr>
              <w:jc w:val="right"/>
              <w:rPr>
                <w:sz w:val="18"/>
                <w:szCs w:val="18"/>
              </w:rPr>
            </w:pPr>
            <w:r w:rsidRPr="00176BA0">
              <w:rPr>
                <w:sz w:val="18"/>
                <w:szCs w:val="18"/>
              </w:rPr>
              <w:t>2.023.811,50</w:t>
            </w:r>
          </w:p>
        </w:tc>
        <w:tc>
          <w:tcPr>
            <w:tcW w:w="718" w:type="pct"/>
            <w:tcBorders>
              <w:top w:val="nil"/>
              <w:left w:val="nil"/>
              <w:bottom w:val="nil"/>
              <w:right w:val="nil"/>
            </w:tcBorders>
            <w:shd w:val="clear" w:color="auto" w:fill="auto"/>
            <w:vAlign w:val="center"/>
          </w:tcPr>
          <w:p w14:paraId="0C0758F2" w14:textId="77777777" w:rsidR="00A66166" w:rsidRPr="00176BA0" w:rsidRDefault="00A66166" w:rsidP="001F49F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p>
        </w:tc>
        <w:tc>
          <w:tcPr>
            <w:tcW w:w="719" w:type="pct"/>
            <w:tcBorders>
              <w:top w:val="nil"/>
              <w:left w:val="nil"/>
              <w:bottom w:val="nil"/>
              <w:right w:val="nil"/>
            </w:tcBorders>
            <w:shd w:val="clear" w:color="auto" w:fill="auto"/>
            <w:vAlign w:val="center"/>
          </w:tcPr>
          <w:p w14:paraId="10EBEA4C" w14:textId="77777777" w:rsidR="00A66166" w:rsidRPr="00176BA0" w:rsidRDefault="00A66166" w:rsidP="001F49F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p>
        </w:tc>
      </w:tr>
      <w:tr w:rsidR="001F49F8" w:rsidRPr="00176BA0" w14:paraId="71BA12EC" w14:textId="77777777" w:rsidTr="00176BA0">
        <w:trPr>
          <w:trHeight w:val="283"/>
        </w:trPr>
        <w:tc>
          <w:tcPr>
            <w:tcW w:w="2127" w:type="pct"/>
            <w:tcBorders>
              <w:top w:val="nil"/>
              <w:left w:val="nil"/>
              <w:bottom w:val="nil"/>
              <w:right w:val="nil"/>
            </w:tcBorders>
            <w:shd w:val="clear" w:color="auto" w:fill="auto"/>
            <w:vAlign w:val="center"/>
            <w:hideMark/>
          </w:tcPr>
          <w:p w14:paraId="0EBCA373" w14:textId="77777777" w:rsidR="001F49F8" w:rsidRPr="00176BA0" w:rsidRDefault="001F49F8" w:rsidP="001F49F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H.P. IVA soportado</w:t>
            </w:r>
          </w:p>
        </w:tc>
        <w:tc>
          <w:tcPr>
            <w:tcW w:w="718" w:type="pct"/>
            <w:tcBorders>
              <w:top w:val="nil"/>
              <w:left w:val="nil"/>
              <w:bottom w:val="nil"/>
              <w:right w:val="nil"/>
            </w:tcBorders>
            <w:shd w:val="clear" w:color="auto" w:fill="auto"/>
            <w:vAlign w:val="center"/>
          </w:tcPr>
          <w:p w14:paraId="75D72DD1" w14:textId="1776D959" w:rsidR="001F49F8" w:rsidRPr="00176BA0" w:rsidRDefault="00A66166" w:rsidP="001F49F8">
            <w:pPr>
              <w:jc w:val="right"/>
              <w:rPr>
                <w:sz w:val="18"/>
                <w:szCs w:val="18"/>
              </w:rPr>
            </w:pPr>
            <w:r w:rsidRPr="00176BA0">
              <w:rPr>
                <w:sz w:val="18"/>
                <w:szCs w:val="18"/>
              </w:rPr>
              <w:t>-</w:t>
            </w:r>
          </w:p>
        </w:tc>
        <w:tc>
          <w:tcPr>
            <w:tcW w:w="718" w:type="pct"/>
            <w:tcBorders>
              <w:top w:val="nil"/>
              <w:left w:val="nil"/>
              <w:bottom w:val="nil"/>
              <w:right w:val="nil"/>
            </w:tcBorders>
            <w:shd w:val="clear" w:color="auto" w:fill="auto"/>
            <w:vAlign w:val="center"/>
          </w:tcPr>
          <w:p w14:paraId="5B05B039" w14:textId="457CE0E8" w:rsidR="001F49F8" w:rsidRPr="00176BA0" w:rsidRDefault="00A66166" w:rsidP="001F49F8">
            <w:pPr>
              <w:jc w:val="right"/>
              <w:rPr>
                <w:sz w:val="18"/>
                <w:szCs w:val="18"/>
              </w:rPr>
            </w:pPr>
            <w:r w:rsidRPr="00176BA0">
              <w:rPr>
                <w:sz w:val="18"/>
                <w:szCs w:val="18"/>
              </w:rPr>
              <w:t>-</w:t>
            </w:r>
          </w:p>
        </w:tc>
        <w:tc>
          <w:tcPr>
            <w:tcW w:w="718" w:type="pct"/>
            <w:tcBorders>
              <w:top w:val="nil"/>
              <w:left w:val="nil"/>
              <w:bottom w:val="nil"/>
              <w:right w:val="nil"/>
            </w:tcBorders>
            <w:shd w:val="clear" w:color="auto" w:fill="auto"/>
            <w:vAlign w:val="center"/>
            <w:hideMark/>
          </w:tcPr>
          <w:p w14:paraId="044659F2" w14:textId="521E6594" w:rsidR="001F49F8" w:rsidRPr="00176BA0" w:rsidRDefault="001F49F8" w:rsidP="001F49F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w:t>
            </w:r>
          </w:p>
        </w:tc>
        <w:tc>
          <w:tcPr>
            <w:tcW w:w="719" w:type="pct"/>
            <w:tcBorders>
              <w:top w:val="nil"/>
              <w:left w:val="nil"/>
              <w:bottom w:val="nil"/>
              <w:right w:val="nil"/>
            </w:tcBorders>
            <w:shd w:val="clear" w:color="auto" w:fill="auto"/>
            <w:vAlign w:val="center"/>
            <w:hideMark/>
          </w:tcPr>
          <w:p w14:paraId="19F54739" w14:textId="6EE5C906" w:rsidR="001F49F8" w:rsidRPr="00176BA0" w:rsidRDefault="001F49F8" w:rsidP="001F49F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w:t>
            </w:r>
          </w:p>
        </w:tc>
      </w:tr>
      <w:tr w:rsidR="001F49F8" w:rsidRPr="00176BA0" w14:paraId="2868B1EB" w14:textId="77777777" w:rsidTr="00176BA0">
        <w:trPr>
          <w:trHeight w:val="283"/>
        </w:trPr>
        <w:tc>
          <w:tcPr>
            <w:tcW w:w="2127" w:type="pct"/>
            <w:tcBorders>
              <w:top w:val="nil"/>
              <w:left w:val="nil"/>
              <w:bottom w:val="nil"/>
              <w:right w:val="nil"/>
            </w:tcBorders>
            <w:shd w:val="clear" w:color="auto" w:fill="auto"/>
            <w:vAlign w:val="center"/>
            <w:hideMark/>
          </w:tcPr>
          <w:p w14:paraId="0A74D0F0" w14:textId="77777777" w:rsidR="001F49F8" w:rsidRPr="00176BA0" w:rsidRDefault="001F49F8" w:rsidP="001F49F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H.P. acreedora por conceptos fiscales</w:t>
            </w:r>
          </w:p>
        </w:tc>
        <w:tc>
          <w:tcPr>
            <w:tcW w:w="718" w:type="pct"/>
            <w:tcBorders>
              <w:top w:val="nil"/>
              <w:left w:val="nil"/>
              <w:bottom w:val="nil"/>
              <w:right w:val="nil"/>
            </w:tcBorders>
            <w:shd w:val="clear" w:color="auto" w:fill="auto"/>
            <w:vAlign w:val="center"/>
          </w:tcPr>
          <w:p w14:paraId="3E803B90" w14:textId="52C85C4A" w:rsidR="001F49F8" w:rsidRPr="00176BA0" w:rsidRDefault="00A66166" w:rsidP="001F49F8">
            <w:pPr>
              <w:jc w:val="right"/>
              <w:rPr>
                <w:sz w:val="18"/>
                <w:szCs w:val="18"/>
              </w:rPr>
            </w:pPr>
            <w:r w:rsidRPr="00176BA0">
              <w:rPr>
                <w:sz w:val="18"/>
                <w:szCs w:val="18"/>
              </w:rPr>
              <w:t>-</w:t>
            </w:r>
          </w:p>
        </w:tc>
        <w:tc>
          <w:tcPr>
            <w:tcW w:w="718" w:type="pct"/>
            <w:tcBorders>
              <w:top w:val="nil"/>
              <w:left w:val="nil"/>
              <w:bottom w:val="nil"/>
              <w:right w:val="nil"/>
            </w:tcBorders>
            <w:shd w:val="clear" w:color="auto" w:fill="auto"/>
            <w:vAlign w:val="center"/>
          </w:tcPr>
          <w:p w14:paraId="5879DBE0" w14:textId="40E60130" w:rsidR="001F49F8" w:rsidRPr="00176BA0" w:rsidRDefault="00A66166" w:rsidP="001F49F8">
            <w:pPr>
              <w:jc w:val="right"/>
              <w:rPr>
                <w:sz w:val="18"/>
                <w:szCs w:val="18"/>
              </w:rPr>
            </w:pPr>
            <w:r w:rsidRPr="00176BA0">
              <w:rPr>
                <w:sz w:val="18"/>
                <w:szCs w:val="18"/>
              </w:rPr>
              <w:t>843.359,29</w:t>
            </w:r>
          </w:p>
        </w:tc>
        <w:tc>
          <w:tcPr>
            <w:tcW w:w="718" w:type="pct"/>
            <w:tcBorders>
              <w:top w:val="nil"/>
              <w:left w:val="nil"/>
              <w:bottom w:val="nil"/>
              <w:right w:val="nil"/>
            </w:tcBorders>
            <w:shd w:val="clear" w:color="auto" w:fill="auto"/>
            <w:vAlign w:val="center"/>
            <w:hideMark/>
          </w:tcPr>
          <w:p w14:paraId="55F5150A" w14:textId="296496AB" w:rsidR="001F49F8" w:rsidRPr="00176BA0" w:rsidRDefault="001F49F8" w:rsidP="001F49F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w:t>
            </w:r>
          </w:p>
        </w:tc>
        <w:tc>
          <w:tcPr>
            <w:tcW w:w="719" w:type="pct"/>
            <w:tcBorders>
              <w:top w:val="nil"/>
              <w:left w:val="nil"/>
              <w:bottom w:val="nil"/>
              <w:right w:val="nil"/>
            </w:tcBorders>
            <w:shd w:val="clear" w:color="auto" w:fill="auto"/>
            <w:vAlign w:val="center"/>
            <w:hideMark/>
          </w:tcPr>
          <w:p w14:paraId="3634F35B" w14:textId="56C047A1" w:rsidR="001F49F8" w:rsidRPr="00176BA0" w:rsidRDefault="001F49F8" w:rsidP="001F49F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 xml:space="preserve">469.822,03   </w:t>
            </w:r>
          </w:p>
        </w:tc>
      </w:tr>
      <w:tr w:rsidR="001F49F8" w:rsidRPr="00176BA0" w14:paraId="6842E4A2" w14:textId="77777777" w:rsidTr="00176BA0">
        <w:trPr>
          <w:trHeight w:val="283"/>
        </w:trPr>
        <w:tc>
          <w:tcPr>
            <w:tcW w:w="2127" w:type="pct"/>
            <w:tcBorders>
              <w:top w:val="nil"/>
              <w:left w:val="nil"/>
              <w:bottom w:val="nil"/>
              <w:right w:val="nil"/>
            </w:tcBorders>
            <w:shd w:val="clear" w:color="auto" w:fill="auto"/>
            <w:vAlign w:val="center"/>
            <w:hideMark/>
          </w:tcPr>
          <w:p w14:paraId="537E3F44" w14:textId="77777777" w:rsidR="001F49F8" w:rsidRPr="00176BA0" w:rsidRDefault="001F49F8" w:rsidP="001F49F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roofErr w:type="spellStart"/>
            <w:r w:rsidRPr="00176BA0">
              <w:rPr>
                <w:rFonts w:eastAsia="Times New Roman"/>
                <w:sz w:val="18"/>
                <w:szCs w:val="18"/>
                <w:bdr w:val="none" w:sz="0" w:space="0" w:color="auto"/>
                <w:lang w:eastAsia="es-ES"/>
              </w:rPr>
              <w:t>Org</w:t>
            </w:r>
            <w:proofErr w:type="spellEnd"/>
            <w:r w:rsidRPr="00176BA0">
              <w:rPr>
                <w:rFonts w:eastAsia="Times New Roman"/>
                <w:sz w:val="18"/>
                <w:szCs w:val="18"/>
                <w:bdr w:val="none" w:sz="0" w:space="0" w:color="auto"/>
                <w:lang w:eastAsia="es-ES"/>
              </w:rPr>
              <w:t>. de la Seguridad Social, acreedores</w:t>
            </w:r>
          </w:p>
        </w:tc>
        <w:tc>
          <w:tcPr>
            <w:tcW w:w="718" w:type="pct"/>
            <w:tcBorders>
              <w:top w:val="nil"/>
              <w:left w:val="nil"/>
              <w:bottom w:val="nil"/>
              <w:right w:val="nil"/>
            </w:tcBorders>
            <w:shd w:val="clear" w:color="auto" w:fill="auto"/>
            <w:vAlign w:val="center"/>
          </w:tcPr>
          <w:p w14:paraId="2D4DE4B4" w14:textId="69546A1C" w:rsidR="001F49F8" w:rsidRPr="00176BA0" w:rsidRDefault="001F49F8" w:rsidP="001F49F8">
            <w:pPr>
              <w:jc w:val="right"/>
              <w:rPr>
                <w:sz w:val="18"/>
                <w:szCs w:val="18"/>
              </w:rPr>
            </w:pPr>
          </w:p>
        </w:tc>
        <w:tc>
          <w:tcPr>
            <w:tcW w:w="718" w:type="pct"/>
            <w:tcBorders>
              <w:top w:val="nil"/>
              <w:left w:val="nil"/>
              <w:bottom w:val="nil"/>
              <w:right w:val="nil"/>
            </w:tcBorders>
            <w:shd w:val="clear" w:color="auto" w:fill="auto"/>
            <w:vAlign w:val="center"/>
          </w:tcPr>
          <w:p w14:paraId="204B8E6E" w14:textId="28E83B4E" w:rsidR="001F49F8" w:rsidRPr="00176BA0" w:rsidRDefault="00A66166" w:rsidP="001F49F8">
            <w:pPr>
              <w:jc w:val="right"/>
              <w:rPr>
                <w:sz w:val="18"/>
                <w:szCs w:val="18"/>
              </w:rPr>
            </w:pPr>
            <w:r w:rsidRPr="00176BA0">
              <w:rPr>
                <w:sz w:val="18"/>
                <w:szCs w:val="18"/>
              </w:rPr>
              <w:t>78.397,24</w:t>
            </w:r>
          </w:p>
        </w:tc>
        <w:tc>
          <w:tcPr>
            <w:tcW w:w="718" w:type="pct"/>
            <w:tcBorders>
              <w:top w:val="nil"/>
              <w:left w:val="nil"/>
              <w:bottom w:val="nil"/>
              <w:right w:val="nil"/>
            </w:tcBorders>
            <w:shd w:val="clear" w:color="auto" w:fill="auto"/>
            <w:vAlign w:val="center"/>
            <w:hideMark/>
          </w:tcPr>
          <w:p w14:paraId="0DA3DEEA" w14:textId="7F715466" w:rsidR="001F49F8" w:rsidRPr="00176BA0" w:rsidRDefault="001F49F8" w:rsidP="001F49F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w:t>
            </w:r>
          </w:p>
        </w:tc>
        <w:tc>
          <w:tcPr>
            <w:tcW w:w="719" w:type="pct"/>
            <w:tcBorders>
              <w:top w:val="nil"/>
              <w:left w:val="nil"/>
              <w:bottom w:val="nil"/>
              <w:right w:val="nil"/>
            </w:tcBorders>
            <w:shd w:val="clear" w:color="auto" w:fill="auto"/>
            <w:vAlign w:val="center"/>
            <w:hideMark/>
          </w:tcPr>
          <w:p w14:paraId="62AB7F63" w14:textId="0E464DE5" w:rsidR="001F49F8" w:rsidRPr="00176BA0" w:rsidRDefault="001F49F8" w:rsidP="001F49F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 xml:space="preserve">67.756,24   </w:t>
            </w:r>
          </w:p>
        </w:tc>
      </w:tr>
      <w:tr w:rsidR="00A66166" w:rsidRPr="00176BA0" w14:paraId="3FF1A320" w14:textId="77777777" w:rsidTr="00176BA0">
        <w:trPr>
          <w:trHeight w:val="283"/>
        </w:trPr>
        <w:tc>
          <w:tcPr>
            <w:tcW w:w="2127" w:type="pct"/>
            <w:tcBorders>
              <w:top w:val="single" w:sz="4" w:space="0" w:color="auto"/>
              <w:left w:val="nil"/>
              <w:bottom w:val="single" w:sz="4" w:space="0" w:color="auto"/>
              <w:right w:val="nil"/>
            </w:tcBorders>
            <w:shd w:val="clear" w:color="auto" w:fill="auto"/>
            <w:vAlign w:val="center"/>
            <w:hideMark/>
          </w:tcPr>
          <w:p w14:paraId="694A1BBA" w14:textId="77777777" w:rsidR="00A66166" w:rsidRPr="00176BA0" w:rsidRDefault="00A66166" w:rsidP="00A661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Total</w:t>
            </w:r>
          </w:p>
        </w:tc>
        <w:tc>
          <w:tcPr>
            <w:tcW w:w="718" w:type="pct"/>
            <w:tcBorders>
              <w:top w:val="single" w:sz="4" w:space="0" w:color="auto"/>
              <w:left w:val="nil"/>
              <w:bottom w:val="single" w:sz="4" w:space="0" w:color="auto"/>
              <w:right w:val="nil"/>
            </w:tcBorders>
            <w:shd w:val="clear" w:color="auto" w:fill="auto"/>
            <w:vAlign w:val="center"/>
          </w:tcPr>
          <w:p w14:paraId="5B169898" w14:textId="53EC8967" w:rsidR="00A66166" w:rsidRPr="00176BA0" w:rsidRDefault="00A66166" w:rsidP="00A66166">
            <w:pPr>
              <w:jc w:val="right"/>
              <w:rPr>
                <w:b/>
                <w:bCs/>
                <w:sz w:val="18"/>
                <w:szCs w:val="18"/>
              </w:rPr>
            </w:pPr>
            <w:r w:rsidRPr="00176BA0">
              <w:rPr>
                <w:b/>
                <w:bCs/>
                <w:sz w:val="18"/>
                <w:szCs w:val="18"/>
              </w:rPr>
              <w:t>39.900.000,00</w:t>
            </w:r>
          </w:p>
        </w:tc>
        <w:tc>
          <w:tcPr>
            <w:tcW w:w="718" w:type="pct"/>
            <w:tcBorders>
              <w:top w:val="single" w:sz="4" w:space="0" w:color="auto"/>
              <w:left w:val="nil"/>
              <w:bottom w:val="single" w:sz="4" w:space="0" w:color="auto"/>
              <w:right w:val="nil"/>
            </w:tcBorders>
            <w:shd w:val="clear" w:color="auto" w:fill="auto"/>
            <w:vAlign w:val="center"/>
          </w:tcPr>
          <w:p w14:paraId="0CE8D9E3" w14:textId="34600BA3" w:rsidR="00A66166" w:rsidRPr="00176BA0" w:rsidRDefault="00A66166" w:rsidP="00A66166">
            <w:pPr>
              <w:jc w:val="right"/>
              <w:rPr>
                <w:b/>
                <w:bCs/>
                <w:sz w:val="18"/>
                <w:szCs w:val="18"/>
              </w:rPr>
            </w:pPr>
            <w:r w:rsidRPr="00176BA0">
              <w:rPr>
                <w:b/>
                <w:bCs/>
                <w:sz w:val="18"/>
                <w:szCs w:val="18"/>
              </w:rPr>
              <w:t>2.945.568,03</w:t>
            </w:r>
          </w:p>
        </w:tc>
        <w:tc>
          <w:tcPr>
            <w:tcW w:w="718" w:type="pct"/>
            <w:tcBorders>
              <w:top w:val="single" w:sz="4" w:space="0" w:color="auto"/>
              <w:left w:val="nil"/>
              <w:bottom w:val="single" w:sz="4" w:space="0" w:color="auto"/>
              <w:right w:val="nil"/>
            </w:tcBorders>
            <w:shd w:val="clear" w:color="auto" w:fill="auto"/>
            <w:vAlign w:val="center"/>
            <w:hideMark/>
          </w:tcPr>
          <w:p w14:paraId="5BFB84B2" w14:textId="0850D318" w:rsidR="00A66166" w:rsidRPr="00176BA0" w:rsidRDefault="00A66166" w:rsidP="00A661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b/>
                <w:bCs/>
                <w:sz w:val="18"/>
                <w:szCs w:val="18"/>
              </w:rPr>
              <w:t>112.493,89</w:t>
            </w:r>
          </w:p>
        </w:tc>
        <w:tc>
          <w:tcPr>
            <w:tcW w:w="719" w:type="pct"/>
            <w:tcBorders>
              <w:top w:val="single" w:sz="4" w:space="0" w:color="auto"/>
              <w:left w:val="nil"/>
              <w:bottom w:val="single" w:sz="4" w:space="0" w:color="auto"/>
              <w:right w:val="nil"/>
            </w:tcBorders>
            <w:shd w:val="clear" w:color="auto" w:fill="auto"/>
            <w:vAlign w:val="center"/>
            <w:hideMark/>
          </w:tcPr>
          <w:p w14:paraId="5B1E9972" w14:textId="7B92F630" w:rsidR="00A66166" w:rsidRPr="00176BA0" w:rsidRDefault="00A66166" w:rsidP="00A6616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176BA0">
              <w:rPr>
                <w:b/>
                <w:bCs/>
                <w:sz w:val="18"/>
                <w:szCs w:val="18"/>
              </w:rPr>
              <w:t>537.578,27</w:t>
            </w:r>
          </w:p>
        </w:tc>
      </w:tr>
    </w:tbl>
    <w:p w14:paraId="340BCE01" w14:textId="77777777" w:rsidR="006220A2" w:rsidRPr="0083433F" w:rsidRDefault="006220A2" w:rsidP="006220A2">
      <w:pPr>
        <w:widowControl w:val="0"/>
        <w:tabs>
          <w:tab w:val="left" w:pos="284"/>
        </w:tabs>
        <w:spacing w:before="200"/>
        <w:rPr>
          <w:i/>
          <w:color w:val="auto"/>
          <w:sz w:val="20"/>
          <w:szCs w:val="22"/>
        </w:rPr>
      </w:pPr>
      <w:r w:rsidRPr="0083433F">
        <w:rPr>
          <w:i/>
          <w:color w:val="auto"/>
          <w:sz w:val="20"/>
          <w:szCs w:val="22"/>
        </w:rPr>
        <w:t>a)</w:t>
      </w:r>
      <w:r w:rsidRPr="0083433F">
        <w:rPr>
          <w:i/>
          <w:color w:val="auto"/>
          <w:sz w:val="20"/>
          <w:szCs w:val="22"/>
        </w:rPr>
        <w:tab/>
      </w:r>
      <w:r w:rsidRPr="0083433F">
        <w:rPr>
          <w:i/>
          <w:color w:val="auto"/>
          <w:sz w:val="20"/>
          <w:szCs w:val="22"/>
          <w:u w:val="single"/>
        </w:rPr>
        <w:t>Administraciones Públicas deudoras</w:t>
      </w:r>
    </w:p>
    <w:p w14:paraId="43EACBDD" w14:textId="68A5F2DD" w:rsidR="008459B8"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El importe bajo el epígrafe de “Hacienda Pública, deudora por diversos conceptos” recoge el importe de las subvenciones concedidas y no cobrada</w:t>
      </w:r>
      <w:r w:rsidR="003E75F6" w:rsidRPr="00176BA0">
        <w:rPr>
          <w:snapToGrid w:val="0"/>
          <w:sz w:val="20"/>
          <w:szCs w:val="22"/>
        </w:rPr>
        <w:t xml:space="preserve"> </w:t>
      </w:r>
      <w:r w:rsidR="00856EA0" w:rsidRPr="00176BA0">
        <w:rPr>
          <w:snapToGrid w:val="0"/>
          <w:sz w:val="20"/>
          <w:szCs w:val="22"/>
        </w:rPr>
        <w:t>a 31 de diciembre de 202</w:t>
      </w:r>
      <w:r w:rsidR="00BD680E" w:rsidRPr="00176BA0">
        <w:rPr>
          <w:snapToGrid w:val="0"/>
          <w:sz w:val="20"/>
          <w:szCs w:val="22"/>
        </w:rPr>
        <w:t>1</w:t>
      </w:r>
      <w:r w:rsidR="00856EA0" w:rsidRPr="00176BA0">
        <w:rPr>
          <w:snapToGrid w:val="0"/>
          <w:sz w:val="20"/>
          <w:szCs w:val="22"/>
        </w:rPr>
        <w:t xml:space="preserve">. </w:t>
      </w:r>
      <w:r w:rsidR="009E2F2D" w:rsidRPr="00176BA0">
        <w:rPr>
          <w:snapToGrid w:val="0"/>
          <w:sz w:val="20"/>
          <w:szCs w:val="22"/>
        </w:rPr>
        <w:t>A fecha de formulación de estas cuentas anuales se han cobrado 39.900</w:t>
      </w:r>
      <w:r w:rsidR="00D61675" w:rsidRPr="00176BA0">
        <w:rPr>
          <w:snapToGrid w:val="0"/>
          <w:sz w:val="20"/>
          <w:szCs w:val="22"/>
        </w:rPr>
        <w:t>.000</w:t>
      </w:r>
      <w:r w:rsidR="009E2F2D" w:rsidRPr="00176BA0">
        <w:rPr>
          <w:snapToGrid w:val="0"/>
          <w:sz w:val="20"/>
          <w:szCs w:val="22"/>
        </w:rPr>
        <w:t xml:space="preserve"> euros en febrero de 2022</w:t>
      </w:r>
      <w:r w:rsidR="00236065" w:rsidRPr="00176BA0">
        <w:rPr>
          <w:snapToGrid w:val="0"/>
          <w:sz w:val="20"/>
          <w:szCs w:val="22"/>
        </w:rPr>
        <w:t>.</w:t>
      </w:r>
    </w:p>
    <w:p w14:paraId="219BAC69" w14:textId="77777777" w:rsidR="006220A2" w:rsidRPr="0083433F" w:rsidRDefault="006220A2" w:rsidP="006220A2">
      <w:pPr>
        <w:widowControl w:val="0"/>
        <w:tabs>
          <w:tab w:val="left" w:pos="284"/>
        </w:tabs>
        <w:spacing w:before="200"/>
        <w:rPr>
          <w:i/>
          <w:sz w:val="20"/>
          <w:szCs w:val="22"/>
        </w:rPr>
      </w:pPr>
      <w:r w:rsidRPr="0083433F">
        <w:rPr>
          <w:i/>
          <w:sz w:val="20"/>
          <w:szCs w:val="22"/>
        </w:rPr>
        <w:t>b)</w:t>
      </w:r>
      <w:r w:rsidRPr="0083433F">
        <w:rPr>
          <w:i/>
          <w:sz w:val="22"/>
          <w:szCs w:val="22"/>
        </w:rPr>
        <w:tab/>
      </w:r>
      <w:r w:rsidRPr="0083433F">
        <w:rPr>
          <w:i/>
          <w:sz w:val="20"/>
          <w:szCs w:val="22"/>
          <w:u w:val="single"/>
        </w:rPr>
        <w:t>Administraciones Públicas acreedoras</w:t>
      </w:r>
    </w:p>
    <w:p w14:paraId="6C320ACA" w14:textId="77777777" w:rsidR="006220A2" w:rsidRDefault="006220A2" w:rsidP="00176BA0">
      <w:pPr>
        <w:widowControl w:val="0"/>
        <w:spacing w:before="120" w:after="120" w:line="260" w:lineRule="exact"/>
        <w:ind w:left="284"/>
        <w:jc w:val="both"/>
        <w:outlineLvl w:val="9"/>
        <w:rPr>
          <w:snapToGrid w:val="0"/>
          <w:sz w:val="20"/>
          <w:szCs w:val="22"/>
        </w:rPr>
      </w:pPr>
      <w:r w:rsidRPr="0083433F">
        <w:rPr>
          <w:snapToGrid w:val="0"/>
          <w:sz w:val="20"/>
          <w:szCs w:val="22"/>
        </w:rPr>
        <w:t>El epígrafe de Hacienda Pública, acreedora por conceptos fiscales recoge:</w:t>
      </w:r>
    </w:p>
    <w:tbl>
      <w:tblPr>
        <w:tblW w:w="5000" w:type="pct"/>
        <w:tblCellMar>
          <w:left w:w="70" w:type="dxa"/>
          <w:right w:w="70" w:type="dxa"/>
        </w:tblCellMar>
        <w:tblLook w:val="04A0" w:firstRow="1" w:lastRow="0" w:firstColumn="1" w:lastColumn="0" w:noHBand="0" w:noVBand="1"/>
      </w:tblPr>
      <w:tblGrid>
        <w:gridCol w:w="5007"/>
        <w:gridCol w:w="1886"/>
        <w:gridCol w:w="1888"/>
      </w:tblGrid>
      <w:tr w:rsidR="003E75F6" w:rsidRPr="00176BA0" w14:paraId="775021CB" w14:textId="77777777" w:rsidTr="00176BA0">
        <w:trPr>
          <w:trHeight w:val="227"/>
        </w:trPr>
        <w:tc>
          <w:tcPr>
            <w:tcW w:w="2851" w:type="pct"/>
            <w:tcBorders>
              <w:top w:val="single" w:sz="4" w:space="0" w:color="auto"/>
              <w:left w:val="nil"/>
              <w:bottom w:val="nil"/>
              <w:right w:val="nil"/>
            </w:tcBorders>
            <w:shd w:val="clear" w:color="auto" w:fill="auto"/>
            <w:vAlign w:val="bottom"/>
            <w:hideMark/>
          </w:tcPr>
          <w:p w14:paraId="56D4CEA2" w14:textId="77777777" w:rsidR="003E75F6" w:rsidRPr="00176BA0" w:rsidRDefault="003E75F6" w:rsidP="00EA53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p>
        </w:tc>
        <w:tc>
          <w:tcPr>
            <w:tcW w:w="2149" w:type="pct"/>
            <w:gridSpan w:val="2"/>
            <w:tcBorders>
              <w:top w:val="single" w:sz="4" w:space="0" w:color="auto"/>
              <w:left w:val="nil"/>
              <w:bottom w:val="single" w:sz="4" w:space="0" w:color="auto"/>
              <w:right w:val="nil"/>
            </w:tcBorders>
            <w:shd w:val="clear" w:color="auto" w:fill="auto"/>
            <w:vAlign w:val="bottom"/>
            <w:hideMark/>
          </w:tcPr>
          <w:p w14:paraId="3D080261" w14:textId="77777777" w:rsidR="003E75F6" w:rsidRPr="00176BA0" w:rsidRDefault="003E75F6"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Euros</w:t>
            </w:r>
          </w:p>
        </w:tc>
      </w:tr>
      <w:tr w:rsidR="003E75F6" w:rsidRPr="00176BA0" w14:paraId="60CA8229" w14:textId="77777777" w:rsidTr="00176BA0">
        <w:trPr>
          <w:trHeight w:val="227"/>
        </w:trPr>
        <w:tc>
          <w:tcPr>
            <w:tcW w:w="2851" w:type="pct"/>
            <w:tcBorders>
              <w:top w:val="nil"/>
              <w:left w:val="nil"/>
              <w:bottom w:val="single" w:sz="4" w:space="0" w:color="auto"/>
              <w:right w:val="nil"/>
            </w:tcBorders>
            <w:shd w:val="clear" w:color="auto" w:fill="auto"/>
            <w:vAlign w:val="bottom"/>
            <w:hideMark/>
          </w:tcPr>
          <w:p w14:paraId="582D71CA" w14:textId="77777777" w:rsidR="003E75F6" w:rsidRPr="00176BA0" w:rsidRDefault="003E75F6" w:rsidP="00EA53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1074" w:type="pct"/>
            <w:tcBorders>
              <w:top w:val="nil"/>
              <w:left w:val="nil"/>
              <w:bottom w:val="single" w:sz="4" w:space="0" w:color="auto"/>
              <w:right w:val="nil"/>
            </w:tcBorders>
            <w:shd w:val="clear" w:color="auto" w:fill="auto"/>
            <w:vAlign w:val="bottom"/>
            <w:hideMark/>
          </w:tcPr>
          <w:p w14:paraId="627334C3" w14:textId="39B360F9" w:rsidR="003E75F6" w:rsidRPr="00176BA0" w:rsidRDefault="003E75F6"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w:t>
            </w:r>
            <w:r w:rsidR="005255F2" w:rsidRPr="00176BA0">
              <w:rPr>
                <w:rFonts w:eastAsia="Times New Roman"/>
                <w:b/>
                <w:bCs/>
                <w:sz w:val="18"/>
                <w:szCs w:val="18"/>
                <w:bdr w:val="none" w:sz="0" w:space="0" w:color="auto"/>
                <w:lang w:eastAsia="es-ES"/>
              </w:rPr>
              <w:t>1</w:t>
            </w:r>
          </w:p>
        </w:tc>
        <w:tc>
          <w:tcPr>
            <w:tcW w:w="1075" w:type="pct"/>
            <w:tcBorders>
              <w:top w:val="nil"/>
              <w:left w:val="nil"/>
              <w:bottom w:val="single" w:sz="4" w:space="0" w:color="auto"/>
              <w:right w:val="nil"/>
            </w:tcBorders>
            <w:shd w:val="clear" w:color="auto" w:fill="auto"/>
            <w:vAlign w:val="bottom"/>
            <w:hideMark/>
          </w:tcPr>
          <w:p w14:paraId="78BC09A2" w14:textId="7CF342AF" w:rsidR="003E75F6" w:rsidRPr="00176BA0" w:rsidRDefault="003E75F6"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w:t>
            </w:r>
            <w:r w:rsidR="005255F2" w:rsidRPr="00176BA0">
              <w:rPr>
                <w:rFonts w:eastAsia="Times New Roman"/>
                <w:b/>
                <w:bCs/>
                <w:sz w:val="18"/>
                <w:szCs w:val="18"/>
                <w:bdr w:val="none" w:sz="0" w:space="0" w:color="auto"/>
                <w:lang w:eastAsia="es-ES"/>
              </w:rPr>
              <w:t>20</w:t>
            </w:r>
          </w:p>
        </w:tc>
      </w:tr>
      <w:tr w:rsidR="003E75F6" w:rsidRPr="00176BA0" w14:paraId="15278BA0" w14:textId="77777777" w:rsidTr="00176BA0">
        <w:trPr>
          <w:trHeight w:val="283"/>
        </w:trPr>
        <w:tc>
          <w:tcPr>
            <w:tcW w:w="2851" w:type="pct"/>
            <w:tcBorders>
              <w:top w:val="nil"/>
              <w:left w:val="nil"/>
              <w:bottom w:val="nil"/>
              <w:right w:val="nil"/>
            </w:tcBorders>
            <w:shd w:val="clear" w:color="auto" w:fill="auto"/>
            <w:vAlign w:val="center"/>
            <w:hideMark/>
          </w:tcPr>
          <w:p w14:paraId="53F057E7" w14:textId="77777777" w:rsidR="003E75F6" w:rsidRPr="00176BA0"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Administraciones Públicas acreedoras</w:t>
            </w:r>
          </w:p>
        </w:tc>
        <w:tc>
          <w:tcPr>
            <w:tcW w:w="1074" w:type="pct"/>
            <w:tcBorders>
              <w:top w:val="nil"/>
              <w:left w:val="nil"/>
              <w:bottom w:val="nil"/>
              <w:right w:val="nil"/>
            </w:tcBorders>
            <w:shd w:val="clear" w:color="auto" w:fill="auto"/>
            <w:noWrap/>
            <w:vAlign w:val="center"/>
            <w:hideMark/>
          </w:tcPr>
          <w:p w14:paraId="4669202B" w14:textId="77777777" w:rsidR="003E75F6" w:rsidRPr="00176BA0"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1075" w:type="pct"/>
            <w:tcBorders>
              <w:top w:val="nil"/>
              <w:left w:val="nil"/>
              <w:bottom w:val="nil"/>
              <w:right w:val="nil"/>
            </w:tcBorders>
            <w:shd w:val="clear" w:color="auto" w:fill="auto"/>
            <w:vAlign w:val="center"/>
            <w:hideMark/>
          </w:tcPr>
          <w:p w14:paraId="4A03F700" w14:textId="77777777" w:rsidR="003E75F6" w:rsidRPr="00176BA0" w:rsidRDefault="003E75F6" w:rsidP="0023606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r>
      <w:tr w:rsidR="00DE1DD6" w:rsidRPr="00176BA0" w14:paraId="519FD8EA" w14:textId="77777777" w:rsidTr="00176BA0">
        <w:trPr>
          <w:trHeight w:val="283"/>
        </w:trPr>
        <w:tc>
          <w:tcPr>
            <w:tcW w:w="2851" w:type="pct"/>
            <w:tcBorders>
              <w:top w:val="nil"/>
              <w:left w:val="nil"/>
              <w:bottom w:val="nil"/>
              <w:right w:val="nil"/>
            </w:tcBorders>
            <w:shd w:val="clear" w:color="auto" w:fill="auto"/>
            <w:vAlign w:val="center"/>
            <w:hideMark/>
          </w:tcPr>
          <w:p w14:paraId="29243DB0" w14:textId="77777777" w:rsidR="00DE1DD6" w:rsidRPr="00176BA0" w:rsidRDefault="00DE1DD6" w:rsidP="00DE1DD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Hacienda Pública acreedora por IGIC</w:t>
            </w:r>
          </w:p>
        </w:tc>
        <w:tc>
          <w:tcPr>
            <w:tcW w:w="1074" w:type="pct"/>
            <w:tcBorders>
              <w:top w:val="nil"/>
              <w:left w:val="nil"/>
              <w:bottom w:val="nil"/>
              <w:right w:val="nil"/>
            </w:tcBorders>
            <w:shd w:val="clear" w:color="auto" w:fill="auto"/>
            <w:noWrap/>
            <w:vAlign w:val="center"/>
          </w:tcPr>
          <w:p w14:paraId="6E5F4421" w14:textId="72AF6407" w:rsidR="00DE1DD6" w:rsidRPr="00176BA0" w:rsidRDefault="00DE1DD6" w:rsidP="00FA2F7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719.622,28</w:t>
            </w:r>
          </w:p>
        </w:tc>
        <w:tc>
          <w:tcPr>
            <w:tcW w:w="1075" w:type="pct"/>
            <w:tcBorders>
              <w:top w:val="nil"/>
              <w:left w:val="nil"/>
              <w:bottom w:val="nil"/>
              <w:right w:val="nil"/>
            </w:tcBorders>
            <w:shd w:val="clear" w:color="auto" w:fill="auto"/>
            <w:vAlign w:val="center"/>
            <w:hideMark/>
          </w:tcPr>
          <w:p w14:paraId="57C592DC" w14:textId="41B5DB38" w:rsidR="00DE1DD6" w:rsidRPr="00176BA0" w:rsidRDefault="00DE1DD6" w:rsidP="00FA2F7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360.176,19   </w:t>
            </w:r>
          </w:p>
        </w:tc>
      </w:tr>
      <w:tr w:rsidR="00DE1DD6" w:rsidRPr="00176BA0" w14:paraId="3B4515BF" w14:textId="77777777" w:rsidTr="00176BA0">
        <w:trPr>
          <w:trHeight w:val="283"/>
        </w:trPr>
        <w:tc>
          <w:tcPr>
            <w:tcW w:w="2851" w:type="pct"/>
            <w:tcBorders>
              <w:top w:val="nil"/>
              <w:left w:val="nil"/>
              <w:bottom w:val="nil"/>
              <w:right w:val="nil"/>
            </w:tcBorders>
            <w:shd w:val="clear" w:color="auto" w:fill="auto"/>
            <w:vAlign w:val="center"/>
            <w:hideMark/>
          </w:tcPr>
          <w:p w14:paraId="7C515E6C" w14:textId="77777777" w:rsidR="00DE1DD6" w:rsidRPr="00176BA0" w:rsidRDefault="00DE1DD6" w:rsidP="00DE1DD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Subvenciones a reintegrar</w:t>
            </w:r>
          </w:p>
        </w:tc>
        <w:tc>
          <w:tcPr>
            <w:tcW w:w="1074" w:type="pct"/>
            <w:tcBorders>
              <w:top w:val="nil"/>
              <w:left w:val="nil"/>
              <w:bottom w:val="nil"/>
              <w:right w:val="nil"/>
            </w:tcBorders>
            <w:shd w:val="clear" w:color="auto" w:fill="auto"/>
            <w:noWrap/>
            <w:vAlign w:val="center"/>
          </w:tcPr>
          <w:p w14:paraId="58A05822" w14:textId="4D9D677D" w:rsidR="00DE1DD6" w:rsidRPr="00176BA0" w:rsidRDefault="00DE1DD6" w:rsidP="00FA2F7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2.023.811,50</w:t>
            </w:r>
          </w:p>
        </w:tc>
        <w:tc>
          <w:tcPr>
            <w:tcW w:w="1075" w:type="pct"/>
            <w:tcBorders>
              <w:top w:val="nil"/>
              <w:left w:val="nil"/>
              <w:bottom w:val="nil"/>
              <w:right w:val="nil"/>
            </w:tcBorders>
            <w:shd w:val="clear" w:color="auto" w:fill="auto"/>
            <w:vAlign w:val="center"/>
            <w:hideMark/>
          </w:tcPr>
          <w:p w14:paraId="1A61F6C8" w14:textId="59744A5D" w:rsidR="00DE1DD6" w:rsidRPr="00176BA0" w:rsidRDefault="00DE1DD6" w:rsidP="00FA2F7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     </w:t>
            </w:r>
          </w:p>
        </w:tc>
      </w:tr>
      <w:tr w:rsidR="00DE1DD6" w:rsidRPr="00176BA0" w14:paraId="5367A8A6" w14:textId="77777777" w:rsidTr="00176BA0">
        <w:trPr>
          <w:trHeight w:val="283"/>
        </w:trPr>
        <w:tc>
          <w:tcPr>
            <w:tcW w:w="2851" w:type="pct"/>
            <w:tcBorders>
              <w:top w:val="nil"/>
              <w:left w:val="nil"/>
              <w:bottom w:val="nil"/>
              <w:right w:val="nil"/>
            </w:tcBorders>
            <w:shd w:val="clear" w:color="auto" w:fill="auto"/>
            <w:noWrap/>
            <w:vAlign w:val="center"/>
            <w:hideMark/>
          </w:tcPr>
          <w:p w14:paraId="646017FA" w14:textId="77777777" w:rsidR="00DE1DD6" w:rsidRPr="00176BA0" w:rsidRDefault="00DE1DD6" w:rsidP="00DE1DD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Retenciones Concursos</w:t>
            </w:r>
          </w:p>
        </w:tc>
        <w:tc>
          <w:tcPr>
            <w:tcW w:w="1074" w:type="pct"/>
            <w:tcBorders>
              <w:top w:val="nil"/>
              <w:left w:val="nil"/>
              <w:bottom w:val="nil"/>
              <w:right w:val="nil"/>
            </w:tcBorders>
            <w:shd w:val="clear" w:color="auto" w:fill="auto"/>
            <w:noWrap/>
            <w:vAlign w:val="center"/>
          </w:tcPr>
          <w:p w14:paraId="5584B89F" w14:textId="7CE4353C" w:rsidR="00DE1DD6" w:rsidRPr="00176BA0" w:rsidRDefault="003A7BAA" w:rsidP="00FA2F7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w:t>
            </w:r>
          </w:p>
        </w:tc>
        <w:tc>
          <w:tcPr>
            <w:tcW w:w="1075" w:type="pct"/>
            <w:tcBorders>
              <w:top w:val="nil"/>
              <w:left w:val="nil"/>
              <w:bottom w:val="nil"/>
              <w:right w:val="nil"/>
            </w:tcBorders>
            <w:shd w:val="clear" w:color="auto" w:fill="auto"/>
            <w:vAlign w:val="center"/>
            <w:hideMark/>
          </w:tcPr>
          <w:p w14:paraId="5FAB8DB1" w14:textId="3DBF471A" w:rsidR="00DE1DD6" w:rsidRPr="00176BA0" w:rsidRDefault="00DE1DD6" w:rsidP="00FA2F7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424,31   </w:t>
            </w:r>
          </w:p>
        </w:tc>
      </w:tr>
      <w:tr w:rsidR="00DE1DD6" w:rsidRPr="00176BA0" w14:paraId="5913F68B" w14:textId="77777777" w:rsidTr="00176BA0">
        <w:trPr>
          <w:trHeight w:val="283"/>
        </w:trPr>
        <w:tc>
          <w:tcPr>
            <w:tcW w:w="2851" w:type="pct"/>
            <w:tcBorders>
              <w:top w:val="nil"/>
              <w:left w:val="nil"/>
              <w:bottom w:val="nil"/>
              <w:right w:val="nil"/>
            </w:tcBorders>
            <w:shd w:val="clear" w:color="auto" w:fill="auto"/>
            <w:vAlign w:val="center"/>
            <w:hideMark/>
          </w:tcPr>
          <w:p w14:paraId="4ABDD0FB" w14:textId="77777777" w:rsidR="00DE1DD6" w:rsidRPr="00176BA0" w:rsidRDefault="00DE1DD6" w:rsidP="00DE1DD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IRPF Personal</w:t>
            </w:r>
          </w:p>
        </w:tc>
        <w:tc>
          <w:tcPr>
            <w:tcW w:w="1074" w:type="pct"/>
            <w:tcBorders>
              <w:top w:val="nil"/>
              <w:left w:val="nil"/>
              <w:bottom w:val="nil"/>
              <w:right w:val="nil"/>
            </w:tcBorders>
            <w:shd w:val="clear" w:color="auto" w:fill="auto"/>
            <w:noWrap/>
            <w:vAlign w:val="center"/>
          </w:tcPr>
          <w:p w14:paraId="6F06FD81" w14:textId="25179FDF" w:rsidR="00DE1DD6" w:rsidRPr="00176BA0" w:rsidRDefault="00DE1DD6" w:rsidP="00FA2F7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101.818,15</w:t>
            </w:r>
          </w:p>
        </w:tc>
        <w:tc>
          <w:tcPr>
            <w:tcW w:w="1075" w:type="pct"/>
            <w:tcBorders>
              <w:top w:val="nil"/>
              <w:left w:val="nil"/>
              <w:bottom w:val="nil"/>
              <w:right w:val="nil"/>
            </w:tcBorders>
            <w:shd w:val="clear" w:color="auto" w:fill="auto"/>
            <w:vAlign w:val="center"/>
            <w:hideMark/>
          </w:tcPr>
          <w:p w14:paraId="7A383346" w14:textId="1A150DB1" w:rsidR="00DE1DD6" w:rsidRPr="00176BA0" w:rsidRDefault="00DE1DD6" w:rsidP="00FA2F7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87.771,07   </w:t>
            </w:r>
          </w:p>
        </w:tc>
      </w:tr>
      <w:tr w:rsidR="00DE1DD6" w:rsidRPr="00176BA0" w14:paraId="21FD2B88" w14:textId="77777777" w:rsidTr="00176BA0">
        <w:trPr>
          <w:trHeight w:val="283"/>
        </w:trPr>
        <w:tc>
          <w:tcPr>
            <w:tcW w:w="2851" w:type="pct"/>
            <w:tcBorders>
              <w:top w:val="nil"/>
              <w:left w:val="nil"/>
              <w:right w:val="nil"/>
            </w:tcBorders>
            <w:shd w:val="clear" w:color="auto" w:fill="auto"/>
            <w:vAlign w:val="center"/>
            <w:hideMark/>
          </w:tcPr>
          <w:p w14:paraId="6DE624E9" w14:textId="77777777" w:rsidR="00DE1DD6" w:rsidRPr="00176BA0" w:rsidRDefault="00DE1DD6" w:rsidP="00DE1DD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IRPF Profesionales</w:t>
            </w:r>
          </w:p>
        </w:tc>
        <w:tc>
          <w:tcPr>
            <w:tcW w:w="1074" w:type="pct"/>
            <w:tcBorders>
              <w:top w:val="nil"/>
              <w:left w:val="nil"/>
              <w:right w:val="nil"/>
            </w:tcBorders>
            <w:shd w:val="clear" w:color="auto" w:fill="auto"/>
            <w:noWrap/>
            <w:vAlign w:val="center"/>
          </w:tcPr>
          <w:p w14:paraId="3122E67F" w14:textId="165CF379" w:rsidR="00DE1DD6" w:rsidRPr="00176BA0" w:rsidRDefault="00DE1DD6" w:rsidP="00FA2F7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18.880,46</w:t>
            </w:r>
          </w:p>
        </w:tc>
        <w:tc>
          <w:tcPr>
            <w:tcW w:w="1075" w:type="pct"/>
            <w:tcBorders>
              <w:top w:val="nil"/>
              <w:left w:val="nil"/>
              <w:right w:val="nil"/>
            </w:tcBorders>
            <w:shd w:val="clear" w:color="auto" w:fill="auto"/>
            <w:vAlign w:val="center"/>
            <w:hideMark/>
          </w:tcPr>
          <w:p w14:paraId="22F166B0" w14:textId="04B57A50" w:rsidR="00DE1DD6" w:rsidRPr="00176BA0" w:rsidRDefault="00DE1DD6" w:rsidP="00FA2F7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18.320,52   </w:t>
            </w:r>
          </w:p>
        </w:tc>
      </w:tr>
      <w:tr w:rsidR="00DE1DD6" w:rsidRPr="00176BA0" w14:paraId="097FCF0E" w14:textId="77777777" w:rsidTr="00176BA0">
        <w:trPr>
          <w:trHeight w:val="283"/>
        </w:trPr>
        <w:tc>
          <w:tcPr>
            <w:tcW w:w="2851" w:type="pct"/>
            <w:tcBorders>
              <w:top w:val="nil"/>
              <w:left w:val="nil"/>
              <w:right w:val="nil"/>
            </w:tcBorders>
            <w:shd w:val="clear" w:color="auto" w:fill="auto"/>
            <w:vAlign w:val="center"/>
            <w:hideMark/>
          </w:tcPr>
          <w:p w14:paraId="087BBFB9" w14:textId="77777777" w:rsidR="00DE1DD6" w:rsidRPr="00176BA0" w:rsidRDefault="00DE1DD6" w:rsidP="00DE1DD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Retenciones alquiler</w:t>
            </w:r>
          </w:p>
        </w:tc>
        <w:tc>
          <w:tcPr>
            <w:tcW w:w="1074" w:type="pct"/>
            <w:tcBorders>
              <w:top w:val="nil"/>
              <w:left w:val="nil"/>
              <w:right w:val="nil"/>
            </w:tcBorders>
            <w:shd w:val="clear" w:color="auto" w:fill="auto"/>
            <w:noWrap/>
            <w:vAlign w:val="center"/>
          </w:tcPr>
          <w:p w14:paraId="0E76E258" w14:textId="06F52B0C" w:rsidR="00DE1DD6" w:rsidRPr="00176BA0" w:rsidRDefault="00DE1DD6" w:rsidP="00FA2F7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3.038,40</w:t>
            </w:r>
          </w:p>
        </w:tc>
        <w:tc>
          <w:tcPr>
            <w:tcW w:w="1075" w:type="pct"/>
            <w:tcBorders>
              <w:top w:val="nil"/>
              <w:left w:val="nil"/>
              <w:right w:val="nil"/>
            </w:tcBorders>
            <w:shd w:val="clear" w:color="auto" w:fill="auto"/>
            <w:vAlign w:val="center"/>
            <w:hideMark/>
          </w:tcPr>
          <w:p w14:paraId="01D5FE0C" w14:textId="4ED4104F" w:rsidR="00DE1DD6" w:rsidRPr="00176BA0" w:rsidRDefault="00DE1DD6" w:rsidP="00FA2F7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xml:space="preserve">3.011,13   </w:t>
            </w:r>
          </w:p>
        </w:tc>
      </w:tr>
      <w:tr w:rsidR="00DE1DD6" w:rsidRPr="00176BA0" w14:paraId="5FED9600" w14:textId="77777777" w:rsidTr="00176BA0">
        <w:trPr>
          <w:trHeight w:val="283"/>
        </w:trPr>
        <w:tc>
          <w:tcPr>
            <w:tcW w:w="2851" w:type="pct"/>
            <w:tcBorders>
              <w:left w:val="nil"/>
              <w:bottom w:val="single" w:sz="4" w:space="0" w:color="auto"/>
              <w:right w:val="nil"/>
            </w:tcBorders>
            <w:shd w:val="clear" w:color="auto" w:fill="auto"/>
            <w:vAlign w:val="center"/>
          </w:tcPr>
          <w:p w14:paraId="07370483" w14:textId="77777777" w:rsidR="00DE1DD6" w:rsidRPr="00176BA0" w:rsidRDefault="00DE1DD6" w:rsidP="00DE1DD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sz w:val="18"/>
                <w:szCs w:val="18"/>
              </w:rPr>
              <w:t>Otros</w:t>
            </w:r>
          </w:p>
        </w:tc>
        <w:tc>
          <w:tcPr>
            <w:tcW w:w="1074" w:type="pct"/>
            <w:tcBorders>
              <w:left w:val="nil"/>
              <w:bottom w:val="nil"/>
              <w:right w:val="nil"/>
            </w:tcBorders>
            <w:shd w:val="clear" w:color="auto" w:fill="auto"/>
            <w:noWrap/>
            <w:vAlign w:val="center"/>
          </w:tcPr>
          <w:p w14:paraId="64B4D771" w14:textId="68E0E36E" w:rsidR="00DE1DD6" w:rsidRPr="00176BA0" w:rsidRDefault="00FA2F7B" w:rsidP="00FA2F7B">
            <w:pPr>
              <w:jc w:val="right"/>
              <w:rPr>
                <w:sz w:val="18"/>
                <w:szCs w:val="18"/>
              </w:rPr>
            </w:pPr>
            <w:r w:rsidRPr="00176BA0">
              <w:rPr>
                <w:sz w:val="18"/>
                <w:szCs w:val="18"/>
              </w:rPr>
              <w:t>-</w:t>
            </w:r>
          </w:p>
        </w:tc>
        <w:tc>
          <w:tcPr>
            <w:tcW w:w="1075" w:type="pct"/>
            <w:tcBorders>
              <w:left w:val="nil"/>
              <w:bottom w:val="nil"/>
              <w:right w:val="nil"/>
            </w:tcBorders>
            <w:shd w:val="clear" w:color="auto" w:fill="auto"/>
            <w:vAlign w:val="center"/>
          </w:tcPr>
          <w:p w14:paraId="08B9EE09" w14:textId="7FB29503" w:rsidR="00DE1DD6" w:rsidRPr="00176BA0" w:rsidRDefault="00DE1DD6" w:rsidP="00FA2F7B">
            <w:pPr>
              <w:jc w:val="right"/>
              <w:rPr>
                <w:sz w:val="18"/>
                <w:szCs w:val="18"/>
              </w:rPr>
            </w:pPr>
            <w:r w:rsidRPr="00176BA0">
              <w:rPr>
                <w:sz w:val="18"/>
                <w:szCs w:val="18"/>
              </w:rPr>
              <w:t xml:space="preserve">118,81   </w:t>
            </w:r>
          </w:p>
        </w:tc>
      </w:tr>
      <w:tr w:rsidR="00DE1DD6" w:rsidRPr="00176BA0" w14:paraId="47AF1B8A" w14:textId="77777777" w:rsidTr="00176BA0">
        <w:trPr>
          <w:trHeight w:val="283"/>
        </w:trPr>
        <w:tc>
          <w:tcPr>
            <w:tcW w:w="2851" w:type="pct"/>
            <w:tcBorders>
              <w:top w:val="nil"/>
              <w:left w:val="nil"/>
              <w:bottom w:val="single" w:sz="4" w:space="0" w:color="auto"/>
              <w:right w:val="nil"/>
            </w:tcBorders>
            <w:shd w:val="clear" w:color="auto" w:fill="auto"/>
            <w:vAlign w:val="center"/>
            <w:hideMark/>
          </w:tcPr>
          <w:p w14:paraId="38A069D3" w14:textId="77777777" w:rsidR="00DE1DD6" w:rsidRPr="00176BA0" w:rsidRDefault="00DE1DD6" w:rsidP="00DE1DD6">
            <w:pPr>
              <w:rPr>
                <w:b/>
                <w:bCs/>
                <w:sz w:val="18"/>
                <w:szCs w:val="18"/>
              </w:rPr>
            </w:pPr>
            <w:r w:rsidRPr="00176BA0">
              <w:rPr>
                <w:b/>
                <w:bCs/>
                <w:sz w:val="18"/>
                <w:szCs w:val="18"/>
              </w:rPr>
              <w:t>Total</w:t>
            </w:r>
          </w:p>
        </w:tc>
        <w:tc>
          <w:tcPr>
            <w:tcW w:w="1074" w:type="pct"/>
            <w:tcBorders>
              <w:top w:val="single" w:sz="4" w:space="0" w:color="auto"/>
              <w:left w:val="nil"/>
              <w:bottom w:val="single" w:sz="4" w:space="0" w:color="auto"/>
              <w:right w:val="nil"/>
            </w:tcBorders>
            <w:shd w:val="clear" w:color="auto" w:fill="auto"/>
            <w:vAlign w:val="center"/>
          </w:tcPr>
          <w:p w14:paraId="7D0885BC" w14:textId="23B97BB5" w:rsidR="00DE1DD6" w:rsidRPr="00176BA0" w:rsidRDefault="00DE1DD6" w:rsidP="00FA2F7B">
            <w:pPr>
              <w:jc w:val="right"/>
              <w:rPr>
                <w:b/>
                <w:bCs/>
                <w:sz w:val="18"/>
                <w:szCs w:val="18"/>
              </w:rPr>
            </w:pPr>
            <w:r w:rsidRPr="00176BA0">
              <w:rPr>
                <w:b/>
                <w:bCs/>
                <w:sz w:val="18"/>
                <w:szCs w:val="18"/>
              </w:rPr>
              <w:t>2.867.170,79</w:t>
            </w:r>
          </w:p>
        </w:tc>
        <w:tc>
          <w:tcPr>
            <w:tcW w:w="1075" w:type="pct"/>
            <w:tcBorders>
              <w:top w:val="single" w:sz="4" w:space="0" w:color="auto"/>
              <w:left w:val="nil"/>
              <w:bottom w:val="single" w:sz="4" w:space="0" w:color="auto"/>
              <w:right w:val="nil"/>
            </w:tcBorders>
            <w:shd w:val="clear" w:color="auto" w:fill="auto"/>
            <w:vAlign w:val="center"/>
            <w:hideMark/>
          </w:tcPr>
          <w:p w14:paraId="4AFF8571" w14:textId="32002D1E" w:rsidR="00DE1DD6" w:rsidRPr="00176BA0" w:rsidRDefault="00DE1DD6" w:rsidP="00FA2F7B">
            <w:pPr>
              <w:jc w:val="right"/>
              <w:rPr>
                <w:b/>
                <w:bCs/>
                <w:sz w:val="18"/>
                <w:szCs w:val="18"/>
              </w:rPr>
            </w:pPr>
            <w:r w:rsidRPr="00176BA0">
              <w:rPr>
                <w:b/>
                <w:bCs/>
                <w:sz w:val="18"/>
                <w:szCs w:val="18"/>
              </w:rPr>
              <w:t>469.822,03</w:t>
            </w:r>
          </w:p>
        </w:tc>
      </w:tr>
    </w:tbl>
    <w:p w14:paraId="09AA482A" w14:textId="77777777" w:rsidR="00176BA0" w:rsidRPr="00176BA0" w:rsidRDefault="00176BA0" w:rsidP="00176BA0">
      <w:pPr>
        <w:widowControl w:val="0"/>
        <w:spacing w:before="120" w:after="120" w:line="260" w:lineRule="exact"/>
        <w:ind w:left="284"/>
        <w:jc w:val="both"/>
        <w:outlineLvl w:val="9"/>
        <w:rPr>
          <w:snapToGrid w:val="0"/>
          <w:sz w:val="20"/>
          <w:szCs w:val="22"/>
        </w:rPr>
      </w:pPr>
    </w:p>
    <w:p w14:paraId="4647E6DE" w14:textId="77777777" w:rsidR="00176BA0" w:rsidRDefault="00176BA0">
      <w:pPr>
        <w:pBdr>
          <w:top w:val="none" w:sz="0" w:space="0" w:color="auto"/>
          <w:left w:val="none" w:sz="0" w:space="0" w:color="auto"/>
          <w:bottom w:val="none" w:sz="0" w:space="0" w:color="auto"/>
          <w:right w:val="none" w:sz="0" w:space="0" w:color="auto"/>
          <w:between w:val="none" w:sz="0" w:space="0" w:color="auto"/>
          <w:bar w:val="none" w:sz="0" w:color="auto"/>
        </w:pBdr>
        <w:outlineLvl w:val="9"/>
        <w:rPr>
          <w:b/>
          <w:sz w:val="20"/>
          <w:szCs w:val="22"/>
        </w:rPr>
      </w:pPr>
      <w:r>
        <w:rPr>
          <w:b/>
          <w:sz w:val="20"/>
          <w:szCs w:val="22"/>
        </w:rPr>
        <w:br w:type="page"/>
      </w:r>
    </w:p>
    <w:p w14:paraId="23964E7C" w14:textId="649F1726" w:rsidR="006220A2" w:rsidRPr="00274EE1" w:rsidRDefault="006220A2" w:rsidP="00236065">
      <w:pPr>
        <w:keepNext/>
        <w:keepLines/>
        <w:widowControl w:val="0"/>
        <w:spacing w:before="200"/>
        <w:rPr>
          <w:b/>
          <w:sz w:val="20"/>
          <w:szCs w:val="22"/>
          <w:u w:val="single"/>
        </w:rPr>
      </w:pPr>
      <w:r w:rsidRPr="00823399">
        <w:rPr>
          <w:b/>
          <w:sz w:val="20"/>
          <w:szCs w:val="22"/>
        </w:rPr>
        <w:lastRenderedPageBreak/>
        <w:t>11.2.</w:t>
      </w:r>
      <w:r w:rsidR="00841182" w:rsidRPr="00823399">
        <w:rPr>
          <w:b/>
          <w:sz w:val="20"/>
          <w:szCs w:val="22"/>
        </w:rPr>
        <w:t xml:space="preserve"> </w:t>
      </w:r>
      <w:r w:rsidRPr="00823399">
        <w:rPr>
          <w:b/>
          <w:sz w:val="20"/>
          <w:szCs w:val="22"/>
        </w:rPr>
        <w:t>Impuesto sobre beneficios y situación fiscal</w:t>
      </w:r>
    </w:p>
    <w:p w14:paraId="584DC183"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La conciliación entre el importe neto de ingresos y gastos del ejercicio y la base imponible del impuesto sobre beneficios es la siguiente:</w:t>
      </w:r>
    </w:p>
    <w:tbl>
      <w:tblPr>
        <w:tblW w:w="5000" w:type="pct"/>
        <w:jc w:val="center"/>
        <w:tblCellMar>
          <w:left w:w="70" w:type="dxa"/>
          <w:right w:w="70" w:type="dxa"/>
        </w:tblCellMar>
        <w:tblLook w:val="04A0" w:firstRow="1" w:lastRow="0" w:firstColumn="1" w:lastColumn="0" w:noHBand="0" w:noVBand="1"/>
      </w:tblPr>
      <w:tblGrid>
        <w:gridCol w:w="5298"/>
        <w:gridCol w:w="1758"/>
        <w:gridCol w:w="1725"/>
      </w:tblGrid>
      <w:tr w:rsidR="00236065" w:rsidRPr="00723F3F" w14:paraId="283252E9" w14:textId="77777777" w:rsidTr="00723F3F">
        <w:trPr>
          <w:trHeight w:val="227"/>
          <w:jc w:val="center"/>
        </w:trPr>
        <w:tc>
          <w:tcPr>
            <w:tcW w:w="3017" w:type="pct"/>
            <w:tcBorders>
              <w:top w:val="single" w:sz="4" w:space="0" w:color="auto"/>
              <w:left w:val="nil"/>
              <w:bottom w:val="single" w:sz="4" w:space="0" w:color="auto"/>
              <w:right w:val="nil"/>
            </w:tcBorders>
            <w:shd w:val="clear" w:color="auto" w:fill="auto"/>
            <w:vAlign w:val="bottom"/>
            <w:hideMark/>
          </w:tcPr>
          <w:p w14:paraId="3A05AFF5" w14:textId="77777777" w:rsidR="00236065" w:rsidRPr="00723F3F" w:rsidRDefault="00236065" w:rsidP="00852114">
            <w:pPr>
              <w:jc w:val="center"/>
              <w:rPr>
                <w:rFonts w:eastAsia="Times New Roman" w:cs="Times"/>
                <w:sz w:val="16"/>
                <w:szCs w:val="16"/>
              </w:rPr>
            </w:pPr>
          </w:p>
        </w:tc>
        <w:tc>
          <w:tcPr>
            <w:tcW w:w="1983" w:type="pct"/>
            <w:gridSpan w:val="2"/>
            <w:tcBorders>
              <w:top w:val="single" w:sz="4" w:space="0" w:color="auto"/>
              <w:left w:val="nil"/>
              <w:bottom w:val="single" w:sz="4" w:space="0" w:color="auto"/>
              <w:right w:val="nil"/>
            </w:tcBorders>
            <w:shd w:val="clear" w:color="auto" w:fill="auto"/>
            <w:vAlign w:val="bottom"/>
            <w:hideMark/>
          </w:tcPr>
          <w:p w14:paraId="073C1D07" w14:textId="77777777" w:rsidR="00236065" w:rsidRPr="00723F3F" w:rsidRDefault="00236065" w:rsidP="00852114">
            <w:pPr>
              <w:jc w:val="center"/>
              <w:rPr>
                <w:rFonts w:eastAsia="Times New Roman"/>
                <w:b/>
                <w:bCs/>
                <w:sz w:val="16"/>
                <w:szCs w:val="16"/>
              </w:rPr>
            </w:pPr>
            <w:r w:rsidRPr="00723F3F">
              <w:rPr>
                <w:rFonts w:eastAsia="Times New Roman"/>
                <w:b/>
                <w:bCs/>
                <w:sz w:val="16"/>
                <w:szCs w:val="16"/>
              </w:rPr>
              <w:t>Euros</w:t>
            </w:r>
          </w:p>
        </w:tc>
      </w:tr>
      <w:tr w:rsidR="00236065" w:rsidRPr="00723F3F" w14:paraId="32D1FB7D" w14:textId="77777777" w:rsidTr="00723F3F">
        <w:trPr>
          <w:trHeight w:val="227"/>
          <w:jc w:val="center"/>
        </w:trPr>
        <w:tc>
          <w:tcPr>
            <w:tcW w:w="3017" w:type="pct"/>
            <w:tcBorders>
              <w:top w:val="single" w:sz="4" w:space="0" w:color="auto"/>
              <w:left w:val="nil"/>
              <w:bottom w:val="single" w:sz="4" w:space="0" w:color="auto"/>
              <w:right w:val="nil"/>
            </w:tcBorders>
            <w:shd w:val="clear" w:color="auto" w:fill="auto"/>
            <w:vAlign w:val="bottom"/>
          </w:tcPr>
          <w:p w14:paraId="2DA3856B" w14:textId="77777777" w:rsidR="00236065" w:rsidRPr="00723F3F" w:rsidRDefault="00236065" w:rsidP="00852114">
            <w:pPr>
              <w:jc w:val="center"/>
              <w:rPr>
                <w:rFonts w:eastAsia="Times New Roman" w:cs="Times"/>
                <w:sz w:val="16"/>
                <w:szCs w:val="16"/>
              </w:rPr>
            </w:pPr>
          </w:p>
        </w:tc>
        <w:tc>
          <w:tcPr>
            <w:tcW w:w="1001" w:type="pct"/>
            <w:tcBorders>
              <w:top w:val="single" w:sz="4" w:space="0" w:color="auto"/>
              <w:left w:val="nil"/>
              <w:bottom w:val="single" w:sz="4" w:space="0" w:color="auto"/>
              <w:right w:val="nil"/>
            </w:tcBorders>
            <w:shd w:val="clear" w:color="auto" w:fill="auto"/>
            <w:vAlign w:val="bottom"/>
          </w:tcPr>
          <w:p w14:paraId="75422C5D" w14:textId="28D60078" w:rsidR="00236065" w:rsidRPr="00723F3F" w:rsidRDefault="00236065" w:rsidP="00852114">
            <w:pPr>
              <w:jc w:val="center"/>
              <w:rPr>
                <w:rFonts w:eastAsia="Times New Roman"/>
                <w:b/>
                <w:bCs/>
                <w:sz w:val="16"/>
                <w:szCs w:val="16"/>
              </w:rPr>
            </w:pPr>
            <w:r w:rsidRPr="00823399">
              <w:rPr>
                <w:rFonts w:eastAsia="Times New Roman"/>
                <w:b/>
                <w:bCs/>
                <w:sz w:val="16"/>
                <w:szCs w:val="16"/>
              </w:rPr>
              <w:t>202</w:t>
            </w:r>
            <w:r w:rsidR="008F157F" w:rsidRPr="00823399">
              <w:rPr>
                <w:rFonts w:eastAsia="Times New Roman"/>
                <w:b/>
                <w:bCs/>
                <w:sz w:val="16"/>
                <w:szCs w:val="16"/>
              </w:rPr>
              <w:t>1</w:t>
            </w:r>
          </w:p>
        </w:tc>
        <w:tc>
          <w:tcPr>
            <w:tcW w:w="982" w:type="pct"/>
            <w:tcBorders>
              <w:top w:val="single" w:sz="4" w:space="0" w:color="auto"/>
              <w:left w:val="nil"/>
              <w:bottom w:val="single" w:sz="4" w:space="0" w:color="auto"/>
              <w:right w:val="nil"/>
            </w:tcBorders>
            <w:vAlign w:val="bottom"/>
          </w:tcPr>
          <w:p w14:paraId="06ACEB77" w14:textId="6D3FD516" w:rsidR="00236065" w:rsidRPr="00723F3F" w:rsidRDefault="00236065" w:rsidP="00236065">
            <w:pPr>
              <w:jc w:val="center"/>
              <w:rPr>
                <w:rFonts w:eastAsia="Times New Roman"/>
                <w:b/>
                <w:bCs/>
                <w:sz w:val="16"/>
                <w:szCs w:val="16"/>
              </w:rPr>
            </w:pPr>
            <w:r w:rsidRPr="00723F3F">
              <w:rPr>
                <w:rFonts w:eastAsia="Times New Roman"/>
                <w:b/>
                <w:bCs/>
                <w:sz w:val="16"/>
                <w:szCs w:val="16"/>
              </w:rPr>
              <w:t>20</w:t>
            </w:r>
            <w:r w:rsidR="008F157F">
              <w:rPr>
                <w:rFonts w:eastAsia="Times New Roman"/>
                <w:b/>
                <w:bCs/>
                <w:sz w:val="16"/>
                <w:szCs w:val="16"/>
              </w:rPr>
              <w:t>20</w:t>
            </w:r>
          </w:p>
        </w:tc>
      </w:tr>
      <w:tr w:rsidR="008F157F" w:rsidRPr="00723F3F" w14:paraId="30EA65E2" w14:textId="77777777" w:rsidTr="00176BA0">
        <w:trPr>
          <w:trHeight w:val="283"/>
          <w:jc w:val="center"/>
        </w:trPr>
        <w:tc>
          <w:tcPr>
            <w:tcW w:w="3017" w:type="pct"/>
            <w:tcBorders>
              <w:top w:val="nil"/>
              <w:left w:val="nil"/>
              <w:bottom w:val="single" w:sz="4" w:space="0" w:color="auto"/>
              <w:right w:val="nil"/>
            </w:tcBorders>
            <w:shd w:val="clear" w:color="auto" w:fill="auto"/>
            <w:vAlign w:val="center"/>
            <w:hideMark/>
          </w:tcPr>
          <w:p w14:paraId="3CA9BA49" w14:textId="77777777" w:rsidR="008F157F" w:rsidRPr="00723F3F" w:rsidRDefault="008F157F" w:rsidP="008F157F">
            <w:pPr>
              <w:jc w:val="both"/>
              <w:rPr>
                <w:rFonts w:eastAsia="Times New Roman"/>
                <w:b/>
                <w:bCs/>
                <w:sz w:val="16"/>
                <w:szCs w:val="16"/>
              </w:rPr>
            </w:pPr>
            <w:r w:rsidRPr="00723F3F">
              <w:rPr>
                <w:rFonts w:eastAsia="Times New Roman"/>
                <w:b/>
                <w:bCs/>
                <w:sz w:val="16"/>
                <w:szCs w:val="16"/>
              </w:rPr>
              <w:t>RESULTADO CONTABLE</w:t>
            </w:r>
          </w:p>
        </w:tc>
        <w:tc>
          <w:tcPr>
            <w:tcW w:w="1001" w:type="pct"/>
            <w:tcBorders>
              <w:top w:val="nil"/>
              <w:left w:val="nil"/>
              <w:bottom w:val="single" w:sz="4" w:space="0" w:color="auto"/>
              <w:right w:val="nil"/>
            </w:tcBorders>
            <w:shd w:val="clear" w:color="auto" w:fill="auto"/>
            <w:vAlign w:val="center"/>
          </w:tcPr>
          <w:p w14:paraId="565C4E1F" w14:textId="4484E3C4" w:rsidR="008F157F" w:rsidRPr="00756961" w:rsidRDefault="00756961" w:rsidP="00176BA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56961">
              <w:rPr>
                <w:sz w:val="16"/>
                <w:szCs w:val="16"/>
              </w:rPr>
              <w:t>(2.267.888,00)</w:t>
            </w:r>
          </w:p>
        </w:tc>
        <w:tc>
          <w:tcPr>
            <w:tcW w:w="982" w:type="pct"/>
            <w:tcBorders>
              <w:top w:val="nil"/>
              <w:left w:val="nil"/>
              <w:bottom w:val="single" w:sz="4" w:space="0" w:color="auto"/>
              <w:right w:val="nil"/>
            </w:tcBorders>
            <w:vAlign w:val="center"/>
          </w:tcPr>
          <w:p w14:paraId="2E2DDFAB" w14:textId="62158404" w:rsidR="008F157F" w:rsidRPr="00723F3F" w:rsidRDefault="008F157F" w:rsidP="00176BA0">
            <w:pPr>
              <w:jc w:val="right"/>
              <w:rPr>
                <w:sz w:val="16"/>
                <w:szCs w:val="16"/>
              </w:rPr>
            </w:pPr>
            <w:r w:rsidRPr="00723F3F">
              <w:rPr>
                <w:sz w:val="16"/>
                <w:szCs w:val="16"/>
              </w:rPr>
              <w:t>(2.223.683,00)</w:t>
            </w:r>
          </w:p>
        </w:tc>
      </w:tr>
      <w:tr w:rsidR="008F157F" w:rsidRPr="00723F3F" w14:paraId="18482FE3" w14:textId="77777777" w:rsidTr="00176BA0">
        <w:trPr>
          <w:trHeight w:val="283"/>
          <w:jc w:val="center"/>
        </w:trPr>
        <w:tc>
          <w:tcPr>
            <w:tcW w:w="3017" w:type="pct"/>
            <w:tcBorders>
              <w:top w:val="nil"/>
              <w:left w:val="nil"/>
              <w:bottom w:val="nil"/>
              <w:right w:val="nil"/>
            </w:tcBorders>
            <w:shd w:val="clear" w:color="auto" w:fill="auto"/>
            <w:vAlign w:val="center"/>
            <w:hideMark/>
          </w:tcPr>
          <w:p w14:paraId="2B5362DF" w14:textId="77777777" w:rsidR="008F157F" w:rsidRPr="00723F3F" w:rsidRDefault="008F157F" w:rsidP="008F157F">
            <w:pPr>
              <w:jc w:val="both"/>
              <w:rPr>
                <w:rFonts w:eastAsia="Times New Roman"/>
                <w:sz w:val="16"/>
                <w:szCs w:val="16"/>
              </w:rPr>
            </w:pPr>
            <w:r w:rsidRPr="00723F3F">
              <w:rPr>
                <w:rFonts w:eastAsia="Times New Roman"/>
                <w:sz w:val="16"/>
                <w:szCs w:val="16"/>
              </w:rPr>
              <w:t xml:space="preserve">Diferencias permanentes: </w:t>
            </w:r>
          </w:p>
        </w:tc>
        <w:tc>
          <w:tcPr>
            <w:tcW w:w="1001" w:type="pct"/>
            <w:tcBorders>
              <w:top w:val="nil"/>
              <w:left w:val="nil"/>
              <w:bottom w:val="nil"/>
              <w:right w:val="nil"/>
            </w:tcBorders>
            <w:shd w:val="clear" w:color="auto" w:fill="auto"/>
            <w:noWrap/>
            <w:vAlign w:val="center"/>
          </w:tcPr>
          <w:p w14:paraId="3904E1B3" w14:textId="77777777" w:rsidR="008F157F" w:rsidRPr="00723F3F" w:rsidRDefault="008F157F" w:rsidP="00176BA0">
            <w:pPr>
              <w:jc w:val="right"/>
              <w:rPr>
                <w:sz w:val="16"/>
                <w:szCs w:val="16"/>
              </w:rPr>
            </w:pPr>
          </w:p>
        </w:tc>
        <w:tc>
          <w:tcPr>
            <w:tcW w:w="982" w:type="pct"/>
            <w:tcBorders>
              <w:top w:val="nil"/>
              <w:left w:val="nil"/>
              <w:bottom w:val="nil"/>
              <w:right w:val="nil"/>
            </w:tcBorders>
            <w:vAlign w:val="center"/>
          </w:tcPr>
          <w:p w14:paraId="0B535DF5" w14:textId="77777777" w:rsidR="008F157F" w:rsidRPr="00723F3F" w:rsidRDefault="008F157F" w:rsidP="00176BA0">
            <w:pPr>
              <w:jc w:val="right"/>
              <w:rPr>
                <w:sz w:val="16"/>
                <w:szCs w:val="16"/>
              </w:rPr>
            </w:pPr>
          </w:p>
        </w:tc>
      </w:tr>
      <w:tr w:rsidR="00756961" w:rsidRPr="00723F3F" w14:paraId="76B47167" w14:textId="77777777" w:rsidTr="00176BA0">
        <w:trPr>
          <w:trHeight w:val="283"/>
          <w:jc w:val="center"/>
        </w:trPr>
        <w:tc>
          <w:tcPr>
            <w:tcW w:w="3017" w:type="pct"/>
            <w:tcBorders>
              <w:top w:val="nil"/>
              <w:left w:val="nil"/>
              <w:bottom w:val="nil"/>
              <w:right w:val="nil"/>
            </w:tcBorders>
            <w:shd w:val="clear" w:color="auto" w:fill="auto"/>
            <w:vAlign w:val="center"/>
            <w:hideMark/>
          </w:tcPr>
          <w:p w14:paraId="2461CD91" w14:textId="77777777" w:rsidR="00756961" w:rsidRPr="00723F3F" w:rsidRDefault="00756961" w:rsidP="00756961">
            <w:pPr>
              <w:jc w:val="both"/>
              <w:rPr>
                <w:rFonts w:eastAsia="Times New Roman"/>
                <w:sz w:val="16"/>
                <w:szCs w:val="16"/>
              </w:rPr>
            </w:pPr>
            <w:r w:rsidRPr="00723F3F">
              <w:rPr>
                <w:rFonts w:eastAsia="Times New Roman"/>
                <w:sz w:val="16"/>
                <w:szCs w:val="16"/>
              </w:rPr>
              <w:t xml:space="preserve">     Sanciones y recargos</w:t>
            </w:r>
          </w:p>
        </w:tc>
        <w:tc>
          <w:tcPr>
            <w:tcW w:w="1001" w:type="pct"/>
            <w:tcBorders>
              <w:top w:val="nil"/>
              <w:left w:val="nil"/>
              <w:bottom w:val="nil"/>
              <w:right w:val="nil"/>
            </w:tcBorders>
            <w:shd w:val="clear" w:color="auto" w:fill="auto"/>
            <w:vAlign w:val="center"/>
          </w:tcPr>
          <w:p w14:paraId="5717ECB2" w14:textId="6E9D035B" w:rsidR="00756961" w:rsidRPr="00756961" w:rsidRDefault="00756961" w:rsidP="00176BA0">
            <w:pPr>
              <w:jc w:val="right"/>
              <w:rPr>
                <w:sz w:val="16"/>
                <w:szCs w:val="16"/>
              </w:rPr>
            </w:pPr>
            <w:r w:rsidRPr="00756961">
              <w:rPr>
                <w:sz w:val="16"/>
                <w:szCs w:val="16"/>
              </w:rPr>
              <w:t>2.570,60</w:t>
            </w:r>
          </w:p>
        </w:tc>
        <w:tc>
          <w:tcPr>
            <w:tcW w:w="982" w:type="pct"/>
            <w:tcBorders>
              <w:top w:val="nil"/>
              <w:left w:val="nil"/>
              <w:bottom w:val="nil"/>
              <w:right w:val="nil"/>
            </w:tcBorders>
            <w:vAlign w:val="center"/>
          </w:tcPr>
          <w:p w14:paraId="4BE04B45" w14:textId="4FBBB60A" w:rsidR="00756961" w:rsidRPr="00723F3F" w:rsidRDefault="00756961" w:rsidP="00176BA0">
            <w:pPr>
              <w:jc w:val="right"/>
              <w:rPr>
                <w:sz w:val="16"/>
                <w:szCs w:val="16"/>
              </w:rPr>
            </w:pPr>
            <w:r w:rsidRPr="00723F3F">
              <w:rPr>
                <w:sz w:val="16"/>
                <w:szCs w:val="16"/>
              </w:rPr>
              <w:t xml:space="preserve"> -</w:t>
            </w:r>
          </w:p>
        </w:tc>
      </w:tr>
      <w:tr w:rsidR="00756961" w:rsidRPr="00723F3F" w14:paraId="34C7AA44" w14:textId="77777777" w:rsidTr="00176BA0">
        <w:trPr>
          <w:trHeight w:val="283"/>
          <w:jc w:val="center"/>
        </w:trPr>
        <w:tc>
          <w:tcPr>
            <w:tcW w:w="3017" w:type="pct"/>
            <w:tcBorders>
              <w:top w:val="nil"/>
              <w:left w:val="nil"/>
              <w:bottom w:val="nil"/>
              <w:right w:val="nil"/>
            </w:tcBorders>
            <w:shd w:val="clear" w:color="auto" w:fill="auto"/>
            <w:vAlign w:val="center"/>
            <w:hideMark/>
          </w:tcPr>
          <w:p w14:paraId="036F665F" w14:textId="77777777" w:rsidR="00756961" w:rsidRPr="00723F3F" w:rsidRDefault="00756961" w:rsidP="00756961">
            <w:pPr>
              <w:jc w:val="both"/>
              <w:rPr>
                <w:rFonts w:eastAsia="Times New Roman"/>
                <w:sz w:val="16"/>
                <w:szCs w:val="16"/>
              </w:rPr>
            </w:pPr>
            <w:r w:rsidRPr="00723F3F">
              <w:rPr>
                <w:rFonts w:eastAsia="Times New Roman"/>
                <w:sz w:val="16"/>
                <w:szCs w:val="16"/>
              </w:rPr>
              <w:t xml:space="preserve">     Programa desarrollo de vuelos</w:t>
            </w:r>
          </w:p>
        </w:tc>
        <w:tc>
          <w:tcPr>
            <w:tcW w:w="1001" w:type="pct"/>
            <w:tcBorders>
              <w:top w:val="nil"/>
              <w:left w:val="nil"/>
              <w:bottom w:val="nil"/>
              <w:right w:val="nil"/>
            </w:tcBorders>
            <w:shd w:val="clear" w:color="auto" w:fill="auto"/>
            <w:vAlign w:val="center"/>
          </w:tcPr>
          <w:p w14:paraId="63B6F7FE" w14:textId="1896AEE0" w:rsidR="00756961" w:rsidRPr="00756961" w:rsidRDefault="00756961" w:rsidP="00176BA0">
            <w:pPr>
              <w:jc w:val="right"/>
              <w:rPr>
                <w:sz w:val="16"/>
                <w:szCs w:val="16"/>
              </w:rPr>
            </w:pPr>
            <w:r w:rsidRPr="00756961">
              <w:rPr>
                <w:sz w:val="16"/>
                <w:szCs w:val="16"/>
              </w:rPr>
              <w:t>557.914,05</w:t>
            </w:r>
          </w:p>
        </w:tc>
        <w:tc>
          <w:tcPr>
            <w:tcW w:w="982" w:type="pct"/>
            <w:tcBorders>
              <w:top w:val="nil"/>
              <w:left w:val="nil"/>
              <w:bottom w:val="nil"/>
              <w:right w:val="nil"/>
            </w:tcBorders>
            <w:vAlign w:val="center"/>
          </w:tcPr>
          <w:p w14:paraId="7D54AEED" w14:textId="08F23E27" w:rsidR="00756961" w:rsidRPr="00723F3F" w:rsidRDefault="00756961" w:rsidP="00176BA0">
            <w:pPr>
              <w:jc w:val="right"/>
              <w:rPr>
                <w:sz w:val="16"/>
                <w:szCs w:val="16"/>
              </w:rPr>
            </w:pPr>
            <w:r w:rsidRPr="00723F3F">
              <w:rPr>
                <w:sz w:val="16"/>
                <w:szCs w:val="16"/>
              </w:rPr>
              <w:t>509.853,34</w:t>
            </w:r>
          </w:p>
        </w:tc>
      </w:tr>
      <w:tr w:rsidR="00756961" w:rsidRPr="00723F3F" w14:paraId="3450A9CD" w14:textId="77777777" w:rsidTr="00176BA0">
        <w:trPr>
          <w:trHeight w:val="283"/>
          <w:jc w:val="center"/>
        </w:trPr>
        <w:tc>
          <w:tcPr>
            <w:tcW w:w="3017" w:type="pct"/>
            <w:tcBorders>
              <w:top w:val="nil"/>
              <w:left w:val="nil"/>
              <w:bottom w:val="nil"/>
              <w:right w:val="nil"/>
            </w:tcBorders>
            <w:shd w:val="clear" w:color="auto" w:fill="auto"/>
            <w:vAlign w:val="center"/>
            <w:hideMark/>
          </w:tcPr>
          <w:p w14:paraId="6ADBC965" w14:textId="77777777" w:rsidR="00756961" w:rsidRPr="00723F3F" w:rsidRDefault="00756961" w:rsidP="00756961">
            <w:pPr>
              <w:jc w:val="both"/>
              <w:rPr>
                <w:rFonts w:eastAsia="Times New Roman"/>
                <w:sz w:val="16"/>
                <w:szCs w:val="16"/>
              </w:rPr>
            </w:pPr>
            <w:r w:rsidRPr="00723F3F">
              <w:rPr>
                <w:rFonts w:eastAsia="Times New Roman"/>
                <w:sz w:val="16"/>
                <w:szCs w:val="16"/>
              </w:rPr>
              <w:t xml:space="preserve">     Mayor valor de mercado de Operaciones vinculadas</w:t>
            </w:r>
          </w:p>
        </w:tc>
        <w:tc>
          <w:tcPr>
            <w:tcW w:w="1001" w:type="pct"/>
            <w:tcBorders>
              <w:top w:val="nil"/>
              <w:left w:val="nil"/>
              <w:bottom w:val="nil"/>
              <w:right w:val="nil"/>
            </w:tcBorders>
            <w:shd w:val="clear" w:color="auto" w:fill="auto"/>
            <w:vAlign w:val="center"/>
          </w:tcPr>
          <w:p w14:paraId="0CCA079A" w14:textId="67BF81BE" w:rsidR="00756961" w:rsidRPr="00756961" w:rsidRDefault="00756961" w:rsidP="00176BA0">
            <w:pPr>
              <w:jc w:val="right"/>
              <w:rPr>
                <w:sz w:val="16"/>
                <w:szCs w:val="16"/>
              </w:rPr>
            </w:pPr>
            <w:r w:rsidRPr="00756961">
              <w:rPr>
                <w:sz w:val="16"/>
                <w:szCs w:val="16"/>
              </w:rPr>
              <w:t>2.047.687,57</w:t>
            </w:r>
          </w:p>
        </w:tc>
        <w:tc>
          <w:tcPr>
            <w:tcW w:w="982" w:type="pct"/>
            <w:tcBorders>
              <w:top w:val="nil"/>
              <w:left w:val="nil"/>
              <w:bottom w:val="nil"/>
              <w:right w:val="nil"/>
            </w:tcBorders>
            <w:vAlign w:val="center"/>
          </w:tcPr>
          <w:p w14:paraId="3D92659A" w14:textId="50D0405F" w:rsidR="00756961" w:rsidRPr="00723F3F" w:rsidRDefault="00756961" w:rsidP="00176BA0">
            <w:pPr>
              <w:jc w:val="right"/>
              <w:rPr>
                <w:sz w:val="16"/>
                <w:szCs w:val="16"/>
              </w:rPr>
            </w:pPr>
            <w:r w:rsidRPr="00723F3F">
              <w:rPr>
                <w:sz w:val="16"/>
                <w:szCs w:val="16"/>
              </w:rPr>
              <w:t>924.025,11</w:t>
            </w:r>
          </w:p>
        </w:tc>
      </w:tr>
      <w:tr w:rsidR="00756961" w:rsidRPr="00723F3F" w14:paraId="2A047B0A" w14:textId="77777777" w:rsidTr="00176BA0">
        <w:trPr>
          <w:trHeight w:val="283"/>
          <w:jc w:val="center"/>
        </w:trPr>
        <w:tc>
          <w:tcPr>
            <w:tcW w:w="3017" w:type="pct"/>
            <w:tcBorders>
              <w:top w:val="single" w:sz="4" w:space="0" w:color="auto"/>
              <w:left w:val="nil"/>
              <w:bottom w:val="single" w:sz="4" w:space="0" w:color="auto"/>
              <w:right w:val="nil"/>
            </w:tcBorders>
            <w:shd w:val="clear" w:color="auto" w:fill="auto"/>
            <w:vAlign w:val="center"/>
            <w:hideMark/>
          </w:tcPr>
          <w:p w14:paraId="158EE3AF" w14:textId="77777777" w:rsidR="00756961" w:rsidRPr="00723F3F" w:rsidRDefault="00756961" w:rsidP="00756961">
            <w:pPr>
              <w:jc w:val="both"/>
              <w:rPr>
                <w:rFonts w:eastAsia="Times New Roman"/>
                <w:b/>
                <w:bCs/>
                <w:sz w:val="16"/>
                <w:szCs w:val="16"/>
              </w:rPr>
            </w:pPr>
            <w:r w:rsidRPr="00723F3F">
              <w:rPr>
                <w:rFonts w:eastAsia="Times New Roman"/>
                <w:b/>
                <w:bCs/>
                <w:sz w:val="16"/>
                <w:szCs w:val="16"/>
              </w:rPr>
              <w:t>RESULTADO CONTABLE AJUSTADO</w:t>
            </w:r>
          </w:p>
        </w:tc>
        <w:tc>
          <w:tcPr>
            <w:tcW w:w="1001" w:type="pct"/>
            <w:tcBorders>
              <w:top w:val="single" w:sz="4" w:space="0" w:color="auto"/>
              <w:left w:val="nil"/>
              <w:bottom w:val="single" w:sz="4" w:space="0" w:color="auto"/>
              <w:right w:val="nil"/>
            </w:tcBorders>
            <w:shd w:val="clear" w:color="auto" w:fill="auto"/>
            <w:vAlign w:val="center"/>
          </w:tcPr>
          <w:p w14:paraId="25C16B9F" w14:textId="38E142F8" w:rsidR="00756961" w:rsidRPr="00756961" w:rsidRDefault="00756961" w:rsidP="00176BA0">
            <w:pPr>
              <w:jc w:val="right"/>
              <w:rPr>
                <w:b/>
                <w:bCs/>
                <w:sz w:val="16"/>
                <w:szCs w:val="16"/>
              </w:rPr>
            </w:pPr>
            <w:r w:rsidRPr="00756961">
              <w:rPr>
                <w:b/>
                <w:bCs/>
                <w:sz w:val="16"/>
                <w:szCs w:val="16"/>
              </w:rPr>
              <w:t>340.284,22</w:t>
            </w:r>
          </w:p>
        </w:tc>
        <w:tc>
          <w:tcPr>
            <w:tcW w:w="982" w:type="pct"/>
            <w:tcBorders>
              <w:top w:val="single" w:sz="4" w:space="0" w:color="auto"/>
              <w:left w:val="nil"/>
              <w:bottom w:val="single" w:sz="4" w:space="0" w:color="auto"/>
              <w:right w:val="nil"/>
            </w:tcBorders>
            <w:vAlign w:val="center"/>
          </w:tcPr>
          <w:p w14:paraId="084A6B56" w14:textId="6E75AFA8" w:rsidR="00756961" w:rsidRPr="00723F3F" w:rsidRDefault="00756961" w:rsidP="00176BA0">
            <w:pPr>
              <w:jc w:val="right"/>
              <w:rPr>
                <w:b/>
                <w:bCs/>
                <w:sz w:val="16"/>
                <w:szCs w:val="16"/>
              </w:rPr>
            </w:pPr>
            <w:r w:rsidRPr="00723F3F">
              <w:rPr>
                <w:b/>
                <w:bCs/>
                <w:sz w:val="16"/>
                <w:szCs w:val="16"/>
              </w:rPr>
              <w:t>(789.804,55)</w:t>
            </w:r>
          </w:p>
        </w:tc>
      </w:tr>
      <w:tr w:rsidR="00756961" w:rsidRPr="00723F3F" w14:paraId="62F12D1D" w14:textId="77777777" w:rsidTr="00176BA0">
        <w:trPr>
          <w:trHeight w:val="283"/>
          <w:jc w:val="center"/>
        </w:trPr>
        <w:tc>
          <w:tcPr>
            <w:tcW w:w="3017" w:type="pct"/>
            <w:tcBorders>
              <w:top w:val="nil"/>
              <w:left w:val="nil"/>
              <w:bottom w:val="nil"/>
              <w:right w:val="nil"/>
            </w:tcBorders>
            <w:shd w:val="clear" w:color="auto" w:fill="auto"/>
            <w:vAlign w:val="center"/>
            <w:hideMark/>
          </w:tcPr>
          <w:p w14:paraId="08F0FC56" w14:textId="77777777" w:rsidR="00756961" w:rsidRPr="00723F3F" w:rsidRDefault="00756961" w:rsidP="00756961">
            <w:pPr>
              <w:jc w:val="both"/>
              <w:rPr>
                <w:rFonts w:eastAsia="Times New Roman"/>
                <w:sz w:val="16"/>
                <w:szCs w:val="16"/>
              </w:rPr>
            </w:pPr>
            <w:r w:rsidRPr="00723F3F">
              <w:rPr>
                <w:rFonts w:eastAsia="Times New Roman"/>
                <w:sz w:val="16"/>
                <w:szCs w:val="16"/>
              </w:rPr>
              <w:t>Base imponible Impuesto sobre Sociedades</w:t>
            </w:r>
          </w:p>
        </w:tc>
        <w:tc>
          <w:tcPr>
            <w:tcW w:w="1001" w:type="pct"/>
            <w:tcBorders>
              <w:top w:val="nil"/>
              <w:left w:val="nil"/>
              <w:bottom w:val="nil"/>
              <w:right w:val="nil"/>
            </w:tcBorders>
            <w:shd w:val="clear" w:color="auto" w:fill="auto"/>
            <w:vAlign w:val="center"/>
          </w:tcPr>
          <w:p w14:paraId="200D3095" w14:textId="34D301FB" w:rsidR="00756961" w:rsidRPr="00756961" w:rsidRDefault="00756961" w:rsidP="00176BA0">
            <w:pPr>
              <w:jc w:val="right"/>
              <w:rPr>
                <w:sz w:val="16"/>
                <w:szCs w:val="16"/>
              </w:rPr>
            </w:pPr>
            <w:r w:rsidRPr="00756961">
              <w:rPr>
                <w:sz w:val="16"/>
                <w:szCs w:val="16"/>
              </w:rPr>
              <w:t>340.284,22</w:t>
            </w:r>
          </w:p>
        </w:tc>
        <w:tc>
          <w:tcPr>
            <w:tcW w:w="982" w:type="pct"/>
            <w:tcBorders>
              <w:top w:val="nil"/>
              <w:left w:val="nil"/>
              <w:bottom w:val="nil"/>
              <w:right w:val="nil"/>
            </w:tcBorders>
            <w:vAlign w:val="center"/>
          </w:tcPr>
          <w:p w14:paraId="350D8697" w14:textId="4B4AC872" w:rsidR="00756961" w:rsidRPr="00723F3F" w:rsidRDefault="00756961" w:rsidP="00176BA0">
            <w:pPr>
              <w:jc w:val="right"/>
              <w:rPr>
                <w:sz w:val="16"/>
                <w:szCs w:val="16"/>
              </w:rPr>
            </w:pPr>
            <w:r w:rsidRPr="00723F3F">
              <w:rPr>
                <w:sz w:val="16"/>
                <w:szCs w:val="16"/>
              </w:rPr>
              <w:t>(789.804,55)</w:t>
            </w:r>
          </w:p>
        </w:tc>
      </w:tr>
      <w:tr w:rsidR="003C0451" w:rsidRPr="00723F3F" w14:paraId="1B7830B1" w14:textId="77777777" w:rsidTr="00176BA0">
        <w:trPr>
          <w:trHeight w:val="283"/>
          <w:jc w:val="center"/>
        </w:trPr>
        <w:tc>
          <w:tcPr>
            <w:tcW w:w="3017" w:type="pct"/>
            <w:tcBorders>
              <w:top w:val="nil"/>
              <w:left w:val="nil"/>
              <w:bottom w:val="nil"/>
              <w:right w:val="nil"/>
            </w:tcBorders>
            <w:shd w:val="clear" w:color="auto" w:fill="auto"/>
            <w:vAlign w:val="center"/>
          </w:tcPr>
          <w:p w14:paraId="195D9E8E" w14:textId="5DCC4F23" w:rsidR="003C0451" w:rsidRPr="00723F3F" w:rsidRDefault="003C0451" w:rsidP="00756961">
            <w:pPr>
              <w:jc w:val="both"/>
              <w:rPr>
                <w:rFonts w:eastAsia="Times New Roman"/>
                <w:sz w:val="16"/>
                <w:szCs w:val="16"/>
              </w:rPr>
            </w:pPr>
            <w:r>
              <w:rPr>
                <w:rFonts w:eastAsia="Times New Roman"/>
                <w:sz w:val="16"/>
                <w:szCs w:val="16"/>
              </w:rPr>
              <w:t xml:space="preserve">Compensación de </w:t>
            </w:r>
            <w:proofErr w:type="spellStart"/>
            <w:r>
              <w:rPr>
                <w:rFonts w:eastAsia="Times New Roman"/>
                <w:sz w:val="16"/>
                <w:szCs w:val="16"/>
              </w:rPr>
              <w:t>BINs</w:t>
            </w:r>
            <w:proofErr w:type="spellEnd"/>
          </w:p>
        </w:tc>
        <w:tc>
          <w:tcPr>
            <w:tcW w:w="1001" w:type="pct"/>
            <w:tcBorders>
              <w:top w:val="nil"/>
              <w:left w:val="nil"/>
              <w:bottom w:val="nil"/>
              <w:right w:val="nil"/>
            </w:tcBorders>
            <w:shd w:val="clear" w:color="auto" w:fill="auto"/>
            <w:vAlign w:val="center"/>
          </w:tcPr>
          <w:p w14:paraId="37986243" w14:textId="6503B83F" w:rsidR="003C0451" w:rsidRPr="00756961" w:rsidRDefault="003C0451" w:rsidP="00176BA0">
            <w:pPr>
              <w:jc w:val="right"/>
              <w:rPr>
                <w:sz w:val="16"/>
                <w:szCs w:val="16"/>
              </w:rPr>
            </w:pPr>
            <w:r>
              <w:rPr>
                <w:sz w:val="16"/>
                <w:szCs w:val="16"/>
              </w:rPr>
              <w:t>(340.284,22)</w:t>
            </w:r>
          </w:p>
        </w:tc>
        <w:tc>
          <w:tcPr>
            <w:tcW w:w="982" w:type="pct"/>
            <w:tcBorders>
              <w:top w:val="nil"/>
              <w:left w:val="nil"/>
              <w:bottom w:val="nil"/>
              <w:right w:val="nil"/>
            </w:tcBorders>
            <w:vAlign w:val="center"/>
          </w:tcPr>
          <w:p w14:paraId="6BFE726A" w14:textId="0204CA49" w:rsidR="003C0451" w:rsidRPr="00723F3F" w:rsidRDefault="003C0451" w:rsidP="00176BA0">
            <w:pPr>
              <w:jc w:val="right"/>
              <w:rPr>
                <w:sz w:val="16"/>
                <w:szCs w:val="16"/>
              </w:rPr>
            </w:pPr>
            <w:r>
              <w:rPr>
                <w:sz w:val="16"/>
                <w:szCs w:val="16"/>
              </w:rPr>
              <w:t>-</w:t>
            </w:r>
          </w:p>
        </w:tc>
      </w:tr>
      <w:tr w:rsidR="00F621B0" w:rsidRPr="00723F3F" w14:paraId="14E7C8CB" w14:textId="77777777" w:rsidTr="00176BA0">
        <w:trPr>
          <w:trHeight w:val="283"/>
          <w:jc w:val="center"/>
        </w:trPr>
        <w:tc>
          <w:tcPr>
            <w:tcW w:w="3017" w:type="pct"/>
            <w:tcBorders>
              <w:top w:val="nil"/>
              <w:left w:val="nil"/>
              <w:bottom w:val="nil"/>
              <w:right w:val="nil"/>
            </w:tcBorders>
            <w:shd w:val="clear" w:color="auto" w:fill="auto"/>
            <w:vAlign w:val="center"/>
            <w:hideMark/>
          </w:tcPr>
          <w:p w14:paraId="595C9EB4" w14:textId="77777777" w:rsidR="00F621B0" w:rsidRPr="00723F3F" w:rsidRDefault="00F621B0" w:rsidP="00F621B0">
            <w:pPr>
              <w:jc w:val="both"/>
              <w:rPr>
                <w:rFonts w:eastAsia="Times New Roman"/>
                <w:sz w:val="16"/>
                <w:szCs w:val="16"/>
              </w:rPr>
            </w:pPr>
            <w:r w:rsidRPr="00723F3F">
              <w:rPr>
                <w:rFonts w:eastAsia="Times New Roman"/>
                <w:sz w:val="16"/>
                <w:szCs w:val="16"/>
              </w:rPr>
              <w:t>Tipo de gravamen 25%-28%</w:t>
            </w:r>
          </w:p>
        </w:tc>
        <w:tc>
          <w:tcPr>
            <w:tcW w:w="1001" w:type="pct"/>
            <w:tcBorders>
              <w:top w:val="nil"/>
              <w:left w:val="nil"/>
              <w:bottom w:val="nil"/>
              <w:right w:val="nil"/>
            </w:tcBorders>
            <w:shd w:val="clear" w:color="auto" w:fill="auto"/>
            <w:vAlign w:val="center"/>
          </w:tcPr>
          <w:p w14:paraId="5141522E" w14:textId="77777777" w:rsidR="00F621B0" w:rsidRPr="00723F3F" w:rsidRDefault="00F621B0" w:rsidP="00176BA0">
            <w:pPr>
              <w:jc w:val="right"/>
              <w:rPr>
                <w:sz w:val="16"/>
                <w:szCs w:val="16"/>
              </w:rPr>
            </w:pPr>
            <w:r w:rsidRPr="00723F3F">
              <w:rPr>
                <w:sz w:val="16"/>
                <w:szCs w:val="16"/>
              </w:rPr>
              <w:t xml:space="preserve"> -</w:t>
            </w:r>
          </w:p>
        </w:tc>
        <w:tc>
          <w:tcPr>
            <w:tcW w:w="982" w:type="pct"/>
            <w:tcBorders>
              <w:top w:val="nil"/>
              <w:left w:val="nil"/>
              <w:bottom w:val="nil"/>
              <w:right w:val="nil"/>
            </w:tcBorders>
            <w:vAlign w:val="center"/>
          </w:tcPr>
          <w:p w14:paraId="51FA930A" w14:textId="77777777" w:rsidR="00F621B0" w:rsidRPr="00723F3F" w:rsidRDefault="00F621B0" w:rsidP="00176BA0">
            <w:pPr>
              <w:jc w:val="right"/>
              <w:rPr>
                <w:sz w:val="16"/>
                <w:szCs w:val="16"/>
              </w:rPr>
            </w:pPr>
            <w:r w:rsidRPr="00723F3F">
              <w:rPr>
                <w:sz w:val="16"/>
                <w:szCs w:val="16"/>
              </w:rPr>
              <w:t xml:space="preserve"> -</w:t>
            </w:r>
          </w:p>
        </w:tc>
      </w:tr>
      <w:tr w:rsidR="00F621B0" w:rsidRPr="00723F3F" w14:paraId="73568270" w14:textId="77777777" w:rsidTr="00176BA0">
        <w:trPr>
          <w:trHeight w:val="283"/>
          <w:jc w:val="center"/>
        </w:trPr>
        <w:tc>
          <w:tcPr>
            <w:tcW w:w="3017" w:type="pct"/>
            <w:tcBorders>
              <w:top w:val="nil"/>
              <w:left w:val="nil"/>
              <w:bottom w:val="nil"/>
              <w:right w:val="nil"/>
            </w:tcBorders>
            <w:shd w:val="clear" w:color="auto" w:fill="auto"/>
            <w:vAlign w:val="center"/>
            <w:hideMark/>
          </w:tcPr>
          <w:p w14:paraId="1B0EC547" w14:textId="77777777" w:rsidR="00F621B0" w:rsidRPr="00723F3F" w:rsidRDefault="00F621B0" w:rsidP="00F621B0">
            <w:pPr>
              <w:jc w:val="both"/>
              <w:rPr>
                <w:rFonts w:eastAsia="Times New Roman"/>
                <w:sz w:val="16"/>
                <w:szCs w:val="16"/>
              </w:rPr>
            </w:pPr>
            <w:r w:rsidRPr="00723F3F">
              <w:rPr>
                <w:rFonts w:eastAsia="Times New Roman"/>
                <w:sz w:val="16"/>
                <w:szCs w:val="16"/>
              </w:rPr>
              <w:t>Cuota impositiva</w:t>
            </w:r>
          </w:p>
        </w:tc>
        <w:tc>
          <w:tcPr>
            <w:tcW w:w="1001" w:type="pct"/>
            <w:tcBorders>
              <w:top w:val="nil"/>
              <w:left w:val="nil"/>
              <w:bottom w:val="nil"/>
              <w:right w:val="nil"/>
            </w:tcBorders>
            <w:shd w:val="clear" w:color="auto" w:fill="auto"/>
            <w:vAlign w:val="center"/>
          </w:tcPr>
          <w:p w14:paraId="20B2EABE" w14:textId="77777777" w:rsidR="00F621B0" w:rsidRPr="00723F3F" w:rsidRDefault="00F621B0" w:rsidP="00176BA0">
            <w:pPr>
              <w:jc w:val="right"/>
              <w:rPr>
                <w:sz w:val="16"/>
                <w:szCs w:val="16"/>
              </w:rPr>
            </w:pPr>
            <w:r w:rsidRPr="00723F3F">
              <w:rPr>
                <w:sz w:val="16"/>
                <w:szCs w:val="16"/>
              </w:rPr>
              <w:t xml:space="preserve"> -</w:t>
            </w:r>
          </w:p>
        </w:tc>
        <w:tc>
          <w:tcPr>
            <w:tcW w:w="982" w:type="pct"/>
            <w:tcBorders>
              <w:top w:val="nil"/>
              <w:left w:val="nil"/>
              <w:bottom w:val="nil"/>
              <w:right w:val="nil"/>
            </w:tcBorders>
            <w:vAlign w:val="center"/>
          </w:tcPr>
          <w:p w14:paraId="0AE44C79" w14:textId="77777777" w:rsidR="00F621B0" w:rsidRPr="00723F3F" w:rsidRDefault="00F621B0" w:rsidP="00176BA0">
            <w:pPr>
              <w:jc w:val="right"/>
              <w:rPr>
                <w:sz w:val="16"/>
                <w:szCs w:val="16"/>
              </w:rPr>
            </w:pPr>
            <w:r w:rsidRPr="00723F3F">
              <w:rPr>
                <w:sz w:val="16"/>
                <w:szCs w:val="16"/>
              </w:rPr>
              <w:t xml:space="preserve"> -</w:t>
            </w:r>
          </w:p>
        </w:tc>
      </w:tr>
      <w:tr w:rsidR="00F621B0" w:rsidRPr="00723F3F" w14:paraId="2DCFF5F9" w14:textId="77777777" w:rsidTr="00176BA0">
        <w:trPr>
          <w:trHeight w:val="283"/>
          <w:jc w:val="center"/>
        </w:trPr>
        <w:tc>
          <w:tcPr>
            <w:tcW w:w="3017" w:type="pct"/>
            <w:tcBorders>
              <w:top w:val="single" w:sz="4" w:space="0" w:color="auto"/>
              <w:left w:val="nil"/>
              <w:bottom w:val="single" w:sz="4" w:space="0" w:color="auto"/>
              <w:right w:val="nil"/>
            </w:tcBorders>
            <w:shd w:val="clear" w:color="auto" w:fill="auto"/>
            <w:vAlign w:val="center"/>
            <w:hideMark/>
          </w:tcPr>
          <w:p w14:paraId="58D703A3" w14:textId="77777777" w:rsidR="00F621B0" w:rsidRPr="00723F3F" w:rsidRDefault="00F621B0" w:rsidP="00F621B0">
            <w:pPr>
              <w:jc w:val="both"/>
              <w:rPr>
                <w:rFonts w:eastAsia="Times New Roman"/>
                <w:b/>
                <w:bCs/>
                <w:sz w:val="16"/>
                <w:szCs w:val="16"/>
              </w:rPr>
            </w:pPr>
            <w:r w:rsidRPr="00723F3F">
              <w:rPr>
                <w:rFonts w:eastAsia="Times New Roman"/>
                <w:b/>
                <w:bCs/>
                <w:sz w:val="16"/>
                <w:szCs w:val="16"/>
              </w:rPr>
              <w:t>Impuesto sobre Beneficios</w:t>
            </w:r>
          </w:p>
        </w:tc>
        <w:tc>
          <w:tcPr>
            <w:tcW w:w="1001" w:type="pct"/>
            <w:tcBorders>
              <w:top w:val="single" w:sz="4" w:space="0" w:color="auto"/>
              <w:left w:val="nil"/>
              <w:bottom w:val="single" w:sz="4" w:space="0" w:color="auto"/>
              <w:right w:val="nil"/>
            </w:tcBorders>
            <w:shd w:val="clear" w:color="auto" w:fill="auto"/>
            <w:vAlign w:val="center"/>
          </w:tcPr>
          <w:p w14:paraId="4BB37548" w14:textId="77777777" w:rsidR="00F621B0" w:rsidRPr="00723F3F" w:rsidRDefault="00F621B0" w:rsidP="00176BA0">
            <w:pPr>
              <w:jc w:val="right"/>
              <w:rPr>
                <w:b/>
                <w:bCs/>
                <w:sz w:val="16"/>
                <w:szCs w:val="16"/>
              </w:rPr>
            </w:pPr>
            <w:r w:rsidRPr="00723F3F">
              <w:rPr>
                <w:b/>
                <w:bCs/>
                <w:sz w:val="16"/>
                <w:szCs w:val="16"/>
              </w:rPr>
              <w:t xml:space="preserve"> -</w:t>
            </w:r>
          </w:p>
        </w:tc>
        <w:tc>
          <w:tcPr>
            <w:tcW w:w="982" w:type="pct"/>
            <w:tcBorders>
              <w:top w:val="single" w:sz="4" w:space="0" w:color="auto"/>
              <w:left w:val="nil"/>
              <w:bottom w:val="single" w:sz="4" w:space="0" w:color="auto"/>
              <w:right w:val="nil"/>
            </w:tcBorders>
            <w:vAlign w:val="center"/>
          </w:tcPr>
          <w:p w14:paraId="3EA728AB" w14:textId="77777777" w:rsidR="00F621B0" w:rsidRPr="00723F3F" w:rsidRDefault="00F621B0" w:rsidP="00176BA0">
            <w:pPr>
              <w:jc w:val="right"/>
              <w:rPr>
                <w:b/>
                <w:bCs/>
                <w:sz w:val="16"/>
                <w:szCs w:val="16"/>
              </w:rPr>
            </w:pPr>
            <w:r w:rsidRPr="00723F3F">
              <w:rPr>
                <w:b/>
                <w:bCs/>
                <w:sz w:val="16"/>
                <w:szCs w:val="16"/>
              </w:rPr>
              <w:t xml:space="preserve"> -</w:t>
            </w:r>
          </w:p>
        </w:tc>
      </w:tr>
      <w:tr w:rsidR="00F621B0" w:rsidRPr="00723F3F" w14:paraId="5D29477E" w14:textId="77777777" w:rsidTr="00176BA0">
        <w:trPr>
          <w:trHeight w:val="283"/>
          <w:jc w:val="center"/>
        </w:trPr>
        <w:tc>
          <w:tcPr>
            <w:tcW w:w="3017" w:type="pct"/>
            <w:tcBorders>
              <w:top w:val="nil"/>
              <w:left w:val="nil"/>
              <w:bottom w:val="nil"/>
              <w:right w:val="nil"/>
            </w:tcBorders>
            <w:shd w:val="clear" w:color="auto" w:fill="auto"/>
            <w:vAlign w:val="center"/>
            <w:hideMark/>
          </w:tcPr>
          <w:p w14:paraId="1E1C20BC" w14:textId="77777777" w:rsidR="00F621B0" w:rsidRPr="00723F3F" w:rsidRDefault="00F621B0" w:rsidP="00F621B0">
            <w:pPr>
              <w:jc w:val="both"/>
              <w:rPr>
                <w:rFonts w:eastAsia="Times New Roman"/>
                <w:sz w:val="16"/>
                <w:szCs w:val="16"/>
              </w:rPr>
            </w:pPr>
            <w:r w:rsidRPr="00723F3F">
              <w:rPr>
                <w:rFonts w:eastAsia="Times New Roman"/>
                <w:sz w:val="16"/>
                <w:szCs w:val="16"/>
              </w:rPr>
              <w:t>Pagos Fraccionados</w:t>
            </w:r>
          </w:p>
        </w:tc>
        <w:tc>
          <w:tcPr>
            <w:tcW w:w="1001" w:type="pct"/>
            <w:tcBorders>
              <w:top w:val="nil"/>
              <w:left w:val="nil"/>
              <w:bottom w:val="nil"/>
              <w:right w:val="nil"/>
            </w:tcBorders>
            <w:shd w:val="clear" w:color="auto" w:fill="auto"/>
            <w:vAlign w:val="center"/>
          </w:tcPr>
          <w:p w14:paraId="38208684" w14:textId="77777777" w:rsidR="00F621B0" w:rsidRPr="00723F3F" w:rsidRDefault="00F621B0" w:rsidP="00176BA0">
            <w:pPr>
              <w:jc w:val="right"/>
              <w:rPr>
                <w:sz w:val="16"/>
                <w:szCs w:val="16"/>
              </w:rPr>
            </w:pPr>
            <w:r w:rsidRPr="00723F3F">
              <w:rPr>
                <w:sz w:val="16"/>
                <w:szCs w:val="16"/>
              </w:rPr>
              <w:t xml:space="preserve"> -</w:t>
            </w:r>
          </w:p>
        </w:tc>
        <w:tc>
          <w:tcPr>
            <w:tcW w:w="982" w:type="pct"/>
            <w:tcBorders>
              <w:top w:val="nil"/>
              <w:left w:val="nil"/>
              <w:bottom w:val="nil"/>
              <w:right w:val="nil"/>
            </w:tcBorders>
            <w:vAlign w:val="center"/>
          </w:tcPr>
          <w:p w14:paraId="52D554F6" w14:textId="77777777" w:rsidR="00F621B0" w:rsidRPr="00723F3F" w:rsidRDefault="00F621B0" w:rsidP="00176BA0">
            <w:pPr>
              <w:jc w:val="right"/>
              <w:rPr>
                <w:sz w:val="16"/>
                <w:szCs w:val="16"/>
              </w:rPr>
            </w:pPr>
            <w:r w:rsidRPr="00723F3F">
              <w:rPr>
                <w:sz w:val="16"/>
                <w:szCs w:val="16"/>
              </w:rPr>
              <w:t xml:space="preserve"> -</w:t>
            </w:r>
          </w:p>
        </w:tc>
      </w:tr>
      <w:tr w:rsidR="00236065" w:rsidRPr="00723F3F" w14:paraId="7DF9F07B" w14:textId="77777777" w:rsidTr="00176BA0">
        <w:trPr>
          <w:trHeight w:val="283"/>
          <w:jc w:val="center"/>
        </w:trPr>
        <w:tc>
          <w:tcPr>
            <w:tcW w:w="3017" w:type="pct"/>
            <w:tcBorders>
              <w:top w:val="nil"/>
              <w:left w:val="nil"/>
              <w:bottom w:val="nil"/>
              <w:right w:val="nil"/>
            </w:tcBorders>
            <w:shd w:val="clear" w:color="auto" w:fill="auto"/>
            <w:vAlign w:val="center"/>
            <w:hideMark/>
          </w:tcPr>
          <w:p w14:paraId="13A89CB8" w14:textId="77777777" w:rsidR="00236065" w:rsidRPr="00723F3F" w:rsidRDefault="00236065" w:rsidP="00236065">
            <w:pPr>
              <w:jc w:val="both"/>
              <w:rPr>
                <w:rFonts w:eastAsia="Times New Roman"/>
                <w:sz w:val="16"/>
                <w:szCs w:val="16"/>
              </w:rPr>
            </w:pPr>
            <w:r w:rsidRPr="00723F3F">
              <w:rPr>
                <w:rFonts w:eastAsia="Times New Roman"/>
                <w:sz w:val="16"/>
                <w:szCs w:val="16"/>
              </w:rPr>
              <w:t xml:space="preserve">Retenciones </w:t>
            </w:r>
          </w:p>
        </w:tc>
        <w:tc>
          <w:tcPr>
            <w:tcW w:w="1001" w:type="pct"/>
            <w:tcBorders>
              <w:top w:val="nil"/>
              <w:left w:val="nil"/>
              <w:bottom w:val="nil"/>
              <w:right w:val="nil"/>
            </w:tcBorders>
            <w:shd w:val="clear" w:color="auto" w:fill="auto"/>
            <w:vAlign w:val="center"/>
          </w:tcPr>
          <w:p w14:paraId="4691008E" w14:textId="77777777" w:rsidR="00236065" w:rsidRPr="00723F3F" w:rsidRDefault="00236065" w:rsidP="00176BA0">
            <w:pPr>
              <w:jc w:val="right"/>
              <w:rPr>
                <w:sz w:val="16"/>
                <w:szCs w:val="16"/>
              </w:rPr>
            </w:pPr>
            <w:r w:rsidRPr="00723F3F">
              <w:rPr>
                <w:sz w:val="16"/>
                <w:szCs w:val="16"/>
              </w:rPr>
              <w:t xml:space="preserve"> -</w:t>
            </w:r>
          </w:p>
        </w:tc>
        <w:tc>
          <w:tcPr>
            <w:tcW w:w="982" w:type="pct"/>
            <w:tcBorders>
              <w:top w:val="nil"/>
              <w:left w:val="nil"/>
              <w:bottom w:val="nil"/>
              <w:right w:val="nil"/>
            </w:tcBorders>
            <w:vAlign w:val="center"/>
          </w:tcPr>
          <w:p w14:paraId="43CF2CE4" w14:textId="77777777" w:rsidR="00236065" w:rsidRPr="00723F3F" w:rsidRDefault="00236065" w:rsidP="00176BA0">
            <w:pPr>
              <w:jc w:val="right"/>
              <w:rPr>
                <w:sz w:val="16"/>
                <w:szCs w:val="16"/>
              </w:rPr>
            </w:pPr>
            <w:r w:rsidRPr="00723F3F">
              <w:rPr>
                <w:sz w:val="16"/>
                <w:szCs w:val="16"/>
              </w:rPr>
              <w:t xml:space="preserve"> -</w:t>
            </w:r>
          </w:p>
        </w:tc>
      </w:tr>
      <w:tr w:rsidR="00236065" w:rsidRPr="00723F3F" w14:paraId="476DA341" w14:textId="77777777" w:rsidTr="00176BA0">
        <w:trPr>
          <w:trHeight w:val="283"/>
          <w:jc w:val="center"/>
        </w:trPr>
        <w:tc>
          <w:tcPr>
            <w:tcW w:w="3017" w:type="pct"/>
            <w:tcBorders>
              <w:top w:val="single" w:sz="4" w:space="0" w:color="auto"/>
              <w:left w:val="nil"/>
              <w:bottom w:val="single" w:sz="4" w:space="0" w:color="auto"/>
              <w:right w:val="nil"/>
            </w:tcBorders>
            <w:shd w:val="clear" w:color="auto" w:fill="auto"/>
            <w:vAlign w:val="center"/>
            <w:hideMark/>
          </w:tcPr>
          <w:p w14:paraId="788B8DB9" w14:textId="77777777" w:rsidR="00236065" w:rsidRPr="00723F3F" w:rsidRDefault="00236065" w:rsidP="00236065">
            <w:pPr>
              <w:jc w:val="both"/>
              <w:rPr>
                <w:rFonts w:eastAsia="Times New Roman"/>
                <w:b/>
                <w:bCs/>
                <w:sz w:val="16"/>
                <w:szCs w:val="16"/>
              </w:rPr>
            </w:pPr>
            <w:r w:rsidRPr="00723F3F">
              <w:rPr>
                <w:rFonts w:eastAsia="Times New Roman"/>
                <w:b/>
                <w:bCs/>
                <w:sz w:val="16"/>
                <w:szCs w:val="16"/>
              </w:rPr>
              <w:t>A DEVOLVER</w:t>
            </w:r>
          </w:p>
        </w:tc>
        <w:tc>
          <w:tcPr>
            <w:tcW w:w="1001" w:type="pct"/>
            <w:tcBorders>
              <w:top w:val="single" w:sz="4" w:space="0" w:color="auto"/>
              <w:left w:val="nil"/>
              <w:bottom w:val="single" w:sz="4" w:space="0" w:color="auto"/>
              <w:right w:val="nil"/>
            </w:tcBorders>
            <w:shd w:val="clear" w:color="auto" w:fill="auto"/>
            <w:vAlign w:val="center"/>
          </w:tcPr>
          <w:p w14:paraId="1CC8F9E8" w14:textId="77777777" w:rsidR="00236065" w:rsidRPr="00723F3F" w:rsidRDefault="00236065" w:rsidP="00176BA0">
            <w:pPr>
              <w:jc w:val="right"/>
              <w:rPr>
                <w:sz w:val="16"/>
                <w:szCs w:val="16"/>
              </w:rPr>
            </w:pPr>
            <w:r w:rsidRPr="00723F3F">
              <w:rPr>
                <w:sz w:val="16"/>
                <w:szCs w:val="16"/>
              </w:rPr>
              <w:t xml:space="preserve"> -</w:t>
            </w:r>
          </w:p>
        </w:tc>
        <w:tc>
          <w:tcPr>
            <w:tcW w:w="982" w:type="pct"/>
            <w:tcBorders>
              <w:top w:val="single" w:sz="4" w:space="0" w:color="auto"/>
              <w:left w:val="nil"/>
              <w:bottom w:val="single" w:sz="4" w:space="0" w:color="auto"/>
              <w:right w:val="nil"/>
            </w:tcBorders>
            <w:vAlign w:val="center"/>
          </w:tcPr>
          <w:p w14:paraId="6527EAF5" w14:textId="77777777" w:rsidR="00236065" w:rsidRPr="00723F3F" w:rsidRDefault="00236065" w:rsidP="00176BA0">
            <w:pPr>
              <w:jc w:val="right"/>
              <w:rPr>
                <w:sz w:val="16"/>
                <w:szCs w:val="16"/>
              </w:rPr>
            </w:pPr>
            <w:r w:rsidRPr="00723F3F">
              <w:rPr>
                <w:sz w:val="16"/>
                <w:szCs w:val="16"/>
              </w:rPr>
              <w:t xml:space="preserve"> -</w:t>
            </w:r>
          </w:p>
        </w:tc>
      </w:tr>
    </w:tbl>
    <w:p w14:paraId="541CBDD1"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Quedan pendientes de aplicación deducciones por inversión y formación cuyos importes y plazos son los siguientes:</w:t>
      </w:r>
    </w:p>
    <w:tbl>
      <w:tblPr>
        <w:tblW w:w="5000" w:type="pct"/>
        <w:jc w:val="center"/>
        <w:shd w:val="clear" w:color="auto" w:fill="D0CECE"/>
        <w:tblCellMar>
          <w:left w:w="70" w:type="dxa"/>
          <w:right w:w="70" w:type="dxa"/>
        </w:tblCellMar>
        <w:tblLook w:val="04A0" w:firstRow="1" w:lastRow="0" w:firstColumn="1" w:lastColumn="0" w:noHBand="0" w:noVBand="1"/>
      </w:tblPr>
      <w:tblGrid>
        <w:gridCol w:w="1843"/>
        <w:gridCol w:w="3239"/>
        <w:gridCol w:w="1730"/>
        <w:gridCol w:w="1969"/>
      </w:tblGrid>
      <w:tr w:rsidR="006220A2" w:rsidRPr="00176BA0" w14:paraId="5014AB0E" w14:textId="77777777" w:rsidTr="00954AA6">
        <w:trPr>
          <w:trHeight w:val="283"/>
          <w:jc w:val="center"/>
        </w:trPr>
        <w:tc>
          <w:tcPr>
            <w:tcW w:w="1049" w:type="pct"/>
            <w:tcBorders>
              <w:top w:val="single" w:sz="4" w:space="0" w:color="auto"/>
              <w:left w:val="nil"/>
              <w:bottom w:val="single" w:sz="4" w:space="0" w:color="auto"/>
              <w:right w:val="nil"/>
            </w:tcBorders>
            <w:shd w:val="clear" w:color="auto" w:fill="auto"/>
            <w:noWrap/>
            <w:vAlign w:val="bottom"/>
            <w:hideMark/>
          </w:tcPr>
          <w:p w14:paraId="6DAAE685" w14:textId="77777777" w:rsidR="006220A2" w:rsidRPr="00176BA0" w:rsidRDefault="006220A2" w:rsidP="00852114">
            <w:pPr>
              <w:jc w:val="center"/>
              <w:rPr>
                <w:rFonts w:eastAsia="Times New Roman"/>
                <w:b/>
                <w:bCs/>
                <w:sz w:val="18"/>
                <w:szCs w:val="18"/>
              </w:rPr>
            </w:pPr>
            <w:proofErr w:type="spellStart"/>
            <w:r w:rsidRPr="00176BA0">
              <w:rPr>
                <w:rFonts w:eastAsia="Times New Roman"/>
                <w:b/>
                <w:bCs/>
                <w:sz w:val="18"/>
                <w:szCs w:val="18"/>
                <w:lang w:val="en-US"/>
              </w:rPr>
              <w:t>Año</w:t>
            </w:r>
            <w:proofErr w:type="spellEnd"/>
          </w:p>
        </w:tc>
        <w:tc>
          <w:tcPr>
            <w:tcW w:w="1844" w:type="pct"/>
            <w:tcBorders>
              <w:top w:val="single" w:sz="4" w:space="0" w:color="auto"/>
              <w:left w:val="nil"/>
              <w:bottom w:val="single" w:sz="4" w:space="0" w:color="auto"/>
              <w:right w:val="nil"/>
            </w:tcBorders>
            <w:shd w:val="clear" w:color="auto" w:fill="auto"/>
            <w:noWrap/>
            <w:vAlign w:val="bottom"/>
            <w:hideMark/>
          </w:tcPr>
          <w:p w14:paraId="505A7639" w14:textId="77777777" w:rsidR="006220A2" w:rsidRPr="00176BA0" w:rsidRDefault="006220A2" w:rsidP="00852114">
            <w:pPr>
              <w:jc w:val="center"/>
              <w:rPr>
                <w:rFonts w:eastAsia="Times New Roman"/>
                <w:b/>
                <w:bCs/>
                <w:sz w:val="18"/>
                <w:szCs w:val="18"/>
              </w:rPr>
            </w:pPr>
            <w:proofErr w:type="spellStart"/>
            <w:r w:rsidRPr="00176BA0">
              <w:rPr>
                <w:rFonts w:eastAsia="Times New Roman"/>
                <w:b/>
                <w:bCs/>
                <w:sz w:val="18"/>
                <w:szCs w:val="18"/>
                <w:lang w:val="en-US"/>
              </w:rPr>
              <w:t>Concepto</w:t>
            </w:r>
            <w:proofErr w:type="spellEnd"/>
          </w:p>
        </w:tc>
        <w:tc>
          <w:tcPr>
            <w:tcW w:w="985" w:type="pct"/>
            <w:tcBorders>
              <w:top w:val="single" w:sz="4" w:space="0" w:color="auto"/>
              <w:left w:val="nil"/>
              <w:bottom w:val="single" w:sz="4" w:space="0" w:color="auto"/>
              <w:right w:val="nil"/>
            </w:tcBorders>
            <w:shd w:val="clear" w:color="auto" w:fill="auto"/>
            <w:noWrap/>
            <w:vAlign w:val="bottom"/>
            <w:hideMark/>
          </w:tcPr>
          <w:p w14:paraId="397656ED" w14:textId="77777777" w:rsidR="006220A2" w:rsidRPr="00176BA0" w:rsidRDefault="006220A2" w:rsidP="00852114">
            <w:pPr>
              <w:jc w:val="center"/>
              <w:rPr>
                <w:rFonts w:eastAsia="Times New Roman"/>
                <w:b/>
                <w:bCs/>
                <w:sz w:val="18"/>
                <w:szCs w:val="18"/>
              </w:rPr>
            </w:pPr>
            <w:r w:rsidRPr="00176BA0">
              <w:rPr>
                <w:rFonts w:eastAsia="Times New Roman"/>
                <w:b/>
                <w:bCs/>
                <w:sz w:val="18"/>
                <w:szCs w:val="18"/>
                <w:lang w:val="en-US"/>
              </w:rPr>
              <w:t>Euros</w:t>
            </w:r>
          </w:p>
        </w:tc>
        <w:tc>
          <w:tcPr>
            <w:tcW w:w="1121" w:type="pct"/>
            <w:tcBorders>
              <w:top w:val="single" w:sz="4" w:space="0" w:color="auto"/>
              <w:left w:val="nil"/>
              <w:bottom w:val="single" w:sz="4" w:space="0" w:color="auto"/>
              <w:right w:val="nil"/>
            </w:tcBorders>
            <w:shd w:val="clear" w:color="auto" w:fill="auto"/>
            <w:noWrap/>
            <w:vAlign w:val="bottom"/>
            <w:hideMark/>
          </w:tcPr>
          <w:p w14:paraId="0BF1A35C" w14:textId="77777777" w:rsidR="006220A2" w:rsidRPr="00176BA0" w:rsidRDefault="006220A2" w:rsidP="00852114">
            <w:pPr>
              <w:jc w:val="center"/>
              <w:rPr>
                <w:rFonts w:eastAsia="Times New Roman"/>
                <w:b/>
                <w:bCs/>
                <w:sz w:val="18"/>
                <w:szCs w:val="18"/>
              </w:rPr>
            </w:pPr>
            <w:r w:rsidRPr="00176BA0">
              <w:rPr>
                <w:rFonts w:eastAsia="Times New Roman"/>
                <w:b/>
                <w:bCs/>
                <w:sz w:val="18"/>
                <w:szCs w:val="18"/>
                <w:lang w:val="en-US"/>
              </w:rPr>
              <w:t xml:space="preserve">Último </w:t>
            </w:r>
            <w:proofErr w:type="spellStart"/>
            <w:r w:rsidRPr="00176BA0">
              <w:rPr>
                <w:rFonts w:eastAsia="Times New Roman"/>
                <w:b/>
                <w:bCs/>
                <w:sz w:val="18"/>
                <w:szCs w:val="18"/>
                <w:lang w:val="en-US"/>
              </w:rPr>
              <w:t>año</w:t>
            </w:r>
            <w:proofErr w:type="spellEnd"/>
          </w:p>
        </w:tc>
      </w:tr>
      <w:tr w:rsidR="006220A2" w:rsidRPr="00176BA0" w14:paraId="01D491FA" w14:textId="77777777" w:rsidTr="00954AA6">
        <w:trPr>
          <w:trHeight w:val="283"/>
          <w:jc w:val="center"/>
        </w:trPr>
        <w:tc>
          <w:tcPr>
            <w:tcW w:w="1049" w:type="pct"/>
            <w:tcBorders>
              <w:top w:val="nil"/>
              <w:left w:val="nil"/>
              <w:right w:val="nil"/>
            </w:tcBorders>
            <w:shd w:val="clear" w:color="auto" w:fill="auto"/>
            <w:noWrap/>
            <w:vAlign w:val="center"/>
            <w:hideMark/>
          </w:tcPr>
          <w:p w14:paraId="43F31F7D" w14:textId="77777777" w:rsidR="006220A2" w:rsidRPr="00176BA0" w:rsidRDefault="006220A2" w:rsidP="00852114">
            <w:pPr>
              <w:jc w:val="center"/>
              <w:rPr>
                <w:sz w:val="18"/>
                <w:szCs w:val="18"/>
              </w:rPr>
            </w:pPr>
            <w:r w:rsidRPr="00176BA0">
              <w:rPr>
                <w:sz w:val="18"/>
                <w:szCs w:val="18"/>
              </w:rPr>
              <w:t>2008</w:t>
            </w:r>
          </w:p>
        </w:tc>
        <w:tc>
          <w:tcPr>
            <w:tcW w:w="1844" w:type="pct"/>
            <w:tcBorders>
              <w:top w:val="nil"/>
              <w:left w:val="nil"/>
              <w:right w:val="nil"/>
            </w:tcBorders>
            <w:shd w:val="clear" w:color="auto" w:fill="auto"/>
            <w:noWrap/>
            <w:vAlign w:val="center"/>
            <w:hideMark/>
          </w:tcPr>
          <w:p w14:paraId="610BCB5C" w14:textId="77777777" w:rsidR="006220A2" w:rsidRPr="00176BA0" w:rsidRDefault="006220A2" w:rsidP="00852114">
            <w:pPr>
              <w:rPr>
                <w:sz w:val="18"/>
                <w:szCs w:val="18"/>
              </w:rPr>
            </w:pPr>
            <w:r w:rsidRPr="00176BA0">
              <w:rPr>
                <w:sz w:val="18"/>
                <w:szCs w:val="18"/>
              </w:rPr>
              <w:t>Deducción por formación</w:t>
            </w:r>
          </w:p>
        </w:tc>
        <w:tc>
          <w:tcPr>
            <w:tcW w:w="985" w:type="pct"/>
            <w:tcBorders>
              <w:top w:val="nil"/>
              <w:left w:val="nil"/>
              <w:right w:val="nil"/>
            </w:tcBorders>
            <w:shd w:val="clear" w:color="auto" w:fill="auto"/>
            <w:noWrap/>
            <w:vAlign w:val="center"/>
            <w:hideMark/>
          </w:tcPr>
          <w:p w14:paraId="1C85772B" w14:textId="77777777" w:rsidR="006220A2" w:rsidRPr="00176BA0" w:rsidRDefault="006220A2" w:rsidP="00852114">
            <w:pPr>
              <w:jc w:val="right"/>
              <w:rPr>
                <w:sz w:val="18"/>
                <w:szCs w:val="18"/>
              </w:rPr>
            </w:pPr>
            <w:r w:rsidRPr="00176BA0">
              <w:rPr>
                <w:sz w:val="18"/>
                <w:szCs w:val="18"/>
              </w:rPr>
              <w:t>1.370,85</w:t>
            </w:r>
          </w:p>
        </w:tc>
        <w:tc>
          <w:tcPr>
            <w:tcW w:w="1121" w:type="pct"/>
            <w:tcBorders>
              <w:top w:val="nil"/>
              <w:left w:val="nil"/>
              <w:right w:val="nil"/>
            </w:tcBorders>
            <w:shd w:val="clear" w:color="auto" w:fill="auto"/>
            <w:noWrap/>
            <w:vAlign w:val="center"/>
            <w:hideMark/>
          </w:tcPr>
          <w:p w14:paraId="473971EE" w14:textId="77777777" w:rsidR="006220A2" w:rsidRPr="00176BA0" w:rsidRDefault="006220A2" w:rsidP="00852114">
            <w:pPr>
              <w:jc w:val="center"/>
              <w:rPr>
                <w:rFonts w:eastAsia="Times New Roman"/>
                <w:sz w:val="18"/>
                <w:szCs w:val="18"/>
              </w:rPr>
            </w:pPr>
            <w:r w:rsidRPr="00176BA0">
              <w:rPr>
                <w:rFonts w:eastAsia="Times New Roman"/>
                <w:sz w:val="18"/>
                <w:szCs w:val="18"/>
                <w:lang w:val="en-US"/>
              </w:rPr>
              <w:t>2023</w:t>
            </w:r>
          </w:p>
        </w:tc>
      </w:tr>
      <w:tr w:rsidR="006220A2" w:rsidRPr="00176BA0" w14:paraId="433A5BF5" w14:textId="77777777" w:rsidTr="00954AA6">
        <w:trPr>
          <w:trHeight w:val="283"/>
          <w:jc w:val="center"/>
        </w:trPr>
        <w:tc>
          <w:tcPr>
            <w:tcW w:w="1049" w:type="pct"/>
            <w:tcBorders>
              <w:top w:val="nil"/>
              <w:left w:val="nil"/>
              <w:right w:val="nil"/>
            </w:tcBorders>
            <w:shd w:val="clear" w:color="auto" w:fill="auto"/>
            <w:noWrap/>
            <w:vAlign w:val="center"/>
            <w:hideMark/>
          </w:tcPr>
          <w:p w14:paraId="52F0E77B" w14:textId="77777777" w:rsidR="006220A2" w:rsidRPr="00176BA0" w:rsidRDefault="006220A2" w:rsidP="00852114">
            <w:pPr>
              <w:jc w:val="center"/>
              <w:rPr>
                <w:sz w:val="18"/>
                <w:szCs w:val="18"/>
              </w:rPr>
            </w:pPr>
            <w:r w:rsidRPr="00176BA0">
              <w:rPr>
                <w:sz w:val="18"/>
                <w:szCs w:val="18"/>
              </w:rPr>
              <w:t>2016</w:t>
            </w:r>
          </w:p>
        </w:tc>
        <w:tc>
          <w:tcPr>
            <w:tcW w:w="1844" w:type="pct"/>
            <w:tcBorders>
              <w:top w:val="nil"/>
              <w:left w:val="nil"/>
              <w:right w:val="nil"/>
            </w:tcBorders>
            <w:shd w:val="clear" w:color="auto" w:fill="auto"/>
            <w:noWrap/>
            <w:vAlign w:val="center"/>
            <w:hideMark/>
          </w:tcPr>
          <w:p w14:paraId="7EED3458" w14:textId="77777777" w:rsidR="006220A2" w:rsidRPr="00176BA0" w:rsidRDefault="006220A2" w:rsidP="00852114">
            <w:pPr>
              <w:rPr>
                <w:sz w:val="18"/>
                <w:szCs w:val="18"/>
              </w:rPr>
            </w:pPr>
            <w:r w:rsidRPr="00176BA0">
              <w:rPr>
                <w:sz w:val="18"/>
                <w:szCs w:val="18"/>
              </w:rPr>
              <w:t>Deducción por inversión</w:t>
            </w:r>
          </w:p>
        </w:tc>
        <w:tc>
          <w:tcPr>
            <w:tcW w:w="985" w:type="pct"/>
            <w:tcBorders>
              <w:top w:val="nil"/>
              <w:left w:val="nil"/>
              <w:right w:val="nil"/>
            </w:tcBorders>
            <w:shd w:val="clear" w:color="auto" w:fill="auto"/>
            <w:noWrap/>
            <w:vAlign w:val="center"/>
            <w:hideMark/>
          </w:tcPr>
          <w:p w14:paraId="6CFE22EE" w14:textId="77777777" w:rsidR="006220A2" w:rsidRPr="00176BA0" w:rsidRDefault="006220A2" w:rsidP="00852114">
            <w:pPr>
              <w:jc w:val="right"/>
              <w:rPr>
                <w:sz w:val="18"/>
                <w:szCs w:val="18"/>
              </w:rPr>
            </w:pPr>
            <w:r w:rsidRPr="00176BA0">
              <w:rPr>
                <w:sz w:val="18"/>
                <w:szCs w:val="18"/>
              </w:rPr>
              <w:t>2.331,13</w:t>
            </w:r>
          </w:p>
        </w:tc>
        <w:tc>
          <w:tcPr>
            <w:tcW w:w="1121" w:type="pct"/>
            <w:tcBorders>
              <w:top w:val="nil"/>
              <w:left w:val="nil"/>
              <w:right w:val="nil"/>
            </w:tcBorders>
            <w:shd w:val="clear" w:color="auto" w:fill="auto"/>
            <w:noWrap/>
            <w:vAlign w:val="center"/>
            <w:hideMark/>
          </w:tcPr>
          <w:p w14:paraId="6C8EF42D" w14:textId="77777777" w:rsidR="006220A2" w:rsidRPr="00176BA0" w:rsidRDefault="006220A2" w:rsidP="00852114">
            <w:pPr>
              <w:jc w:val="center"/>
              <w:rPr>
                <w:rFonts w:eastAsia="Times New Roman"/>
                <w:sz w:val="18"/>
                <w:szCs w:val="18"/>
              </w:rPr>
            </w:pPr>
            <w:r w:rsidRPr="00176BA0">
              <w:rPr>
                <w:rFonts w:eastAsia="Times New Roman"/>
                <w:sz w:val="18"/>
                <w:szCs w:val="18"/>
                <w:lang w:val="en-US"/>
              </w:rPr>
              <w:t>2031</w:t>
            </w:r>
          </w:p>
        </w:tc>
      </w:tr>
      <w:tr w:rsidR="006220A2" w:rsidRPr="00176BA0" w14:paraId="67189524" w14:textId="77777777" w:rsidTr="00954AA6">
        <w:trPr>
          <w:trHeight w:val="283"/>
          <w:jc w:val="center"/>
        </w:trPr>
        <w:tc>
          <w:tcPr>
            <w:tcW w:w="1049" w:type="pct"/>
            <w:tcBorders>
              <w:left w:val="nil"/>
              <w:right w:val="nil"/>
            </w:tcBorders>
            <w:shd w:val="clear" w:color="auto" w:fill="auto"/>
            <w:noWrap/>
            <w:vAlign w:val="center"/>
          </w:tcPr>
          <w:p w14:paraId="30E6985A" w14:textId="77777777" w:rsidR="006220A2" w:rsidRPr="00176BA0" w:rsidRDefault="006220A2" w:rsidP="00852114">
            <w:pPr>
              <w:jc w:val="center"/>
              <w:rPr>
                <w:sz w:val="18"/>
                <w:szCs w:val="18"/>
              </w:rPr>
            </w:pPr>
            <w:r w:rsidRPr="00176BA0">
              <w:rPr>
                <w:sz w:val="18"/>
                <w:szCs w:val="18"/>
              </w:rPr>
              <w:t>2017</w:t>
            </w:r>
          </w:p>
        </w:tc>
        <w:tc>
          <w:tcPr>
            <w:tcW w:w="1844" w:type="pct"/>
            <w:tcBorders>
              <w:left w:val="nil"/>
              <w:right w:val="nil"/>
            </w:tcBorders>
            <w:shd w:val="clear" w:color="auto" w:fill="auto"/>
            <w:noWrap/>
            <w:vAlign w:val="center"/>
          </w:tcPr>
          <w:p w14:paraId="196F8013" w14:textId="77777777" w:rsidR="006220A2" w:rsidRPr="00176BA0" w:rsidRDefault="006220A2" w:rsidP="00852114">
            <w:pPr>
              <w:rPr>
                <w:sz w:val="18"/>
                <w:szCs w:val="18"/>
              </w:rPr>
            </w:pPr>
            <w:r w:rsidRPr="00176BA0">
              <w:rPr>
                <w:sz w:val="18"/>
                <w:szCs w:val="18"/>
              </w:rPr>
              <w:t>Deducción por inversión</w:t>
            </w:r>
          </w:p>
        </w:tc>
        <w:tc>
          <w:tcPr>
            <w:tcW w:w="985" w:type="pct"/>
            <w:tcBorders>
              <w:left w:val="nil"/>
              <w:right w:val="nil"/>
            </w:tcBorders>
            <w:shd w:val="clear" w:color="auto" w:fill="auto"/>
            <w:noWrap/>
            <w:vAlign w:val="center"/>
          </w:tcPr>
          <w:p w14:paraId="65912866" w14:textId="77777777" w:rsidR="006220A2" w:rsidRPr="00176BA0" w:rsidRDefault="006220A2" w:rsidP="00852114">
            <w:pPr>
              <w:jc w:val="right"/>
              <w:rPr>
                <w:sz w:val="18"/>
                <w:szCs w:val="18"/>
              </w:rPr>
            </w:pPr>
            <w:r w:rsidRPr="00176BA0">
              <w:rPr>
                <w:sz w:val="18"/>
                <w:szCs w:val="18"/>
              </w:rPr>
              <w:t>4.501,76</w:t>
            </w:r>
          </w:p>
        </w:tc>
        <w:tc>
          <w:tcPr>
            <w:tcW w:w="1121" w:type="pct"/>
            <w:tcBorders>
              <w:left w:val="nil"/>
              <w:right w:val="nil"/>
            </w:tcBorders>
            <w:shd w:val="clear" w:color="auto" w:fill="auto"/>
            <w:noWrap/>
            <w:vAlign w:val="center"/>
          </w:tcPr>
          <w:p w14:paraId="0CC7C68C" w14:textId="77777777" w:rsidR="006220A2" w:rsidRPr="00176BA0" w:rsidRDefault="006220A2" w:rsidP="00852114">
            <w:pPr>
              <w:jc w:val="center"/>
              <w:rPr>
                <w:rFonts w:eastAsia="Times New Roman"/>
                <w:bCs/>
                <w:sz w:val="18"/>
                <w:szCs w:val="18"/>
                <w:lang w:val="en-US"/>
              </w:rPr>
            </w:pPr>
            <w:r w:rsidRPr="00176BA0">
              <w:rPr>
                <w:rFonts w:eastAsia="Times New Roman"/>
                <w:bCs/>
                <w:sz w:val="18"/>
                <w:szCs w:val="18"/>
                <w:lang w:val="en-US"/>
              </w:rPr>
              <w:t>2032</w:t>
            </w:r>
          </w:p>
        </w:tc>
      </w:tr>
      <w:tr w:rsidR="003A50C9" w:rsidRPr="00176BA0" w14:paraId="540EC19A" w14:textId="77777777" w:rsidTr="00954AA6">
        <w:trPr>
          <w:trHeight w:val="283"/>
          <w:jc w:val="center"/>
        </w:trPr>
        <w:tc>
          <w:tcPr>
            <w:tcW w:w="1049" w:type="pct"/>
            <w:tcBorders>
              <w:top w:val="nil"/>
              <w:left w:val="nil"/>
              <w:bottom w:val="single" w:sz="4" w:space="0" w:color="auto"/>
              <w:right w:val="nil"/>
            </w:tcBorders>
            <w:shd w:val="clear" w:color="auto" w:fill="auto"/>
            <w:noWrap/>
            <w:vAlign w:val="center"/>
          </w:tcPr>
          <w:p w14:paraId="351E6D55" w14:textId="77777777" w:rsidR="003A50C9" w:rsidRPr="00176BA0" w:rsidRDefault="003A50C9" w:rsidP="00852114">
            <w:pPr>
              <w:jc w:val="center"/>
              <w:rPr>
                <w:rFonts w:eastAsia="Times New Roman"/>
                <w:bCs/>
                <w:sz w:val="18"/>
                <w:szCs w:val="18"/>
                <w:lang w:val="en-US"/>
              </w:rPr>
            </w:pPr>
            <w:r w:rsidRPr="00176BA0">
              <w:rPr>
                <w:rFonts w:eastAsia="Times New Roman"/>
                <w:bCs/>
                <w:sz w:val="18"/>
                <w:szCs w:val="18"/>
                <w:lang w:val="en-US"/>
              </w:rPr>
              <w:t>2018</w:t>
            </w:r>
          </w:p>
        </w:tc>
        <w:tc>
          <w:tcPr>
            <w:tcW w:w="1844" w:type="pct"/>
            <w:tcBorders>
              <w:top w:val="nil"/>
              <w:left w:val="nil"/>
              <w:bottom w:val="single" w:sz="4" w:space="0" w:color="auto"/>
              <w:right w:val="nil"/>
            </w:tcBorders>
            <w:shd w:val="clear" w:color="auto" w:fill="auto"/>
            <w:noWrap/>
            <w:vAlign w:val="center"/>
          </w:tcPr>
          <w:p w14:paraId="6B5514E4" w14:textId="77777777" w:rsidR="003A50C9" w:rsidRPr="00176BA0" w:rsidRDefault="003A50C9" w:rsidP="00852114">
            <w:pPr>
              <w:rPr>
                <w:rFonts w:eastAsia="Times New Roman"/>
                <w:bCs/>
                <w:sz w:val="18"/>
                <w:szCs w:val="18"/>
                <w:lang w:val="en-US"/>
              </w:rPr>
            </w:pPr>
            <w:proofErr w:type="spellStart"/>
            <w:r w:rsidRPr="00176BA0">
              <w:rPr>
                <w:rFonts w:eastAsia="Times New Roman"/>
                <w:bCs/>
                <w:sz w:val="18"/>
                <w:szCs w:val="18"/>
                <w:lang w:val="en-US"/>
              </w:rPr>
              <w:t>Deducción</w:t>
            </w:r>
            <w:proofErr w:type="spellEnd"/>
            <w:r w:rsidRPr="00176BA0">
              <w:rPr>
                <w:rFonts w:eastAsia="Times New Roman"/>
                <w:bCs/>
                <w:sz w:val="18"/>
                <w:szCs w:val="18"/>
                <w:lang w:val="en-US"/>
              </w:rPr>
              <w:t xml:space="preserve"> </w:t>
            </w:r>
            <w:proofErr w:type="spellStart"/>
            <w:r w:rsidRPr="00176BA0">
              <w:rPr>
                <w:rFonts w:eastAsia="Times New Roman"/>
                <w:bCs/>
                <w:sz w:val="18"/>
                <w:szCs w:val="18"/>
                <w:lang w:val="en-US"/>
              </w:rPr>
              <w:t>por</w:t>
            </w:r>
            <w:proofErr w:type="spellEnd"/>
            <w:r w:rsidRPr="00176BA0">
              <w:rPr>
                <w:rFonts w:eastAsia="Times New Roman"/>
                <w:bCs/>
                <w:sz w:val="18"/>
                <w:szCs w:val="18"/>
                <w:lang w:val="en-US"/>
              </w:rPr>
              <w:t xml:space="preserve"> </w:t>
            </w:r>
            <w:proofErr w:type="spellStart"/>
            <w:r w:rsidRPr="00176BA0">
              <w:rPr>
                <w:rFonts w:eastAsia="Times New Roman"/>
                <w:bCs/>
                <w:sz w:val="18"/>
                <w:szCs w:val="18"/>
                <w:lang w:val="en-US"/>
              </w:rPr>
              <w:t>inversión</w:t>
            </w:r>
            <w:proofErr w:type="spellEnd"/>
          </w:p>
        </w:tc>
        <w:tc>
          <w:tcPr>
            <w:tcW w:w="985" w:type="pct"/>
            <w:tcBorders>
              <w:top w:val="nil"/>
              <w:left w:val="nil"/>
              <w:bottom w:val="single" w:sz="4" w:space="0" w:color="auto"/>
              <w:right w:val="nil"/>
            </w:tcBorders>
            <w:shd w:val="clear" w:color="auto" w:fill="auto"/>
            <w:noWrap/>
            <w:vAlign w:val="center"/>
          </w:tcPr>
          <w:p w14:paraId="3A0F65D1" w14:textId="77777777" w:rsidR="003A50C9" w:rsidRPr="00176BA0" w:rsidRDefault="003A50C9" w:rsidP="00852114">
            <w:pPr>
              <w:jc w:val="right"/>
              <w:rPr>
                <w:bCs/>
                <w:sz w:val="18"/>
                <w:szCs w:val="18"/>
              </w:rPr>
            </w:pPr>
            <w:r w:rsidRPr="00176BA0">
              <w:rPr>
                <w:bCs/>
                <w:sz w:val="18"/>
                <w:szCs w:val="18"/>
              </w:rPr>
              <w:t>6.566,13</w:t>
            </w:r>
          </w:p>
        </w:tc>
        <w:tc>
          <w:tcPr>
            <w:tcW w:w="1121" w:type="pct"/>
            <w:tcBorders>
              <w:top w:val="nil"/>
              <w:left w:val="nil"/>
              <w:bottom w:val="single" w:sz="4" w:space="0" w:color="auto"/>
              <w:right w:val="nil"/>
            </w:tcBorders>
            <w:shd w:val="clear" w:color="auto" w:fill="auto"/>
            <w:noWrap/>
            <w:vAlign w:val="center"/>
          </w:tcPr>
          <w:p w14:paraId="7BC1C77B" w14:textId="77777777" w:rsidR="003A50C9" w:rsidRPr="00176BA0" w:rsidRDefault="003A50C9" w:rsidP="00852114">
            <w:pPr>
              <w:jc w:val="center"/>
              <w:rPr>
                <w:rFonts w:eastAsia="Times New Roman"/>
                <w:bCs/>
                <w:sz w:val="18"/>
                <w:szCs w:val="18"/>
                <w:lang w:val="en-US"/>
              </w:rPr>
            </w:pPr>
            <w:r w:rsidRPr="00176BA0">
              <w:rPr>
                <w:rFonts w:eastAsia="Times New Roman"/>
                <w:bCs/>
                <w:sz w:val="18"/>
                <w:szCs w:val="18"/>
                <w:lang w:val="en-US"/>
              </w:rPr>
              <w:t>2033</w:t>
            </w:r>
          </w:p>
        </w:tc>
      </w:tr>
      <w:tr w:rsidR="006220A2" w:rsidRPr="00176BA0" w14:paraId="29315A43" w14:textId="77777777" w:rsidTr="00954AA6">
        <w:trPr>
          <w:trHeight w:val="283"/>
          <w:jc w:val="center"/>
        </w:trPr>
        <w:tc>
          <w:tcPr>
            <w:tcW w:w="1049" w:type="pct"/>
            <w:tcBorders>
              <w:top w:val="nil"/>
              <w:left w:val="nil"/>
              <w:bottom w:val="single" w:sz="4" w:space="0" w:color="auto"/>
              <w:right w:val="nil"/>
            </w:tcBorders>
            <w:shd w:val="clear" w:color="auto" w:fill="auto"/>
            <w:noWrap/>
            <w:vAlign w:val="center"/>
            <w:hideMark/>
          </w:tcPr>
          <w:p w14:paraId="55261DF7" w14:textId="77777777" w:rsidR="006220A2" w:rsidRPr="00176BA0" w:rsidRDefault="006220A2" w:rsidP="00852114">
            <w:pPr>
              <w:jc w:val="center"/>
              <w:rPr>
                <w:rFonts w:eastAsia="Times New Roman"/>
                <w:b/>
                <w:bCs/>
                <w:sz w:val="18"/>
                <w:szCs w:val="18"/>
              </w:rPr>
            </w:pPr>
            <w:r w:rsidRPr="00176BA0">
              <w:rPr>
                <w:rFonts w:eastAsia="Times New Roman"/>
                <w:b/>
                <w:bCs/>
                <w:sz w:val="18"/>
                <w:szCs w:val="18"/>
                <w:lang w:val="en-US"/>
              </w:rPr>
              <w:t>Total </w:t>
            </w:r>
          </w:p>
        </w:tc>
        <w:tc>
          <w:tcPr>
            <w:tcW w:w="1844" w:type="pct"/>
            <w:tcBorders>
              <w:top w:val="nil"/>
              <w:left w:val="nil"/>
              <w:bottom w:val="single" w:sz="4" w:space="0" w:color="auto"/>
              <w:right w:val="nil"/>
            </w:tcBorders>
            <w:shd w:val="clear" w:color="auto" w:fill="auto"/>
            <w:noWrap/>
            <w:vAlign w:val="center"/>
            <w:hideMark/>
          </w:tcPr>
          <w:p w14:paraId="32587196" w14:textId="77777777" w:rsidR="006220A2" w:rsidRPr="00176BA0" w:rsidRDefault="006220A2" w:rsidP="00852114">
            <w:pPr>
              <w:rPr>
                <w:rFonts w:eastAsia="Times New Roman"/>
                <w:b/>
                <w:bCs/>
                <w:sz w:val="18"/>
                <w:szCs w:val="18"/>
              </w:rPr>
            </w:pPr>
            <w:r w:rsidRPr="00176BA0">
              <w:rPr>
                <w:rFonts w:eastAsia="Times New Roman"/>
                <w:b/>
                <w:bCs/>
                <w:sz w:val="18"/>
                <w:szCs w:val="18"/>
                <w:lang w:val="en-US"/>
              </w:rPr>
              <w:t> </w:t>
            </w:r>
          </w:p>
        </w:tc>
        <w:tc>
          <w:tcPr>
            <w:tcW w:w="985" w:type="pct"/>
            <w:tcBorders>
              <w:top w:val="nil"/>
              <w:left w:val="nil"/>
              <w:bottom w:val="single" w:sz="4" w:space="0" w:color="auto"/>
              <w:right w:val="nil"/>
            </w:tcBorders>
            <w:shd w:val="clear" w:color="auto" w:fill="auto"/>
            <w:noWrap/>
            <w:vAlign w:val="center"/>
            <w:hideMark/>
          </w:tcPr>
          <w:p w14:paraId="060A4DB4" w14:textId="77777777" w:rsidR="006220A2" w:rsidRPr="00176BA0" w:rsidRDefault="003A50C9" w:rsidP="00852114">
            <w:pPr>
              <w:jc w:val="right"/>
              <w:rPr>
                <w:b/>
                <w:bCs/>
                <w:sz w:val="18"/>
                <w:szCs w:val="18"/>
              </w:rPr>
            </w:pPr>
            <w:r w:rsidRPr="00176BA0">
              <w:rPr>
                <w:b/>
                <w:bCs/>
                <w:sz w:val="18"/>
                <w:szCs w:val="18"/>
              </w:rPr>
              <w:t>14.769,86</w:t>
            </w:r>
          </w:p>
        </w:tc>
        <w:tc>
          <w:tcPr>
            <w:tcW w:w="1121" w:type="pct"/>
            <w:tcBorders>
              <w:top w:val="nil"/>
              <w:left w:val="nil"/>
              <w:bottom w:val="single" w:sz="4" w:space="0" w:color="auto"/>
              <w:right w:val="nil"/>
            </w:tcBorders>
            <w:shd w:val="clear" w:color="auto" w:fill="auto"/>
            <w:noWrap/>
            <w:vAlign w:val="center"/>
            <w:hideMark/>
          </w:tcPr>
          <w:p w14:paraId="5453AD6F" w14:textId="77777777" w:rsidR="006220A2" w:rsidRPr="00176BA0" w:rsidRDefault="006220A2" w:rsidP="00852114">
            <w:pPr>
              <w:jc w:val="center"/>
              <w:rPr>
                <w:rFonts w:eastAsia="Times New Roman"/>
                <w:b/>
                <w:bCs/>
                <w:sz w:val="18"/>
                <w:szCs w:val="18"/>
              </w:rPr>
            </w:pPr>
            <w:r w:rsidRPr="00176BA0">
              <w:rPr>
                <w:rFonts w:eastAsia="Times New Roman"/>
                <w:b/>
                <w:bCs/>
                <w:sz w:val="18"/>
                <w:szCs w:val="18"/>
                <w:lang w:val="en-US"/>
              </w:rPr>
              <w:t> </w:t>
            </w:r>
          </w:p>
        </w:tc>
      </w:tr>
    </w:tbl>
    <w:p w14:paraId="65607522"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Los activos en los que se aplica deducción por inversión en activos fijos materiales nuevos deben permanecer en funcionamiento en la empresa durante 5 años o durante su vida útil conforme a la amortización fiscal si ésta fuera inferior.</w:t>
      </w:r>
    </w:p>
    <w:p w14:paraId="407A8D6A"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La Sociedad incurrió en el pasado en pérdidas fiscales, de las cuáles quedan pendientes de compensar las siguientes:</w:t>
      </w:r>
    </w:p>
    <w:tbl>
      <w:tblPr>
        <w:tblW w:w="8781" w:type="dxa"/>
        <w:jc w:val="center"/>
        <w:tblCellMar>
          <w:left w:w="70" w:type="dxa"/>
          <w:right w:w="70" w:type="dxa"/>
        </w:tblCellMar>
        <w:tblLook w:val="04A0" w:firstRow="1" w:lastRow="0" w:firstColumn="1" w:lastColumn="0" w:noHBand="0" w:noVBand="1"/>
      </w:tblPr>
      <w:tblGrid>
        <w:gridCol w:w="2287"/>
        <w:gridCol w:w="1924"/>
        <w:gridCol w:w="1885"/>
        <w:gridCol w:w="1405"/>
        <w:gridCol w:w="1280"/>
      </w:tblGrid>
      <w:tr w:rsidR="003C0451" w:rsidRPr="00723F3F" w14:paraId="2F2B83DA" w14:textId="58086BD1" w:rsidTr="00567092">
        <w:trPr>
          <w:trHeight w:val="255"/>
          <w:jc w:val="center"/>
        </w:trPr>
        <w:tc>
          <w:tcPr>
            <w:tcW w:w="2287" w:type="dxa"/>
            <w:tcBorders>
              <w:top w:val="single" w:sz="4" w:space="0" w:color="auto"/>
              <w:left w:val="nil"/>
              <w:bottom w:val="single" w:sz="4" w:space="0" w:color="auto"/>
              <w:right w:val="nil"/>
            </w:tcBorders>
            <w:shd w:val="clear" w:color="auto" w:fill="auto"/>
            <w:noWrap/>
            <w:vAlign w:val="bottom"/>
            <w:hideMark/>
          </w:tcPr>
          <w:p w14:paraId="38900336" w14:textId="77777777" w:rsidR="003C0451" w:rsidRPr="00723F3F" w:rsidRDefault="003C0451" w:rsidP="00852114">
            <w:pPr>
              <w:jc w:val="center"/>
              <w:rPr>
                <w:rFonts w:eastAsia="Times New Roman"/>
                <w:b/>
                <w:bCs/>
                <w:sz w:val="16"/>
                <w:szCs w:val="16"/>
              </w:rPr>
            </w:pPr>
            <w:r w:rsidRPr="00723F3F">
              <w:rPr>
                <w:rFonts w:eastAsia="Times New Roman"/>
                <w:b/>
                <w:bCs/>
                <w:sz w:val="16"/>
                <w:szCs w:val="16"/>
              </w:rPr>
              <w:t>Año</w:t>
            </w:r>
          </w:p>
        </w:tc>
        <w:tc>
          <w:tcPr>
            <w:tcW w:w="1924" w:type="dxa"/>
            <w:tcBorders>
              <w:top w:val="single" w:sz="4" w:space="0" w:color="auto"/>
              <w:left w:val="nil"/>
              <w:bottom w:val="single" w:sz="4" w:space="0" w:color="auto"/>
              <w:right w:val="nil"/>
            </w:tcBorders>
            <w:shd w:val="clear" w:color="auto" w:fill="auto"/>
            <w:noWrap/>
            <w:vAlign w:val="bottom"/>
            <w:hideMark/>
          </w:tcPr>
          <w:p w14:paraId="07D7F115" w14:textId="77777777" w:rsidR="003C0451" w:rsidRPr="00723F3F" w:rsidRDefault="003C0451" w:rsidP="00852114">
            <w:pPr>
              <w:jc w:val="center"/>
              <w:rPr>
                <w:rFonts w:eastAsia="Times New Roman"/>
                <w:b/>
                <w:bCs/>
                <w:sz w:val="16"/>
                <w:szCs w:val="16"/>
              </w:rPr>
            </w:pPr>
            <w:r w:rsidRPr="00723F3F">
              <w:rPr>
                <w:rFonts w:eastAsia="Times New Roman"/>
                <w:b/>
                <w:bCs/>
                <w:sz w:val="16"/>
                <w:szCs w:val="16"/>
              </w:rPr>
              <w:t>Concepto</w:t>
            </w:r>
          </w:p>
        </w:tc>
        <w:tc>
          <w:tcPr>
            <w:tcW w:w="1885" w:type="dxa"/>
            <w:tcBorders>
              <w:top w:val="single" w:sz="4" w:space="0" w:color="auto"/>
              <w:left w:val="nil"/>
              <w:bottom w:val="single" w:sz="4" w:space="0" w:color="auto"/>
              <w:right w:val="nil"/>
            </w:tcBorders>
            <w:shd w:val="clear" w:color="auto" w:fill="auto"/>
            <w:noWrap/>
            <w:vAlign w:val="bottom"/>
            <w:hideMark/>
          </w:tcPr>
          <w:p w14:paraId="02486A88" w14:textId="77777777" w:rsidR="003C0451" w:rsidRPr="00567092" w:rsidRDefault="003C0451" w:rsidP="00852114">
            <w:pPr>
              <w:jc w:val="center"/>
              <w:rPr>
                <w:rFonts w:eastAsia="Times New Roman"/>
                <w:b/>
                <w:bCs/>
                <w:sz w:val="16"/>
                <w:szCs w:val="16"/>
              </w:rPr>
            </w:pPr>
            <w:r w:rsidRPr="00567092">
              <w:rPr>
                <w:rFonts w:eastAsia="Times New Roman"/>
                <w:b/>
                <w:bCs/>
                <w:sz w:val="16"/>
                <w:szCs w:val="16"/>
              </w:rPr>
              <w:t>Euros</w:t>
            </w:r>
          </w:p>
        </w:tc>
        <w:tc>
          <w:tcPr>
            <w:tcW w:w="1405" w:type="dxa"/>
            <w:tcBorders>
              <w:top w:val="single" w:sz="4" w:space="0" w:color="auto"/>
              <w:left w:val="nil"/>
              <w:bottom w:val="single" w:sz="4" w:space="0" w:color="auto"/>
              <w:right w:val="nil"/>
            </w:tcBorders>
            <w:vAlign w:val="bottom"/>
          </w:tcPr>
          <w:p w14:paraId="03F805A7" w14:textId="266FD213" w:rsidR="003C0451" w:rsidRPr="00567092" w:rsidRDefault="00567092" w:rsidP="00567092">
            <w:pPr>
              <w:jc w:val="center"/>
              <w:rPr>
                <w:rFonts w:eastAsia="Times New Roman"/>
                <w:b/>
                <w:bCs/>
                <w:sz w:val="16"/>
                <w:szCs w:val="16"/>
              </w:rPr>
            </w:pPr>
            <w:r w:rsidRPr="00567092">
              <w:rPr>
                <w:rFonts w:eastAsia="Times New Roman"/>
                <w:b/>
                <w:bCs/>
                <w:sz w:val="16"/>
                <w:szCs w:val="16"/>
              </w:rPr>
              <w:t>Aplicado</w:t>
            </w:r>
          </w:p>
        </w:tc>
        <w:tc>
          <w:tcPr>
            <w:tcW w:w="1280" w:type="dxa"/>
            <w:tcBorders>
              <w:top w:val="single" w:sz="4" w:space="0" w:color="auto"/>
              <w:left w:val="nil"/>
              <w:bottom w:val="single" w:sz="4" w:space="0" w:color="auto"/>
              <w:right w:val="nil"/>
            </w:tcBorders>
            <w:vAlign w:val="bottom"/>
          </w:tcPr>
          <w:p w14:paraId="561D08F7" w14:textId="26DE4F7D" w:rsidR="003C0451" w:rsidRPr="00567092" w:rsidRDefault="00567092" w:rsidP="00567092">
            <w:pPr>
              <w:jc w:val="center"/>
              <w:rPr>
                <w:rFonts w:eastAsia="Times New Roman"/>
                <w:b/>
                <w:bCs/>
                <w:sz w:val="16"/>
                <w:szCs w:val="16"/>
              </w:rPr>
            </w:pPr>
            <w:r w:rsidRPr="00567092">
              <w:rPr>
                <w:rFonts w:eastAsia="Times New Roman"/>
                <w:b/>
                <w:bCs/>
                <w:sz w:val="16"/>
                <w:szCs w:val="16"/>
              </w:rPr>
              <w:t>Pendiente de aplicar</w:t>
            </w:r>
          </w:p>
        </w:tc>
      </w:tr>
      <w:tr w:rsidR="00567092" w:rsidRPr="00723F3F" w14:paraId="54BAB7EA" w14:textId="32EDD5FB" w:rsidTr="00954AA6">
        <w:trPr>
          <w:trHeight w:val="255"/>
          <w:jc w:val="center"/>
        </w:trPr>
        <w:tc>
          <w:tcPr>
            <w:tcW w:w="2287" w:type="dxa"/>
            <w:tcBorders>
              <w:top w:val="nil"/>
              <w:left w:val="nil"/>
              <w:bottom w:val="nil"/>
              <w:right w:val="nil"/>
            </w:tcBorders>
            <w:shd w:val="clear" w:color="auto" w:fill="auto"/>
            <w:noWrap/>
            <w:vAlign w:val="center"/>
            <w:hideMark/>
          </w:tcPr>
          <w:p w14:paraId="336E0EA0" w14:textId="77777777" w:rsidR="00567092" w:rsidRPr="00723F3F" w:rsidRDefault="00567092" w:rsidP="00567092">
            <w:pPr>
              <w:jc w:val="center"/>
              <w:rPr>
                <w:rFonts w:eastAsia="Times New Roman"/>
                <w:sz w:val="16"/>
                <w:szCs w:val="16"/>
              </w:rPr>
            </w:pPr>
            <w:r w:rsidRPr="00723F3F">
              <w:rPr>
                <w:rFonts w:eastAsia="Times New Roman"/>
                <w:sz w:val="16"/>
                <w:szCs w:val="16"/>
              </w:rPr>
              <w:t>2009</w:t>
            </w:r>
          </w:p>
        </w:tc>
        <w:tc>
          <w:tcPr>
            <w:tcW w:w="1924" w:type="dxa"/>
            <w:tcBorders>
              <w:top w:val="nil"/>
              <w:left w:val="nil"/>
              <w:bottom w:val="nil"/>
              <w:right w:val="nil"/>
            </w:tcBorders>
            <w:shd w:val="clear" w:color="auto" w:fill="auto"/>
            <w:noWrap/>
            <w:vAlign w:val="center"/>
            <w:hideMark/>
          </w:tcPr>
          <w:p w14:paraId="2033E519" w14:textId="77777777" w:rsidR="00567092" w:rsidRPr="00723F3F" w:rsidRDefault="00567092" w:rsidP="00567092">
            <w:pPr>
              <w:rPr>
                <w:rFonts w:eastAsia="Times New Roman"/>
                <w:sz w:val="16"/>
                <w:szCs w:val="16"/>
              </w:rPr>
            </w:pPr>
            <w:r w:rsidRPr="00723F3F">
              <w:rPr>
                <w:rFonts w:eastAsia="Times New Roman"/>
                <w:sz w:val="16"/>
                <w:szCs w:val="16"/>
              </w:rPr>
              <w:t>Base imponible negativa</w:t>
            </w:r>
          </w:p>
        </w:tc>
        <w:tc>
          <w:tcPr>
            <w:tcW w:w="1885" w:type="dxa"/>
            <w:tcBorders>
              <w:top w:val="nil"/>
              <w:left w:val="nil"/>
              <w:bottom w:val="nil"/>
              <w:right w:val="nil"/>
            </w:tcBorders>
            <w:shd w:val="clear" w:color="auto" w:fill="auto"/>
            <w:noWrap/>
            <w:vAlign w:val="center"/>
            <w:hideMark/>
          </w:tcPr>
          <w:p w14:paraId="01E8A2D0" w14:textId="268835CF" w:rsidR="00567092" w:rsidRPr="00567092" w:rsidRDefault="00567092" w:rsidP="00954AA6">
            <w:pPr>
              <w:jc w:val="right"/>
              <w:rPr>
                <w:rFonts w:eastAsia="Times New Roman"/>
                <w:sz w:val="16"/>
                <w:szCs w:val="16"/>
                <w:highlight w:val="yellow"/>
              </w:rPr>
            </w:pPr>
            <w:r w:rsidRPr="00567092">
              <w:rPr>
                <w:sz w:val="16"/>
                <w:szCs w:val="16"/>
              </w:rPr>
              <w:t>917.470,77</w:t>
            </w:r>
          </w:p>
        </w:tc>
        <w:tc>
          <w:tcPr>
            <w:tcW w:w="1405" w:type="dxa"/>
            <w:tcBorders>
              <w:top w:val="nil"/>
              <w:left w:val="nil"/>
              <w:bottom w:val="nil"/>
              <w:right w:val="nil"/>
            </w:tcBorders>
            <w:vAlign w:val="center"/>
          </w:tcPr>
          <w:p w14:paraId="03B0948F" w14:textId="65F17CBA" w:rsidR="00567092" w:rsidRPr="00567092" w:rsidRDefault="00567092" w:rsidP="00954AA6">
            <w:pPr>
              <w:jc w:val="right"/>
              <w:rPr>
                <w:sz w:val="16"/>
                <w:szCs w:val="16"/>
              </w:rPr>
            </w:pPr>
            <w:r w:rsidRPr="00567092">
              <w:rPr>
                <w:sz w:val="16"/>
                <w:szCs w:val="16"/>
              </w:rPr>
              <w:t>340.284,22</w:t>
            </w:r>
          </w:p>
        </w:tc>
        <w:tc>
          <w:tcPr>
            <w:tcW w:w="1280" w:type="dxa"/>
            <w:tcBorders>
              <w:top w:val="nil"/>
              <w:left w:val="nil"/>
              <w:bottom w:val="nil"/>
              <w:right w:val="nil"/>
            </w:tcBorders>
            <w:vAlign w:val="center"/>
          </w:tcPr>
          <w:p w14:paraId="6936C763" w14:textId="7C4ACEE2" w:rsidR="00567092" w:rsidRPr="00567092" w:rsidRDefault="00567092" w:rsidP="00954AA6">
            <w:pPr>
              <w:jc w:val="right"/>
              <w:rPr>
                <w:sz w:val="16"/>
                <w:szCs w:val="16"/>
              </w:rPr>
            </w:pPr>
            <w:r w:rsidRPr="00567092">
              <w:rPr>
                <w:sz w:val="16"/>
                <w:szCs w:val="16"/>
              </w:rPr>
              <w:t>577.186,56</w:t>
            </w:r>
          </w:p>
        </w:tc>
      </w:tr>
      <w:tr w:rsidR="00567092" w:rsidRPr="00723F3F" w14:paraId="5E7CC3C3" w14:textId="758C0C8F" w:rsidTr="00954AA6">
        <w:trPr>
          <w:trHeight w:val="255"/>
          <w:jc w:val="center"/>
        </w:trPr>
        <w:tc>
          <w:tcPr>
            <w:tcW w:w="2287" w:type="dxa"/>
            <w:tcBorders>
              <w:top w:val="nil"/>
              <w:left w:val="nil"/>
              <w:bottom w:val="nil"/>
              <w:right w:val="nil"/>
            </w:tcBorders>
            <w:shd w:val="clear" w:color="auto" w:fill="auto"/>
            <w:noWrap/>
            <w:vAlign w:val="center"/>
            <w:hideMark/>
          </w:tcPr>
          <w:p w14:paraId="1A2E6840" w14:textId="77777777" w:rsidR="00567092" w:rsidRPr="00723F3F" w:rsidRDefault="00567092" w:rsidP="00567092">
            <w:pPr>
              <w:jc w:val="center"/>
              <w:rPr>
                <w:rFonts w:eastAsia="Times New Roman"/>
                <w:sz w:val="16"/>
                <w:szCs w:val="16"/>
              </w:rPr>
            </w:pPr>
            <w:r w:rsidRPr="00723F3F">
              <w:rPr>
                <w:rFonts w:eastAsia="Times New Roman"/>
                <w:sz w:val="16"/>
                <w:szCs w:val="16"/>
              </w:rPr>
              <w:t>2010</w:t>
            </w:r>
          </w:p>
        </w:tc>
        <w:tc>
          <w:tcPr>
            <w:tcW w:w="1924" w:type="dxa"/>
            <w:tcBorders>
              <w:top w:val="nil"/>
              <w:left w:val="nil"/>
              <w:bottom w:val="nil"/>
              <w:right w:val="nil"/>
            </w:tcBorders>
            <w:shd w:val="clear" w:color="auto" w:fill="auto"/>
            <w:noWrap/>
            <w:vAlign w:val="center"/>
            <w:hideMark/>
          </w:tcPr>
          <w:p w14:paraId="01621A5F" w14:textId="77777777" w:rsidR="00567092" w:rsidRPr="00723F3F" w:rsidRDefault="00567092" w:rsidP="00567092">
            <w:pPr>
              <w:rPr>
                <w:rFonts w:eastAsia="Times New Roman"/>
                <w:sz w:val="16"/>
                <w:szCs w:val="16"/>
              </w:rPr>
            </w:pPr>
            <w:r w:rsidRPr="00723F3F">
              <w:rPr>
                <w:rFonts w:eastAsia="Times New Roman"/>
                <w:sz w:val="16"/>
                <w:szCs w:val="16"/>
              </w:rPr>
              <w:t>Base imponible negativa</w:t>
            </w:r>
          </w:p>
        </w:tc>
        <w:tc>
          <w:tcPr>
            <w:tcW w:w="1885" w:type="dxa"/>
            <w:tcBorders>
              <w:top w:val="nil"/>
              <w:left w:val="nil"/>
              <w:bottom w:val="nil"/>
              <w:right w:val="nil"/>
            </w:tcBorders>
            <w:shd w:val="clear" w:color="auto" w:fill="auto"/>
            <w:noWrap/>
            <w:vAlign w:val="center"/>
            <w:hideMark/>
          </w:tcPr>
          <w:p w14:paraId="2B9A6E0D" w14:textId="57E8D447" w:rsidR="00567092" w:rsidRPr="00567092" w:rsidRDefault="00567092" w:rsidP="00954AA6">
            <w:pPr>
              <w:jc w:val="right"/>
              <w:rPr>
                <w:rFonts w:eastAsia="Times New Roman"/>
                <w:sz w:val="16"/>
                <w:szCs w:val="16"/>
                <w:highlight w:val="yellow"/>
              </w:rPr>
            </w:pPr>
            <w:r w:rsidRPr="00567092">
              <w:rPr>
                <w:sz w:val="16"/>
                <w:szCs w:val="16"/>
              </w:rPr>
              <w:t>2.083.833,07</w:t>
            </w:r>
          </w:p>
        </w:tc>
        <w:tc>
          <w:tcPr>
            <w:tcW w:w="1405" w:type="dxa"/>
            <w:tcBorders>
              <w:top w:val="nil"/>
              <w:left w:val="nil"/>
              <w:bottom w:val="nil"/>
              <w:right w:val="nil"/>
            </w:tcBorders>
            <w:vAlign w:val="center"/>
          </w:tcPr>
          <w:p w14:paraId="37FDA500" w14:textId="5CEFBE6B" w:rsidR="00567092" w:rsidRPr="00567092" w:rsidRDefault="00567092" w:rsidP="00954AA6">
            <w:pPr>
              <w:jc w:val="right"/>
              <w:rPr>
                <w:sz w:val="16"/>
                <w:szCs w:val="16"/>
              </w:rPr>
            </w:pPr>
            <w:r w:rsidRPr="00567092">
              <w:rPr>
                <w:sz w:val="16"/>
                <w:szCs w:val="16"/>
              </w:rPr>
              <w:t xml:space="preserve"> -</w:t>
            </w:r>
          </w:p>
        </w:tc>
        <w:tc>
          <w:tcPr>
            <w:tcW w:w="1280" w:type="dxa"/>
            <w:tcBorders>
              <w:top w:val="nil"/>
              <w:left w:val="nil"/>
              <w:bottom w:val="nil"/>
              <w:right w:val="nil"/>
            </w:tcBorders>
            <w:vAlign w:val="center"/>
          </w:tcPr>
          <w:p w14:paraId="18CAC3DC" w14:textId="7468F4B2" w:rsidR="00567092" w:rsidRPr="00567092" w:rsidRDefault="00567092" w:rsidP="00954AA6">
            <w:pPr>
              <w:jc w:val="right"/>
              <w:rPr>
                <w:sz w:val="16"/>
                <w:szCs w:val="16"/>
              </w:rPr>
            </w:pPr>
            <w:r w:rsidRPr="00567092">
              <w:rPr>
                <w:sz w:val="16"/>
                <w:szCs w:val="16"/>
              </w:rPr>
              <w:t>2.083.833,07</w:t>
            </w:r>
          </w:p>
        </w:tc>
      </w:tr>
      <w:tr w:rsidR="00567092" w:rsidRPr="00723F3F" w14:paraId="7DA36E57" w14:textId="35C896C7" w:rsidTr="00954AA6">
        <w:trPr>
          <w:trHeight w:val="255"/>
          <w:jc w:val="center"/>
        </w:trPr>
        <w:tc>
          <w:tcPr>
            <w:tcW w:w="2287" w:type="dxa"/>
            <w:tcBorders>
              <w:top w:val="nil"/>
              <w:left w:val="nil"/>
              <w:bottom w:val="nil"/>
              <w:right w:val="nil"/>
            </w:tcBorders>
            <w:shd w:val="clear" w:color="auto" w:fill="auto"/>
            <w:noWrap/>
            <w:vAlign w:val="center"/>
            <w:hideMark/>
          </w:tcPr>
          <w:p w14:paraId="736EE96A" w14:textId="77777777" w:rsidR="00567092" w:rsidRPr="00723F3F" w:rsidRDefault="00567092" w:rsidP="00567092">
            <w:pPr>
              <w:jc w:val="center"/>
              <w:rPr>
                <w:rFonts w:eastAsia="Times New Roman"/>
                <w:sz w:val="16"/>
                <w:szCs w:val="16"/>
              </w:rPr>
            </w:pPr>
            <w:r w:rsidRPr="00723F3F">
              <w:rPr>
                <w:rFonts w:eastAsia="Times New Roman"/>
                <w:sz w:val="16"/>
                <w:szCs w:val="16"/>
              </w:rPr>
              <w:t>2011</w:t>
            </w:r>
          </w:p>
        </w:tc>
        <w:tc>
          <w:tcPr>
            <w:tcW w:w="1924" w:type="dxa"/>
            <w:tcBorders>
              <w:top w:val="nil"/>
              <w:left w:val="nil"/>
              <w:bottom w:val="nil"/>
              <w:right w:val="nil"/>
            </w:tcBorders>
            <w:shd w:val="clear" w:color="auto" w:fill="auto"/>
            <w:noWrap/>
            <w:vAlign w:val="center"/>
            <w:hideMark/>
          </w:tcPr>
          <w:p w14:paraId="00FD7A4D" w14:textId="77777777" w:rsidR="00567092" w:rsidRPr="00723F3F" w:rsidRDefault="00567092" w:rsidP="00567092">
            <w:pPr>
              <w:rPr>
                <w:rFonts w:eastAsia="Times New Roman"/>
                <w:sz w:val="16"/>
                <w:szCs w:val="16"/>
              </w:rPr>
            </w:pPr>
            <w:r w:rsidRPr="00723F3F">
              <w:rPr>
                <w:rFonts w:eastAsia="Times New Roman"/>
                <w:sz w:val="16"/>
                <w:szCs w:val="16"/>
              </w:rPr>
              <w:t>Base imponible negativa</w:t>
            </w:r>
          </w:p>
        </w:tc>
        <w:tc>
          <w:tcPr>
            <w:tcW w:w="1885" w:type="dxa"/>
            <w:tcBorders>
              <w:top w:val="nil"/>
              <w:left w:val="nil"/>
              <w:bottom w:val="nil"/>
              <w:right w:val="nil"/>
            </w:tcBorders>
            <w:shd w:val="clear" w:color="auto" w:fill="auto"/>
            <w:noWrap/>
            <w:vAlign w:val="center"/>
            <w:hideMark/>
          </w:tcPr>
          <w:p w14:paraId="174999F1" w14:textId="08317723" w:rsidR="00567092" w:rsidRPr="00567092" w:rsidRDefault="00567092" w:rsidP="00954AA6">
            <w:pPr>
              <w:jc w:val="right"/>
              <w:rPr>
                <w:rFonts w:eastAsia="Times New Roman"/>
                <w:sz w:val="16"/>
                <w:szCs w:val="16"/>
                <w:highlight w:val="yellow"/>
              </w:rPr>
            </w:pPr>
            <w:r w:rsidRPr="00567092">
              <w:rPr>
                <w:sz w:val="16"/>
                <w:szCs w:val="16"/>
              </w:rPr>
              <w:t>2.530.082,21</w:t>
            </w:r>
          </w:p>
        </w:tc>
        <w:tc>
          <w:tcPr>
            <w:tcW w:w="1405" w:type="dxa"/>
            <w:tcBorders>
              <w:top w:val="nil"/>
              <w:left w:val="nil"/>
              <w:bottom w:val="nil"/>
              <w:right w:val="nil"/>
            </w:tcBorders>
            <w:vAlign w:val="center"/>
          </w:tcPr>
          <w:p w14:paraId="2AEB8CF1" w14:textId="79804B18" w:rsidR="00567092" w:rsidRPr="00567092" w:rsidRDefault="00567092" w:rsidP="00954AA6">
            <w:pPr>
              <w:jc w:val="right"/>
              <w:rPr>
                <w:sz w:val="16"/>
                <w:szCs w:val="16"/>
              </w:rPr>
            </w:pPr>
            <w:r w:rsidRPr="00567092">
              <w:rPr>
                <w:sz w:val="16"/>
                <w:szCs w:val="16"/>
              </w:rPr>
              <w:t xml:space="preserve"> -</w:t>
            </w:r>
          </w:p>
        </w:tc>
        <w:tc>
          <w:tcPr>
            <w:tcW w:w="1280" w:type="dxa"/>
            <w:tcBorders>
              <w:top w:val="nil"/>
              <w:left w:val="nil"/>
              <w:bottom w:val="nil"/>
              <w:right w:val="nil"/>
            </w:tcBorders>
            <w:vAlign w:val="center"/>
          </w:tcPr>
          <w:p w14:paraId="6B4D318C" w14:textId="49CDD06E" w:rsidR="00567092" w:rsidRPr="00567092" w:rsidRDefault="00567092" w:rsidP="00954AA6">
            <w:pPr>
              <w:jc w:val="right"/>
              <w:rPr>
                <w:sz w:val="16"/>
                <w:szCs w:val="16"/>
              </w:rPr>
            </w:pPr>
            <w:r w:rsidRPr="00567092">
              <w:rPr>
                <w:sz w:val="16"/>
                <w:szCs w:val="16"/>
              </w:rPr>
              <w:t>2.530.082,21</w:t>
            </w:r>
          </w:p>
        </w:tc>
      </w:tr>
      <w:tr w:rsidR="00567092" w:rsidRPr="00723F3F" w14:paraId="1C909A56" w14:textId="0B72BF39" w:rsidTr="00954AA6">
        <w:trPr>
          <w:trHeight w:val="255"/>
          <w:jc w:val="center"/>
        </w:trPr>
        <w:tc>
          <w:tcPr>
            <w:tcW w:w="2287" w:type="dxa"/>
            <w:tcBorders>
              <w:top w:val="nil"/>
              <w:left w:val="nil"/>
              <w:bottom w:val="nil"/>
              <w:right w:val="nil"/>
            </w:tcBorders>
            <w:shd w:val="clear" w:color="auto" w:fill="auto"/>
            <w:noWrap/>
            <w:vAlign w:val="center"/>
            <w:hideMark/>
          </w:tcPr>
          <w:p w14:paraId="01CD095E" w14:textId="77777777" w:rsidR="00567092" w:rsidRPr="00723F3F" w:rsidRDefault="00567092" w:rsidP="00567092">
            <w:pPr>
              <w:jc w:val="center"/>
              <w:rPr>
                <w:rFonts w:eastAsia="Times New Roman"/>
                <w:sz w:val="16"/>
                <w:szCs w:val="16"/>
              </w:rPr>
            </w:pPr>
            <w:r w:rsidRPr="00723F3F">
              <w:rPr>
                <w:rFonts w:eastAsia="Times New Roman"/>
                <w:sz w:val="16"/>
                <w:szCs w:val="16"/>
              </w:rPr>
              <w:t>2012</w:t>
            </w:r>
          </w:p>
        </w:tc>
        <w:tc>
          <w:tcPr>
            <w:tcW w:w="1924" w:type="dxa"/>
            <w:tcBorders>
              <w:top w:val="nil"/>
              <w:left w:val="nil"/>
              <w:bottom w:val="nil"/>
              <w:right w:val="nil"/>
            </w:tcBorders>
            <w:shd w:val="clear" w:color="auto" w:fill="auto"/>
            <w:noWrap/>
            <w:vAlign w:val="center"/>
            <w:hideMark/>
          </w:tcPr>
          <w:p w14:paraId="31ECF97F" w14:textId="77777777" w:rsidR="00567092" w:rsidRPr="00723F3F" w:rsidRDefault="00567092" w:rsidP="00567092">
            <w:pPr>
              <w:rPr>
                <w:rFonts w:eastAsia="Times New Roman"/>
                <w:sz w:val="16"/>
                <w:szCs w:val="16"/>
              </w:rPr>
            </w:pPr>
            <w:r w:rsidRPr="00723F3F">
              <w:rPr>
                <w:rFonts w:eastAsia="Times New Roman"/>
                <w:sz w:val="16"/>
                <w:szCs w:val="16"/>
              </w:rPr>
              <w:t>Base imponible negativa</w:t>
            </w:r>
          </w:p>
        </w:tc>
        <w:tc>
          <w:tcPr>
            <w:tcW w:w="1885" w:type="dxa"/>
            <w:tcBorders>
              <w:top w:val="nil"/>
              <w:left w:val="nil"/>
              <w:bottom w:val="nil"/>
              <w:right w:val="nil"/>
            </w:tcBorders>
            <w:shd w:val="clear" w:color="auto" w:fill="auto"/>
            <w:noWrap/>
            <w:vAlign w:val="center"/>
            <w:hideMark/>
          </w:tcPr>
          <w:p w14:paraId="6B2C4644" w14:textId="55BDF36A" w:rsidR="00567092" w:rsidRPr="00567092" w:rsidRDefault="00567092" w:rsidP="00954AA6">
            <w:pPr>
              <w:jc w:val="right"/>
              <w:rPr>
                <w:rFonts w:eastAsia="Times New Roman"/>
                <w:sz w:val="16"/>
                <w:szCs w:val="16"/>
                <w:highlight w:val="yellow"/>
              </w:rPr>
            </w:pPr>
            <w:r w:rsidRPr="00567092">
              <w:rPr>
                <w:sz w:val="16"/>
                <w:szCs w:val="16"/>
              </w:rPr>
              <w:t>2.118.377,26</w:t>
            </w:r>
          </w:p>
        </w:tc>
        <w:tc>
          <w:tcPr>
            <w:tcW w:w="1405" w:type="dxa"/>
            <w:tcBorders>
              <w:top w:val="nil"/>
              <w:left w:val="nil"/>
              <w:bottom w:val="nil"/>
              <w:right w:val="nil"/>
            </w:tcBorders>
            <w:vAlign w:val="center"/>
          </w:tcPr>
          <w:p w14:paraId="4D9A57F9" w14:textId="77C1D769" w:rsidR="00567092" w:rsidRPr="00567092" w:rsidRDefault="00567092" w:rsidP="00954AA6">
            <w:pPr>
              <w:jc w:val="right"/>
              <w:rPr>
                <w:sz w:val="16"/>
                <w:szCs w:val="16"/>
              </w:rPr>
            </w:pPr>
            <w:r w:rsidRPr="00567092">
              <w:rPr>
                <w:sz w:val="16"/>
                <w:szCs w:val="16"/>
              </w:rPr>
              <w:t xml:space="preserve"> -</w:t>
            </w:r>
          </w:p>
        </w:tc>
        <w:tc>
          <w:tcPr>
            <w:tcW w:w="1280" w:type="dxa"/>
            <w:tcBorders>
              <w:top w:val="nil"/>
              <w:left w:val="nil"/>
              <w:bottom w:val="nil"/>
              <w:right w:val="nil"/>
            </w:tcBorders>
            <w:vAlign w:val="center"/>
          </w:tcPr>
          <w:p w14:paraId="4C1EAED2" w14:textId="6271D3F9" w:rsidR="00567092" w:rsidRPr="00567092" w:rsidRDefault="00567092" w:rsidP="00954AA6">
            <w:pPr>
              <w:jc w:val="right"/>
              <w:rPr>
                <w:sz w:val="16"/>
                <w:szCs w:val="16"/>
              </w:rPr>
            </w:pPr>
            <w:r w:rsidRPr="00567092">
              <w:rPr>
                <w:sz w:val="16"/>
                <w:szCs w:val="16"/>
              </w:rPr>
              <w:t>2.118.377,26</w:t>
            </w:r>
          </w:p>
        </w:tc>
      </w:tr>
      <w:tr w:rsidR="00567092" w:rsidRPr="00723F3F" w14:paraId="25A070BF" w14:textId="50258235" w:rsidTr="00954AA6">
        <w:trPr>
          <w:trHeight w:val="255"/>
          <w:jc w:val="center"/>
        </w:trPr>
        <w:tc>
          <w:tcPr>
            <w:tcW w:w="2287" w:type="dxa"/>
            <w:tcBorders>
              <w:top w:val="nil"/>
              <w:left w:val="nil"/>
              <w:bottom w:val="nil"/>
              <w:right w:val="nil"/>
            </w:tcBorders>
            <w:shd w:val="clear" w:color="auto" w:fill="auto"/>
            <w:noWrap/>
            <w:vAlign w:val="center"/>
            <w:hideMark/>
          </w:tcPr>
          <w:p w14:paraId="727DA3FD" w14:textId="77777777" w:rsidR="00567092" w:rsidRPr="00723F3F" w:rsidRDefault="00567092" w:rsidP="00567092">
            <w:pPr>
              <w:jc w:val="center"/>
              <w:rPr>
                <w:rFonts w:eastAsia="Times New Roman"/>
                <w:sz w:val="16"/>
                <w:szCs w:val="16"/>
              </w:rPr>
            </w:pPr>
            <w:r w:rsidRPr="00723F3F">
              <w:rPr>
                <w:rFonts w:eastAsia="Times New Roman"/>
                <w:sz w:val="16"/>
                <w:szCs w:val="16"/>
              </w:rPr>
              <w:t>2013</w:t>
            </w:r>
          </w:p>
        </w:tc>
        <w:tc>
          <w:tcPr>
            <w:tcW w:w="1924" w:type="dxa"/>
            <w:tcBorders>
              <w:top w:val="nil"/>
              <w:left w:val="nil"/>
              <w:bottom w:val="nil"/>
              <w:right w:val="nil"/>
            </w:tcBorders>
            <w:shd w:val="clear" w:color="auto" w:fill="auto"/>
            <w:noWrap/>
            <w:vAlign w:val="center"/>
            <w:hideMark/>
          </w:tcPr>
          <w:p w14:paraId="59091D71" w14:textId="77777777" w:rsidR="00567092" w:rsidRPr="00723F3F" w:rsidRDefault="00567092" w:rsidP="00567092">
            <w:pPr>
              <w:rPr>
                <w:rFonts w:eastAsia="Times New Roman"/>
                <w:sz w:val="16"/>
                <w:szCs w:val="16"/>
              </w:rPr>
            </w:pPr>
            <w:r w:rsidRPr="00723F3F">
              <w:rPr>
                <w:rFonts w:eastAsia="Times New Roman"/>
                <w:sz w:val="16"/>
                <w:szCs w:val="16"/>
              </w:rPr>
              <w:t>Base imponible negativa</w:t>
            </w:r>
          </w:p>
        </w:tc>
        <w:tc>
          <w:tcPr>
            <w:tcW w:w="1885" w:type="dxa"/>
            <w:tcBorders>
              <w:top w:val="nil"/>
              <w:left w:val="nil"/>
              <w:bottom w:val="nil"/>
              <w:right w:val="nil"/>
            </w:tcBorders>
            <w:shd w:val="clear" w:color="auto" w:fill="auto"/>
            <w:noWrap/>
            <w:vAlign w:val="center"/>
            <w:hideMark/>
          </w:tcPr>
          <w:p w14:paraId="4DBB4DB1" w14:textId="14593ADE" w:rsidR="00567092" w:rsidRPr="00567092" w:rsidRDefault="00567092" w:rsidP="00954AA6">
            <w:pPr>
              <w:jc w:val="right"/>
              <w:rPr>
                <w:rFonts w:eastAsia="Times New Roman"/>
                <w:sz w:val="16"/>
                <w:szCs w:val="16"/>
                <w:highlight w:val="yellow"/>
              </w:rPr>
            </w:pPr>
            <w:r w:rsidRPr="00567092">
              <w:rPr>
                <w:sz w:val="16"/>
                <w:szCs w:val="16"/>
              </w:rPr>
              <w:t>1.365.508,47</w:t>
            </w:r>
          </w:p>
        </w:tc>
        <w:tc>
          <w:tcPr>
            <w:tcW w:w="1405" w:type="dxa"/>
            <w:tcBorders>
              <w:top w:val="nil"/>
              <w:left w:val="nil"/>
              <w:bottom w:val="nil"/>
              <w:right w:val="nil"/>
            </w:tcBorders>
            <w:vAlign w:val="center"/>
          </w:tcPr>
          <w:p w14:paraId="3A9A47E4" w14:textId="43DDE8F9" w:rsidR="00567092" w:rsidRPr="00567092" w:rsidRDefault="00567092" w:rsidP="00954AA6">
            <w:pPr>
              <w:jc w:val="right"/>
              <w:rPr>
                <w:sz w:val="16"/>
                <w:szCs w:val="16"/>
              </w:rPr>
            </w:pPr>
            <w:r w:rsidRPr="00567092">
              <w:rPr>
                <w:sz w:val="16"/>
                <w:szCs w:val="16"/>
              </w:rPr>
              <w:t xml:space="preserve"> -</w:t>
            </w:r>
          </w:p>
        </w:tc>
        <w:tc>
          <w:tcPr>
            <w:tcW w:w="1280" w:type="dxa"/>
            <w:tcBorders>
              <w:top w:val="nil"/>
              <w:left w:val="nil"/>
              <w:bottom w:val="nil"/>
              <w:right w:val="nil"/>
            </w:tcBorders>
            <w:vAlign w:val="center"/>
          </w:tcPr>
          <w:p w14:paraId="4A0115E0" w14:textId="333F796A" w:rsidR="00567092" w:rsidRPr="00567092" w:rsidRDefault="00567092" w:rsidP="00954AA6">
            <w:pPr>
              <w:jc w:val="right"/>
              <w:rPr>
                <w:sz w:val="16"/>
                <w:szCs w:val="16"/>
              </w:rPr>
            </w:pPr>
            <w:r w:rsidRPr="00567092">
              <w:rPr>
                <w:sz w:val="16"/>
                <w:szCs w:val="16"/>
              </w:rPr>
              <w:t>1.365.508,47</w:t>
            </w:r>
          </w:p>
        </w:tc>
      </w:tr>
      <w:tr w:rsidR="00567092" w:rsidRPr="00723F3F" w14:paraId="1A839253" w14:textId="26B11E6C" w:rsidTr="00954AA6">
        <w:trPr>
          <w:trHeight w:val="255"/>
          <w:jc w:val="center"/>
        </w:trPr>
        <w:tc>
          <w:tcPr>
            <w:tcW w:w="2287" w:type="dxa"/>
            <w:tcBorders>
              <w:top w:val="nil"/>
              <w:left w:val="nil"/>
              <w:bottom w:val="nil"/>
              <w:right w:val="nil"/>
            </w:tcBorders>
            <w:shd w:val="clear" w:color="auto" w:fill="auto"/>
            <w:noWrap/>
            <w:vAlign w:val="center"/>
            <w:hideMark/>
          </w:tcPr>
          <w:p w14:paraId="17120304" w14:textId="77777777" w:rsidR="00567092" w:rsidRPr="00723F3F" w:rsidRDefault="00567092" w:rsidP="00567092">
            <w:pPr>
              <w:jc w:val="center"/>
              <w:rPr>
                <w:rFonts w:eastAsia="Times New Roman"/>
                <w:sz w:val="16"/>
                <w:szCs w:val="16"/>
              </w:rPr>
            </w:pPr>
            <w:r w:rsidRPr="00723F3F">
              <w:rPr>
                <w:rFonts w:eastAsia="Times New Roman"/>
                <w:sz w:val="16"/>
                <w:szCs w:val="16"/>
              </w:rPr>
              <w:t>2014</w:t>
            </w:r>
          </w:p>
        </w:tc>
        <w:tc>
          <w:tcPr>
            <w:tcW w:w="1924" w:type="dxa"/>
            <w:tcBorders>
              <w:top w:val="nil"/>
              <w:left w:val="nil"/>
              <w:bottom w:val="nil"/>
              <w:right w:val="nil"/>
            </w:tcBorders>
            <w:shd w:val="clear" w:color="auto" w:fill="auto"/>
            <w:noWrap/>
            <w:vAlign w:val="center"/>
            <w:hideMark/>
          </w:tcPr>
          <w:p w14:paraId="290A69B3" w14:textId="77777777" w:rsidR="00567092" w:rsidRPr="00723F3F" w:rsidRDefault="00567092" w:rsidP="00567092">
            <w:pPr>
              <w:rPr>
                <w:rFonts w:eastAsia="Times New Roman"/>
                <w:sz w:val="16"/>
                <w:szCs w:val="16"/>
              </w:rPr>
            </w:pPr>
            <w:r w:rsidRPr="00723F3F">
              <w:rPr>
                <w:rFonts w:eastAsia="Times New Roman"/>
                <w:sz w:val="16"/>
                <w:szCs w:val="16"/>
              </w:rPr>
              <w:t>Base imponible negativa</w:t>
            </w:r>
          </w:p>
        </w:tc>
        <w:tc>
          <w:tcPr>
            <w:tcW w:w="1885" w:type="dxa"/>
            <w:tcBorders>
              <w:top w:val="nil"/>
              <w:left w:val="nil"/>
              <w:bottom w:val="nil"/>
              <w:right w:val="nil"/>
            </w:tcBorders>
            <w:shd w:val="clear" w:color="auto" w:fill="auto"/>
            <w:noWrap/>
            <w:vAlign w:val="center"/>
            <w:hideMark/>
          </w:tcPr>
          <w:p w14:paraId="0F85C92E" w14:textId="70A59A91" w:rsidR="00567092" w:rsidRPr="00567092" w:rsidRDefault="00567092" w:rsidP="00954AA6">
            <w:pPr>
              <w:jc w:val="right"/>
              <w:rPr>
                <w:rFonts w:eastAsia="Times New Roman"/>
                <w:sz w:val="16"/>
                <w:szCs w:val="16"/>
                <w:highlight w:val="yellow"/>
              </w:rPr>
            </w:pPr>
            <w:r w:rsidRPr="00567092">
              <w:rPr>
                <w:sz w:val="16"/>
                <w:szCs w:val="16"/>
              </w:rPr>
              <w:t>1.182.908,09</w:t>
            </w:r>
          </w:p>
        </w:tc>
        <w:tc>
          <w:tcPr>
            <w:tcW w:w="1405" w:type="dxa"/>
            <w:tcBorders>
              <w:top w:val="nil"/>
              <w:left w:val="nil"/>
              <w:bottom w:val="nil"/>
              <w:right w:val="nil"/>
            </w:tcBorders>
            <w:vAlign w:val="center"/>
          </w:tcPr>
          <w:p w14:paraId="56E715BC" w14:textId="2521B2FF" w:rsidR="00567092" w:rsidRPr="00567092" w:rsidRDefault="00567092" w:rsidP="00954AA6">
            <w:pPr>
              <w:jc w:val="right"/>
              <w:rPr>
                <w:sz w:val="16"/>
                <w:szCs w:val="16"/>
              </w:rPr>
            </w:pPr>
            <w:r w:rsidRPr="00567092">
              <w:rPr>
                <w:sz w:val="16"/>
                <w:szCs w:val="16"/>
              </w:rPr>
              <w:t xml:space="preserve"> -</w:t>
            </w:r>
          </w:p>
        </w:tc>
        <w:tc>
          <w:tcPr>
            <w:tcW w:w="1280" w:type="dxa"/>
            <w:tcBorders>
              <w:top w:val="nil"/>
              <w:left w:val="nil"/>
              <w:bottom w:val="nil"/>
              <w:right w:val="nil"/>
            </w:tcBorders>
            <w:vAlign w:val="center"/>
          </w:tcPr>
          <w:p w14:paraId="73E8EC39" w14:textId="18DCB229" w:rsidR="00567092" w:rsidRPr="00567092" w:rsidRDefault="00567092" w:rsidP="00954AA6">
            <w:pPr>
              <w:jc w:val="right"/>
              <w:rPr>
                <w:sz w:val="16"/>
                <w:szCs w:val="16"/>
              </w:rPr>
            </w:pPr>
            <w:r w:rsidRPr="00567092">
              <w:rPr>
                <w:sz w:val="16"/>
                <w:szCs w:val="16"/>
              </w:rPr>
              <w:t>1.182.908,09</w:t>
            </w:r>
          </w:p>
        </w:tc>
      </w:tr>
      <w:tr w:rsidR="00567092" w:rsidRPr="00723F3F" w14:paraId="36EBF662" w14:textId="49BB427D" w:rsidTr="00954AA6">
        <w:trPr>
          <w:trHeight w:val="255"/>
          <w:jc w:val="center"/>
        </w:trPr>
        <w:tc>
          <w:tcPr>
            <w:tcW w:w="2287" w:type="dxa"/>
            <w:tcBorders>
              <w:top w:val="nil"/>
              <w:left w:val="nil"/>
              <w:right w:val="nil"/>
            </w:tcBorders>
            <w:shd w:val="clear" w:color="auto" w:fill="auto"/>
            <w:noWrap/>
            <w:vAlign w:val="center"/>
            <w:hideMark/>
          </w:tcPr>
          <w:p w14:paraId="44913EDD" w14:textId="77777777" w:rsidR="00567092" w:rsidRPr="00723F3F" w:rsidRDefault="00567092" w:rsidP="00567092">
            <w:pPr>
              <w:jc w:val="center"/>
              <w:rPr>
                <w:rFonts w:eastAsia="Times New Roman"/>
                <w:sz w:val="16"/>
                <w:szCs w:val="16"/>
              </w:rPr>
            </w:pPr>
            <w:r w:rsidRPr="00723F3F">
              <w:rPr>
                <w:rFonts w:eastAsia="Times New Roman"/>
                <w:sz w:val="16"/>
                <w:szCs w:val="16"/>
              </w:rPr>
              <w:t>2015</w:t>
            </w:r>
          </w:p>
        </w:tc>
        <w:tc>
          <w:tcPr>
            <w:tcW w:w="1924" w:type="dxa"/>
            <w:tcBorders>
              <w:top w:val="nil"/>
              <w:left w:val="nil"/>
              <w:right w:val="nil"/>
            </w:tcBorders>
            <w:shd w:val="clear" w:color="auto" w:fill="auto"/>
            <w:noWrap/>
            <w:vAlign w:val="center"/>
            <w:hideMark/>
          </w:tcPr>
          <w:p w14:paraId="13256D6B" w14:textId="77777777" w:rsidR="00567092" w:rsidRPr="00723F3F" w:rsidRDefault="00567092" w:rsidP="00567092">
            <w:pPr>
              <w:rPr>
                <w:rFonts w:eastAsia="Times New Roman"/>
                <w:sz w:val="16"/>
                <w:szCs w:val="16"/>
              </w:rPr>
            </w:pPr>
            <w:r w:rsidRPr="00723F3F">
              <w:rPr>
                <w:rFonts w:eastAsia="Times New Roman"/>
                <w:sz w:val="16"/>
                <w:szCs w:val="16"/>
              </w:rPr>
              <w:t>Base imponible negativa</w:t>
            </w:r>
          </w:p>
        </w:tc>
        <w:tc>
          <w:tcPr>
            <w:tcW w:w="1885" w:type="dxa"/>
            <w:tcBorders>
              <w:top w:val="nil"/>
              <w:left w:val="nil"/>
              <w:right w:val="nil"/>
            </w:tcBorders>
            <w:shd w:val="clear" w:color="auto" w:fill="auto"/>
            <w:noWrap/>
            <w:vAlign w:val="center"/>
            <w:hideMark/>
          </w:tcPr>
          <w:p w14:paraId="1DE36024" w14:textId="362367E3" w:rsidR="00567092" w:rsidRPr="00567092" w:rsidRDefault="00567092" w:rsidP="00954AA6">
            <w:pPr>
              <w:jc w:val="right"/>
              <w:rPr>
                <w:rFonts w:eastAsia="Times New Roman"/>
                <w:sz w:val="16"/>
                <w:szCs w:val="16"/>
                <w:highlight w:val="yellow"/>
              </w:rPr>
            </w:pPr>
            <w:r w:rsidRPr="00567092">
              <w:rPr>
                <w:sz w:val="16"/>
                <w:szCs w:val="16"/>
              </w:rPr>
              <w:t>1.213.335,43</w:t>
            </w:r>
          </w:p>
        </w:tc>
        <w:tc>
          <w:tcPr>
            <w:tcW w:w="1405" w:type="dxa"/>
            <w:tcBorders>
              <w:top w:val="nil"/>
              <w:left w:val="nil"/>
              <w:right w:val="nil"/>
            </w:tcBorders>
            <w:vAlign w:val="center"/>
          </w:tcPr>
          <w:p w14:paraId="1126D761" w14:textId="65AB9A58" w:rsidR="00567092" w:rsidRPr="00567092" w:rsidRDefault="00567092" w:rsidP="00954AA6">
            <w:pPr>
              <w:jc w:val="right"/>
              <w:rPr>
                <w:sz w:val="16"/>
                <w:szCs w:val="16"/>
              </w:rPr>
            </w:pPr>
            <w:r w:rsidRPr="00567092">
              <w:rPr>
                <w:sz w:val="16"/>
                <w:szCs w:val="16"/>
              </w:rPr>
              <w:t xml:space="preserve"> -</w:t>
            </w:r>
          </w:p>
        </w:tc>
        <w:tc>
          <w:tcPr>
            <w:tcW w:w="1280" w:type="dxa"/>
            <w:tcBorders>
              <w:top w:val="nil"/>
              <w:left w:val="nil"/>
              <w:right w:val="nil"/>
            </w:tcBorders>
            <w:vAlign w:val="center"/>
          </w:tcPr>
          <w:p w14:paraId="2FF291F3" w14:textId="034D1ECE" w:rsidR="00567092" w:rsidRPr="00567092" w:rsidRDefault="00567092" w:rsidP="00954AA6">
            <w:pPr>
              <w:jc w:val="right"/>
              <w:rPr>
                <w:sz w:val="16"/>
                <w:szCs w:val="16"/>
              </w:rPr>
            </w:pPr>
            <w:r w:rsidRPr="00567092">
              <w:rPr>
                <w:sz w:val="16"/>
                <w:szCs w:val="16"/>
              </w:rPr>
              <w:t>1.213.335,43</w:t>
            </w:r>
          </w:p>
        </w:tc>
      </w:tr>
      <w:tr w:rsidR="00567092" w:rsidRPr="00723F3F" w14:paraId="5082F6ED" w14:textId="07D5D745" w:rsidTr="00954AA6">
        <w:trPr>
          <w:trHeight w:val="255"/>
          <w:jc w:val="center"/>
        </w:trPr>
        <w:tc>
          <w:tcPr>
            <w:tcW w:w="2287" w:type="dxa"/>
            <w:tcBorders>
              <w:top w:val="nil"/>
              <w:left w:val="nil"/>
              <w:right w:val="nil"/>
            </w:tcBorders>
            <w:shd w:val="clear" w:color="auto" w:fill="auto"/>
            <w:noWrap/>
            <w:vAlign w:val="center"/>
            <w:hideMark/>
          </w:tcPr>
          <w:p w14:paraId="1557D503" w14:textId="77777777" w:rsidR="00567092" w:rsidRPr="00723F3F" w:rsidRDefault="00567092" w:rsidP="00567092">
            <w:pPr>
              <w:jc w:val="center"/>
              <w:rPr>
                <w:rFonts w:eastAsia="Times New Roman"/>
                <w:sz w:val="16"/>
                <w:szCs w:val="16"/>
              </w:rPr>
            </w:pPr>
            <w:r w:rsidRPr="00723F3F">
              <w:rPr>
                <w:rFonts w:eastAsia="Times New Roman"/>
                <w:sz w:val="16"/>
                <w:szCs w:val="16"/>
              </w:rPr>
              <w:t>2016</w:t>
            </w:r>
          </w:p>
        </w:tc>
        <w:tc>
          <w:tcPr>
            <w:tcW w:w="1924" w:type="dxa"/>
            <w:tcBorders>
              <w:top w:val="nil"/>
              <w:left w:val="nil"/>
              <w:right w:val="nil"/>
            </w:tcBorders>
            <w:shd w:val="clear" w:color="auto" w:fill="auto"/>
            <w:noWrap/>
            <w:vAlign w:val="center"/>
            <w:hideMark/>
          </w:tcPr>
          <w:p w14:paraId="65938B89" w14:textId="77777777" w:rsidR="00567092" w:rsidRPr="00723F3F" w:rsidRDefault="00567092" w:rsidP="00567092">
            <w:pPr>
              <w:rPr>
                <w:rFonts w:eastAsia="Times New Roman"/>
                <w:sz w:val="16"/>
                <w:szCs w:val="16"/>
              </w:rPr>
            </w:pPr>
            <w:r w:rsidRPr="00723F3F">
              <w:rPr>
                <w:rFonts w:eastAsia="Times New Roman"/>
                <w:sz w:val="16"/>
                <w:szCs w:val="16"/>
              </w:rPr>
              <w:t>Base imponible negativa</w:t>
            </w:r>
          </w:p>
        </w:tc>
        <w:tc>
          <w:tcPr>
            <w:tcW w:w="1885" w:type="dxa"/>
            <w:tcBorders>
              <w:top w:val="nil"/>
              <w:left w:val="nil"/>
              <w:right w:val="nil"/>
            </w:tcBorders>
            <w:shd w:val="clear" w:color="auto" w:fill="auto"/>
            <w:noWrap/>
            <w:vAlign w:val="center"/>
            <w:hideMark/>
          </w:tcPr>
          <w:p w14:paraId="685CF07E" w14:textId="6C7177F2" w:rsidR="00567092" w:rsidRPr="00567092" w:rsidRDefault="00567092" w:rsidP="00954AA6">
            <w:pPr>
              <w:jc w:val="right"/>
              <w:rPr>
                <w:rFonts w:eastAsia="Times New Roman"/>
                <w:sz w:val="16"/>
                <w:szCs w:val="16"/>
                <w:highlight w:val="yellow"/>
              </w:rPr>
            </w:pPr>
            <w:r w:rsidRPr="00567092">
              <w:rPr>
                <w:sz w:val="16"/>
                <w:szCs w:val="16"/>
              </w:rPr>
              <w:t>739.569,14</w:t>
            </w:r>
          </w:p>
        </w:tc>
        <w:tc>
          <w:tcPr>
            <w:tcW w:w="1405" w:type="dxa"/>
            <w:tcBorders>
              <w:top w:val="nil"/>
              <w:left w:val="nil"/>
              <w:right w:val="nil"/>
            </w:tcBorders>
            <w:vAlign w:val="center"/>
          </w:tcPr>
          <w:p w14:paraId="0FFA6D72" w14:textId="40A3697A" w:rsidR="00567092" w:rsidRPr="00567092" w:rsidRDefault="00567092" w:rsidP="00954AA6">
            <w:pPr>
              <w:jc w:val="right"/>
              <w:rPr>
                <w:sz w:val="16"/>
                <w:szCs w:val="16"/>
              </w:rPr>
            </w:pPr>
            <w:r w:rsidRPr="00567092">
              <w:rPr>
                <w:sz w:val="16"/>
                <w:szCs w:val="16"/>
              </w:rPr>
              <w:t xml:space="preserve"> -</w:t>
            </w:r>
          </w:p>
        </w:tc>
        <w:tc>
          <w:tcPr>
            <w:tcW w:w="1280" w:type="dxa"/>
            <w:tcBorders>
              <w:top w:val="nil"/>
              <w:left w:val="nil"/>
              <w:right w:val="nil"/>
            </w:tcBorders>
            <w:vAlign w:val="center"/>
          </w:tcPr>
          <w:p w14:paraId="31B02A30" w14:textId="58124058" w:rsidR="00567092" w:rsidRPr="00567092" w:rsidRDefault="00567092" w:rsidP="00954AA6">
            <w:pPr>
              <w:jc w:val="right"/>
              <w:rPr>
                <w:sz w:val="16"/>
                <w:szCs w:val="16"/>
              </w:rPr>
            </w:pPr>
            <w:r w:rsidRPr="00567092">
              <w:rPr>
                <w:sz w:val="16"/>
                <w:szCs w:val="16"/>
              </w:rPr>
              <w:t>739.569,14</w:t>
            </w:r>
          </w:p>
        </w:tc>
      </w:tr>
      <w:tr w:rsidR="00567092" w:rsidRPr="00723F3F" w14:paraId="6B01DD97" w14:textId="4E4F4F26" w:rsidTr="00954AA6">
        <w:trPr>
          <w:trHeight w:val="255"/>
          <w:jc w:val="center"/>
        </w:trPr>
        <w:tc>
          <w:tcPr>
            <w:tcW w:w="2287" w:type="dxa"/>
            <w:tcBorders>
              <w:left w:val="nil"/>
              <w:right w:val="nil"/>
            </w:tcBorders>
            <w:shd w:val="clear" w:color="auto" w:fill="auto"/>
            <w:noWrap/>
            <w:vAlign w:val="center"/>
          </w:tcPr>
          <w:p w14:paraId="4B47C42E" w14:textId="77777777" w:rsidR="00567092" w:rsidRPr="00723F3F" w:rsidRDefault="00567092" w:rsidP="0056709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23F3F">
              <w:rPr>
                <w:sz w:val="16"/>
                <w:szCs w:val="16"/>
              </w:rPr>
              <w:t>2017</w:t>
            </w:r>
          </w:p>
        </w:tc>
        <w:tc>
          <w:tcPr>
            <w:tcW w:w="1924" w:type="dxa"/>
            <w:tcBorders>
              <w:left w:val="nil"/>
              <w:right w:val="nil"/>
            </w:tcBorders>
            <w:shd w:val="clear" w:color="auto" w:fill="auto"/>
            <w:noWrap/>
            <w:vAlign w:val="center"/>
          </w:tcPr>
          <w:p w14:paraId="1B3DE9A3" w14:textId="77777777" w:rsidR="00567092" w:rsidRPr="00723F3F" w:rsidRDefault="00567092" w:rsidP="00567092">
            <w:pPr>
              <w:rPr>
                <w:sz w:val="16"/>
                <w:szCs w:val="16"/>
              </w:rPr>
            </w:pPr>
            <w:r w:rsidRPr="00723F3F">
              <w:rPr>
                <w:sz w:val="16"/>
                <w:szCs w:val="16"/>
              </w:rPr>
              <w:t>Base imponible negativa</w:t>
            </w:r>
          </w:p>
        </w:tc>
        <w:tc>
          <w:tcPr>
            <w:tcW w:w="1885" w:type="dxa"/>
            <w:tcBorders>
              <w:left w:val="nil"/>
              <w:right w:val="nil"/>
            </w:tcBorders>
            <w:shd w:val="clear" w:color="auto" w:fill="auto"/>
            <w:noWrap/>
            <w:vAlign w:val="center"/>
          </w:tcPr>
          <w:p w14:paraId="3138CC49" w14:textId="7F598FB5" w:rsidR="00567092" w:rsidRPr="00567092" w:rsidRDefault="00567092" w:rsidP="00954AA6">
            <w:pPr>
              <w:jc w:val="right"/>
              <w:rPr>
                <w:sz w:val="16"/>
                <w:szCs w:val="16"/>
                <w:highlight w:val="yellow"/>
              </w:rPr>
            </w:pPr>
            <w:r w:rsidRPr="00567092">
              <w:rPr>
                <w:sz w:val="16"/>
                <w:szCs w:val="16"/>
              </w:rPr>
              <w:t>281.073,74</w:t>
            </w:r>
          </w:p>
        </w:tc>
        <w:tc>
          <w:tcPr>
            <w:tcW w:w="1405" w:type="dxa"/>
            <w:tcBorders>
              <w:left w:val="nil"/>
              <w:right w:val="nil"/>
            </w:tcBorders>
            <w:vAlign w:val="center"/>
          </w:tcPr>
          <w:p w14:paraId="1FF1CEB6" w14:textId="4F3B4456" w:rsidR="00567092" w:rsidRPr="00567092" w:rsidRDefault="00567092" w:rsidP="00954AA6">
            <w:pPr>
              <w:jc w:val="right"/>
              <w:rPr>
                <w:sz w:val="16"/>
                <w:szCs w:val="16"/>
              </w:rPr>
            </w:pPr>
            <w:r w:rsidRPr="00567092">
              <w:rPr>
                <w:sz w:val="16"/>
                <w:szCs w:val="16"/>
              </w:rPr>
              <w:t xml:space="preserve"> -</w:t>
            </w:r>
          </w:p>
        </w:tc>
        <w:tc>
          <w:tcPr>
            <w:tcW w:w="1280" w:type="dxa"/>
            <w:tcBorders>
              <w:left w:val="nil"/>
              <w:right w:val="nil"/>
            </w:tcBorders>
            <w:vAlign w:val="center"/>
          </w:tcPr>
          <w:p w14:paraId="539C4B3B" w14:textId="2FB98550" w:rsidR="00567092" w:rsidRPr="00567092" w:rsidRDefault="00567092" w:rsidP="00954AA6">
            <w:pPr>
              <w:jc w:val="right"/>
              <w:rPr>
                <w:sz w:val="16"/>
                <w:szCs w:val="16"/>
              </w:rPr>
            </w:pPr>
            <w:r w:rsidRPr="00567092">
              <w:rPr>
                <w:sz w:val="16"/>
                <w:szCs w:val="16"/>
              </w:rPr>
              <w:t>281.073,74</w:t>
            </w:r>
          </w:p>
        </w:tc>
      </w:tr>
      <w:tr w:rsidR="00567092" w:rsidRPr="00723F3F" w14:paraId="40D45F87" w14:textId="2DFEFBE3" w:rsidTr="00954AA6">
        <w:trPr>
          <w:trHeight w:val="255"/>
          <w:jc w:val="center"/>
        </w:trPr>
        <w:tc>
          <w:tcPr>
            <w:tcW w:w="2287" w:type="dxa"/>
            <w:tcBorders>
              <w:left w:val="nil"/>
              <w:right w:val="nil"/>
            </w:tcBorders>
            <w:shd w:val="clear" w:color="auto" w:fill="auto"/>
            <w:noWrap/>
            <w:vAlign w:val="center"/>
          </w:tcPr>
          <w:p w14:paraId="419ED83A" w14:textId="77777777" w:rsidR="00567092" w:rsidRPr="00723F3F" w:rsidRDefault="00567092" w:rsidP="0056709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23F3F">
              <w:rPr>
                <w:sz w:val="16"/>
                <w:szCs w:val="16"/>
              </w:rPr>
              <w:t>2018</w:t>
            </w:r>
          </w:p>
        </w:tc>
        <w:tc>
          <w:tcPr>
            <w:tcW w:w="1924" w:type="dxa"/>
            <w:tcBorders>
              <w:left w:val="nil"/>
              <w:right w:val="nil"/>
            </w:tcBorders>
            <w:shd w:val="clear" w:color="auto" w:fill="auto"/>
            <w:noWrap/>
            <w:vAlign w:val="center"/>
          </w:tcPr>
          <w:p w14:paraId="05D9F1FB" w14:textId="77777777" w:rsidR="00567092" w:rsidRPr="00723F3F" w:rsidRDefault="00567092" w:rsidP="00567092">
            <w:pPr>
              <w:rPr>
                <w:sz w:val="16"/>
                <w:szCs w:val="16"/>
              </w:rPr>
            </w:pPr>
            <w:r w:rsidRPr="00723F3F">
              <w:rPr>
                <w:sz w:val="16"/>
                <w:szCs w:val="16"/>
              </w:rPr>
              <w:t>Base imponible negativa</w:t>
            </w:r>
          </w:p>
        </w:tc>
        <w:tc>
          <w:tcPr>
            <w:tcW w:w="1885" w:type="dxa"/>
            <w:tcBorders>
              <w:left w:val="nil"/>
              <w:right w:val="nil"/>
            </w:tcBorders>
            <w:shd w:val="clear" w:color="auto" w:fill="auto"/>
            <w:noWrap/>
            <w:vAlign w:val="center"/>
          </w:tcPr>
          <w:p w14:paraId="1524D38C" w14:textId="3A62B167" w:rsidR="00567092" w:rsidRPr="00567092" w:rsidRDefault="00567092" w:rsidP="00954AA6">
            <w:pPr>
              <w:jc w:val="right"/>
              <w:rPr>
                <w:sz w:val="16"/>
                <w:szCs w:val="16"/>
                <w:highlight w:val="yellow"/>
              </w:rPr>
            </w:pPr>
            <w:r w:rsidRPr="00567092">
              <w:rPr>
                <w:sz w:val="16"/>
                <w:szCs w:val="16"/>
              </w:rPr>
              <w:t>615.720,29</w:t>
            </w:r>
          </w:p>
        </w:tc>
        <w:tc>
          <w:tcPr>
            <w:tcW w:w="1405" w:type="dxa"/>
            <w:tcBorders>
              <w:left w:val="nil"/>
              <w:right w:val="nil"/>
            </w:tcBorders>
            <w:vAlign w:val="center"/>
          </w:tcPr>
          <w:p w14:paraId="370AE3CD" w14:textId="7B3C2161" w:rsidR="00567092" w:rsidRPr="00567092" w:rsidRDefault="00567092" w:rsidP="00954AA6">
            <w:pPr>
              <w:jc w:val="right"/>
              <w:rPr>
                <w:sz w:val="16"/>
                <w:szCs w:val="16"/>
              </w:rPr>
            </w:pPr>
            <w:r w:rsidRPr="00567092">
              <w:rPr>
                <w:sz w:val="16"/>
                <w:szCs w:val="16"/>
              </w:rPr>
              <w:t xml:space="preserve"> -</w:t>
            </w:r>
          </w:p>
        </w:tc>
        <w:tc>
          <w:tcPr>
            <w:tcW w:w="1280" w:type="dxa"/>
            <w:tcBorders>
              <w:left w:val="nil"/>
              <w:right w:val="nil"/>
            </w:tcBorders>
            <w:vAlign w:val="center"/>
          </w:tcPr>
          <w:p w14:paraId="2A120B0F" w14:textId="4CD985D7" w:rsidR="00567092" w:rsidRPr="00567092" w:rsidRDefault="00567092" w:rsidP="00954AA6">
            <w:pPr>
              <w:jc w:val="right"/>
              <w:rPr>
                <w:sz w:val="16"/>
                <w:szCs w:val="16"/>
              </w:rPr>
            </w:pPr>
            <w:r w:rsidRPr="00567092">
              <w:rPr>
                <w:sz w:val="16"/>
                <w:szCs w:val="16"/>
              </w:rPr>
              <w:t>615.720,29</w:t>
            </w:r>
          </w:p>
        </w:tc>
      </w:tr>
      <w:tr w:rsidR="00567092" w:rsidRPr="00723F3F" w14:paraId="6735FE17" w14:textId="113EFEE4" w:rsidTr="00954AA6">
        <w:trPr>
          <w:trHeight w:val="255"/>
          <w:jc w:val="center"/>
        </w:trPr>
        <w:tc>
          <w:tcPr>
            <w:tcW w:w="2287" w:type="dxa"/>
            <w:tcBorders>
              <w:left w:val="nil"/>
              <w:right w:val="nil"/>
            </w:tcBorders>
            <w:shd w:val="clear" w:color="auto" w:fill="auto"/>
            <w:noWrap/>
            <w:vAlign w:val="center"/>
          </w:tcPr>
          <w:p w14:paraId="2E618454" w14:textId="77777777" w:rsidR="00567092" w:rsidRPr="00723F3F" w:rsidRDefault="00567092" w:rsidP="0056709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23F3F">
              <w:rPr>
                <w:sz w:val="16"/>
                <w:szCs w:val="16"/>
              </w:rPr>
              <w:t>2019</w:t>
            </w:r>
          </w:p>
        </w:tc>
        <w:tc>
          <w:tcPr>
            <w:tcW w:w="1924" w:type="dxa"/>
            <w:tcBorders>
              <w:left w:val="nil"/>
              <w:right w:val="nil"/>
            </w:tcBorders>
            <w:shd w:val="clear" w:color="auto" w:fill="auto"/>
            <w:noWrap/>
            <w:vAlign w:val="center"/>
          </w:tcPr>
          <w:p w14:paraId="6E1E4C86" w14:textId="77777777" w:rsidR="00567092" w:rsidRPr="00723F3F" w:rsidRDefault="00567092" w:rsidP="00567092">
            <w:pPr>
              <w:rPr>
                <w:sz w:val="16"/>
                <w:szCs w:val="16"/>
              </w:rPr>
            </w:pPr>
            <w:r w:rsidRPr="00723F3F">
              <w:rPr>
                <w:sz w:val="16"/>
                <w:szCs w:val="16"/>
              </w:rPr>
              <w:t>Base imponible negativa</w:t>
            </w:r>
          </w:p>
        </w:tc>
        <w:tc>
          <w:tcPr>
            <w:tcW w:w="1885" w:type="dxa"/>
            <w:tcBorders>
              <w:left w:val="nil"/>
              <w:right w:val="nil"/>
            </w:tcBorders>
            <w:shd w:val="clear" w:color="auto" w:fill="auto"/>
            <w:noWrap/>
            <w:vAlign w:val="center"/>
          </w:tcPr>
          <w:p w14:paraId="1B6AB1DC" w14:textId="6B574865" w:rsidR="00567092" w:rsidRPr="00567092" w:rsidRDefault="00567092" w:rsidP="00954AA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highlight w:val="yellow"/>
                <w:bdr w:val="none" w:sz="0" w:space="0" w:color="auto"/>
                <w:lang w:eastAsia="es-ES"/>
              </w:rPr>
            </w:pPr>
            <w:r w:rsidRPr="00567092">
              <w:rPr>
                <w:sz w:val="16"/>
                <w:szCs w:val="16"/>
              </w:rPr>
              <w:t>880.823,56</w:t>
            </w:r>
          </w:p>
        </w:tc>
        <w:tc>
          <w:tcPr>
            <w:tcW w:w="1405" w:type="dxa"/>
            <w:tcBorders>
              <w:left w:val="nil"/>
              <w:right w:val="nil"/>
            </w:tcBorders>
            <w:vAlign w:val="center"/>
          </w:tcPr>
          <w:p w14:paraId="0DF0286E" w14:textId="4FF06FD5" w:rsidR="00567092" w:rsidRPr="00567092" w:rsidRDefault="00567092" w:rsidP="00954AA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567092">
              <w:rPr>
                <w:sz w:val="16"/>
                <w:szCs w:val="16"/>
              </w:rPr>
              <w:t xml:space="preserve"> -</w:t>
            </w:r>
          </w:p>
        </w:tc>
        <w:tc>
          <w:tcPr>
            <w:tcW w:w="1280" w:type="dxa"/>
            <w:tcBorders>
              <w:left w:val="nil"/>
              <w:right w:val="nil"/>
            </w:tcBorders>
            <w:vAlign w:val="center"/>
          </w:tcPr>
          <w:p w14:paraId="38C52C66" w14:textId="55FF1957" w:rsidR="00567092" w:rsidRPr="00567092" w:rsidRDefault="00567092" w:rsidP="00954AA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567092">
              <w:rPr>
                <w:sz w:val="16"/>
                <w:szCs w:val="16"/>
              </w:rPr>
              <w:t>880.823,56</w:t>
            </w:r>
          </w:p>
        </w:tc>
      </w:tr>
      <w:tr w:rsidR="00567092" w:rsidRPr="00723F3F" w14:paraId="6A654714" w14:textId="7F450809" w:rsidTr="00954AA6">
        <w:trPr>
          <w:trHeight w:val="255"/>
          <w:jc w:val="center"/>
        </w:trPr>
        <w:tc>
          <w:tcPr>
            <w:tcW w:w="2287" w:type="dxa"/>
            <w:tcBorders>
              <w:left w:val="nil"/>
              <w:bottom w:val="single" w:sz="4" w:space="0" w:color="auto"/>
              <w:right w:val="nil"/>
            </w:tcBorders>
            <w:shd w:val="clear" w:color="auto" w:fill="auto"/>
            <w:noWrap/>
            <w:vAlign w:val="center"/>
          </w:tcPr>
          <w:p w14:paraId="12A4AD6B" w14:textId="7797E856" w:rsidR="00567092" w:rsidRPr="00723F3F" w:rsidRDefault="00567092" w:rsidP="0056709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sz w:val="16"/>
                <w:szCs w:val="16"/>
              </w:rPr>
            </w:pPr>
            <w:r>
              <w:rPr>
                <w:sz w:val="16"/>
                <w:szCs w:val="16"/>
              </w:rPr>
              <w:t>2020</w:t>
            </w:r>
          </w:p>
        </w:tc>
        <w:tc>
          <w:tcPr>
            <w:tcW w:w="1924" w:type="dxa"/>
            <w:tcBorders>
              <w:left w:val="nil"/>
              <w:bottom w:val="single" w:sz="4" w:space="0" w:color="auto"/>
              <w:right w:val="nil"/>
            </w:tcBorders>
            <w:shd w:val="clear" w:color="auto" w:fill="auto"/>
            <w:noWrap/>
            <w:vAlign w:val="center"/>
          </w:tcPr>
          <w:p w14:paraId="529D951F" w14:textId="4BC3B972" w:rsidR="00567092" w:rsidRPr="00723F3F" w:rsidRDefault="00567092" w:rsidP="00567092">
            <w:pPr>
              <w:rPr>
                <w:sz w:val="16"/>
                <w:szCs w:val="16"/>
              </w:rPr>
            </w:pPr>
            <w:r>
              <w:rPr>
                <w:sz w:val="16"/>
                <w:szCs w:val="16"/>
              </w:rPr>
              <w:t>Base imponible negativa</w:t>
            </w:r>
          </w:p>
        </w:tc>
        <w:tc>
          <w:tcPr>
            <w:tcW w:w="1885" w:type="dxa"/>
            <w:tcBorders>
              <w:left w:val="nil"/>
              <w:bottom w:val="single" w:sz="4" w:space="0" w:color="auto"/>
              <w:right w:val="nil"/>
            </w:tcBorders>
            <w:shd w:val="clear" w:color="auto" w:fill="auto"/>
            <w:noWrap/>
            <w:vAlign w:val="center"/>
          </w:tcPr>
          <w:p w14:paraId="026EA965" w14:textId="0E813D43" w:rsidR="00567092" w:rsidRPr="00567092" w:rsidRDefault="00567092" w:rsidP="00954AA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highlight w:val="yellow"/>
              </w:rPr>
            </w:pPr>
            <w:r w:rsidRPr="00567092">
              <w:rPr>
                <w:sz w:val="16"/>
                <w:szCs w:val="16"/>
              </w:rPr>
              <w:t>789.804,55</w:t>
            </w:r>
          </w:p>
        </w:tc>
        <w:tc>
          <w:tcPr>
            <w:tcW w:w="1405" w:type="dxa"/>
            <w:tcBorders>
              <w:left w:val="nil"/>
              <w:bottom w:val="single" w:sz="4" w:space="0" w:color="auto"/>
              <w:right w:val="nil"/>
            </w:tcBorders>
            <w:vAlign w:val="center"/>
          </w:tcPr>
          <w:p w14:paraId="61CBC9B8" w14:textId="367C0C14" w:rsidR="00567092" w:rsidRPr="00567092" w:rsidRDefault="00567092" w:rsidP="00954AA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567092">
              <w:rPr>
                <w:sz w:val="16"/>
                <w:szCs w:val="16"/>
              </w:rPr>
              <w:t xml:space="preserve"> -</w:t>
            </w:r>
          </w:p>
        </w:tc>
        <w:tc>
          <w:tcPr>
            <w:tcW w:w="1280" w:type="dxa"/>
            <w:tcBorders>
              <w:left w:val="nil"/>
              <w:bottom w:val="single" w:sz="4" w:space="0" w:color="auto"/>
              <w:right w:val="nil"/>
            </w:tcBorders>
            <w:vAlign w:val="center"/>
          </w:tcPr>
          <w:p w14:paraId="1652504F" w14:textId="4FE81D34" w:rsidR="00567092" w:rsidRPr="00567092" w:rsidRDefault="00567092" w:rsidP="00954AA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567092">
              <w:rPr>
                <w:sz w:val="16"/>
                <w:szCs w:val="16"/>
              </w:rPr>
              <w:t>789.804,55</w:t>
            </w:r>
          </w:p>
        </w:tc>
      </w:tr>
      <w:tr w:rsidR="00567092" w:rsidRPr="00723F3F" w14:paraId="61D51403" w14:textId="6EDFB718" w:rsidTr="00954AA6">
        <w:trPr>
          <w:trHeight w:val="255"/>
          <w:jc w:val="center"/>
        </w:trPr>
        <w:tc>
          <w:tcPr>
            <w:tcW w:w="2287" w:type="dxa"/>
            <w:tcBorders>
              <w:top w:val="nil"/>
              <w:left w:val="nil"/>
              <w:bottom w:val="single" w:sz="4" w:space="0" w:color="auto"/>
              <w:right w:val="nil"/>
            </w:tcBorders>
            <w:shd w:val="clear" w:color="auto" w:fill="auto"/>
            <w:noWrap/>
            <w:vAlign w:val="center"/>
            <w:hideMark/>
          </w:tcPr>
          <w:p w14:paraId="1D61A8E6" w14:textId="77777777" w:rsidR="00567092" w:rsidRPr="00723F3F" w:rsidRDefault="00567092" w:rsidP="00954AA6">
            <w:pPr>
              <w:ind w:left="72"/>
              <w:rPr>
                <w:rFonts w:eastAsia="Times New Roman"/>
                <w:b/>
                <w:bCs/>
                <w:sz w:val="16"/>
                <w:szCs w:val="16"/>
              </w:rPr>
            </w:pPr>
            <w:r w:rsidRPr="00723F3F">
              <w:rPr>
                <w:rFonts w:eastAsia="Times New Roman"/>
                <w:b/>
                <w:bCs/>
                <w:sz w:val="16"/>
                <w:szCs w:val="16"/>
              </w:rPr>
              <w:t>Total</w:t>
            </w:r>
          </w:p>
        </w:tc>
        <w:tc>
          <w:tcPr>
            <w:tcW w:w="1924" w:type="dxa"/>
            <w:tcBorders>
              <w:top w:val="nil"/>
              <w:left w:val="nil"/>
              <w:bottom w:val="single" w:sz="4" w:space="0" w:color="auto"/>
              <w:right w:val="nil"/>
            </w:tcBorders>
            <w:shd w:val="clear" w:color="auto" w:fill="auto"/>
            <w:noWrap/>
            <w:vAlign w:val="center"/>
            <w:hideMark/>
          </w:tcPr>
          <w:p w14:paraId="469952A6" w14:textId="77777777" w:rsidR="00567092" w:rsidRPr="00723F3F" w:rsidRDefault="00567092" w:rsidP="00567092">
            <w:pPr>
              <w:rPr>
                <w:rFonts w:eastAsia="Times New Roman"/>
                <w:b/>
                <w:bCs/>
                <w:sz w:val="16"/>
                <w:szCs w:val="16"/>
              </w:rPr>
            </w:pPr>
            <w:r w:rsidRPr="00723F3F">
              <w:rPr>
                <w:rFonts w:eastAsia="Times New Roman"/>
                <w:b/>
                <w:bCs/>
                <w:sz w:val="16"/>
                <w:szCs w:val="16"/>
              </w:rPr>
              <w:t> </w:t>
            </w:r>
          </w:p>
        </w:tc>
        <w:tc>
          <w:tcPr>
            <w:tcW w:w="1885" w:type="dxa"/>
            <w:tcBorders>
              <w:top w:val="nil"/>
              <w:left w:val="nil"/>
              <w:bottom w:val="single" w:sz="4" w:space="0" w:color="auto"/>
              <w:right w:val="nil"/>
            </w:tcBorders>
            <w:shd w:val="clear" w:color="auto" w:fill="auto"/>
            <w:noWrap/>
            <w:vAlign w:val="center"/>
            <w:hideMark/>
          </w:tcPr>
          <w:p w14:paraId="03049502" w14:textId="21720372" w:rsidR="00567092" w:rsidRPr="00567092" w:rsidRDefault="00567092" w:rsidP="00954AA6">
            <w:pPr>
              <w:jc w:val="right"/>
              <w:rPr>
                <w:b/>
                <w:bCs/>
                <w:sz w:val="16"/>
                <w:szCs w:val="16"/>
                <w:highlight w:val="yellow"/>
              </w:rPr>
            </w:pPr>
            <w:r w:rsidRPr="00567092">
              <w:rPr>
                <w:b/>
                <w:bCs/>
                <w:sz w:val="16"/>
                <w:szCs w:val="16"/>
              </w:rPr>
              <w:t>14.718.506,58</w:t>
            </w:r>
          </w:p>
        </w:tc>
        <w:tc>
          <w:tcPr>
            <w:tcW w:w="1405" w:type="dxa"/>
            <w:tcBorders>
              <w:top w:val="nil"/>
              <w:left w:val="nil"/>
              <w:bottom w:val="single" w:sz="4" w:space="0" w:color="auto"/>
              <w:right w:val="nil"/>
            </w:tcBorders>
            <w:vAlign w:val="center"/>
          </w:tcPr>
          <w:p w14:paraId="2E1B830A" w14:textId="16B527BD" w:rsidR="00567092" w:rsidRPr="00567092" w:rsidRDefault="00567092" w:rsidP="00954AA6">
            <w:pPr>
              <w:jc w:val="right"/>
              <w:rPr>
                <w:b/>
                <w:bCs/>
                <w:sz w:val="16"/>
                <w:szCs w:val="16"/>
              </w:rPr>
            </w:pPr>
            <w:r w:rsidRPr="00567092">
              <w:rPr>
                <w:b/>
                <w:bCs/>
                <w:sz w:val="16"/>
                <w:szCs w:val="16"/>
              </w:rPr>
              <w:t>340.284,22</w:t>
            </w:r>
          </w:p>
        </w:tc>
        <w:tc>
          <w:tcPr>
            <w:tcW w:w="1280" w:type="dxa"/>
            <w:tcBorders>
              <w:top w:val="nil"/>
              <w:left w:val="nil"/>
              <w:bottom w:val="single" w:sz="4" w:space="0" w:color="auto"/>
              <w:right w:val="nil"/>
            </w:tcBorders>
            <w:vAlign w:val="center"/>
          </w:tcPr>
          <w:p w14:paraId="1780101A" w14:textId="3EC23AF4" w:rsidR="00567092" w:rsidRPr="00567092" w:rsidRDefault="00567092" w:rsidP="00954AA6">
            <w:pPr>
              <w:jc w:val="right"/>
              <w:rPr>
                <w:b/>
                <w:bCs/>
                <w:sz w:val="16"/>
                <w:szCs w:val="16"/>
              </w:rPr>
            </w:pPr>
            <w:r w:rsidRPr="00567092">
              <w:rPr>
                <w:b/>
                <w:bCs/>
                <w:sz w:val="16"/>
                <w:szCs w:val="16"/>
              </w:rPr>
              <w:t>14.378.222,36</w:t>
            </w:r>
          </w:p>
        </w:tc>
      </w:tr>
    </w:tbl>
    <w:p w14:paraId="466DB053"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lastRenderedPageBreak/>
        <w:t>La Sociedad tiene pendientes de inspección por las autoridades fiscales los cuatro últimos ejercicios de los principales impuestos que le son aplicables.</w:t>
      </w:r>
    </w:p>
    <w:p w14:paraId="79124CF2"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Como consecuencia, entre otras, de las diferentes posibles interpretaciones de la legislación fiscal vigente, podrían surgir pasivos adicionales como resultado de una inspección. En todo caso, los administradores consideran que dichos pasivos, caso de producirse, no afectarían significativamente a las cuentas anuales.</w:t>
      </w:r>
    </w:p>
    <w:p w14:paraId="4E1ED63A" w14:textId="77777777" w:rsidR="006220A2" w:rsidRPr="0083433F" w:rsidRDefault="006220A2" w:rsidP="00224A31">
      <w:pPr>
        <w:keepNext/>
        <w:keepLines/>
        <w:widowControl w:val="0"/>
        <w:spacing w:before="200"/>
        <w:rPr>
          <w:b/>
          <w:sz w:val="20"/>
          <w:szCs w:val="22"/>
        </w:rPr>
      </w:pPr>
      <w:r w:rsidRPr="0083433F">
        <w:rPr>
          <w:b/>
          <w:sz w:val="20"/>
          <w:szCs w:val="22"/>
        </w:rPr>
        <w:t xml:space="preserve">11.3. Pasivo por impuesto diferido </w:t>
      </w:r>
    </w:p>
    <w:p w14:paraId="100D41B8" w14:textId="1F1FE38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 xml:space="preserve">Este epígrafe recoge las diferencias temporarias imponibles por </w:t>
      </w:r>
      <w:r w:rsidR="00E712D5" w:rsidRPr="00176BA0">
        <w:rPr>
          <w:snapToGrid w:val="0"/>
          <w:sz w:val="20"/>
          <w:szCs w:val="22"/>
        </w:rPr>
        <w:t>57.563,01</w:t>
      </w:r>
      <w:r w:rsidRPr="00176BA0">
        <w:rPr>
          <w:snapToGrid w:val="0"/>
          <w:sz w:val="20"/>
          <w:szCs w:val="22"/>
        </w:rPr>
        <w:t xml:space="preserve"> euros (</w:t>
      </w:r>
      <w:r w:rsidR="00E712D5" w:rsidRPr="00176BA0">
        <w:rPr>
          <w:snapToGrid w:val="0"/>
          <w:sz w:val="20"/>
          <w:szCs w:val="22"/>
        </w:rPr>
        <w:t xml:space="preserve">75.664,38 </w:t>
      </w:r>
      <w:r w:rsidRPr="00176BA0">
        <w:rPr>
          <w:snapToGrid w:val="0"/>
          <w:sz w:val="20"/>
          <w:szCs w:val="22"/>
        </w:rPr>
        <w:t xml:space="preserve">euros en </w:t>
      </w:r>
      <w:r w:rsidR="00954AA6">
        <w:rPr>
          <w:snapToGrid w:val="0"/>
          <w:sz w:val="20"/>
          <w:szCs w:val="22"/>
        </w:rPr>
        <w:t>el ejercicio anterior</w:t>
      </w:r>
      <w:r w:rsidRPr="00176BA0">
        <w:rPr>
          <w:snapToGrid w:val="0"/>
          <w:sz w:val="20"/>
          <w:szCs w:val="22"/>
        </w:rPr>
        <w:t>) derivadas de las subvenciones de capital concedidas a la Sociedad</w:t>
      </w:r>
      <w:r w:rsidR="00B06A04" w:rsidRPr="00176BA0">
        <w:rPr>
          <w:snapToGrid w:val="0"/>
          <w:sz w:val="20"/>
          <w:szCs w:val="22"/>
        </w:rPr>
        <w:t xml:space="preserve"> (Nota 15.1)</w:t>
      </w:r>
      <w:r w:rsidRPr="00176BA0">
        <w:rPr>
          <w:snapToGrid w:val="0"/>
          <w:sz w:val="20"/>
          <w:szCs w:val="22"/>
        </w:rPr>
        <w:t>, que darán lugar a mayores cantidades a pagar o menores cantidades a devolver por impuesto sobre beneficios en ejercicios futuros, normalmente a medida que se recuperen los activos o se liquiden los pasivos de los que se derivan.</w:t>
      </w:r>
    </w:p>
    <w:tbl>
      <w:tblPr>
        <w:tblW w:w="5020" w:type="pct"/>
        <w:jc w:val="center"/>
        <w:tblLayout w:type="fixed"/>
        <w:tblCellMar>
          <w:left w:w="70" w:type="dxa"/>
          <w:right w:w="70" w:type="dxa"/>
        </w:tblCellMar>
        <w:tblLook w:val="04A0" w:firstRow="1" w:lastRow="0" w:firstColumn="1" w:lastColumn="0" w:noHBand="0" w:noVBand="1"/>
      </w:tblPr>
      <w:tblGrid>
        <w:gridCol w:w="3339"/>
        <w:gridCol w:w="1090"/>
        <w:gridCol w:w="1090"/>
        <w:gridCol w:w="964"/>
        <w:gridCol w:w="1247"/>
        <w:gridCol w:w="1086"/>
      </w:tblGrid>
      <w:tr w:rsidR="00395ADC" w:rsidRPr="00954AA6" w14:paraId="64264267" w14:textId="77777777" w:rsidTr="00395ADC">
        <w:trPr>
          <w:trHeight w:val="285"/>
          <w:jc w:val="center"/>
        </w:trPr>
        <w:tc>
          <w:tcPr>
            <w:tcW w:w="1894" w:type="pct"/>
            <w:tcBorders>
              <w:top w:val="single" w:sz="4" w:space="0" w:color="auto"/>
              <w:left w:val="nil"/>
              <w:bottom w:val="single" w:sz="4" w:space="0" w:color="auto"/>
              <w:right w:val="nil"/>
            </w:tcBorders>
            <w:shd w:val="clear" w:color="auto" w:fill="auto"/>
            <w:noWrap/>
            <w:vAlign w:val="bottom"/>
            <w:hideMark/>
          </w:tcPr>
          <w:p w14:paraId="679EF0BB" w14:textId="77777777" w:rsidR="00395ADC" w:rsidRPr="00954AA6"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Pasivos Diferidos</w:t>
            </w:r>
          </w:p>
        </w:tc>
        <w:tc>
          <w:tcPr>
            <w:tcW w:w="618" w:type="pct"/>
            <w:tcBorders>
              <w:top w:val="single" w:sz="4" w:space="0" w:color="auto"/>
              <w:left w:val="nil"/>
              <w:bottom w:val="single" w:sz="4" w:space="0" w:color="auto"/>
              <w:right w:val="nil"/>
            </w:tcBorders>
            <w:shd w:val="clear" w:color="auto" w:fill="auto"/>
            <w:noWrap/>
            <w:vAlign w:val="bottom"/>
            <w:hideMark/>
          </w:tcPr>
          <w:p w14:paraId="57861B4F" w14:textId="377CEC3A" w:rsidR="00395ADC" w:rsidRPr="00954AA6"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954AA6">
              <w:rPr>
                <w:rFonts w:eastAsia="Times New Roman"/>
                <w:b/>
                <w:bCs/>
                <w:color w:val="auto"/>
                <w:sz w:val="18"/>
                <w:szCs w:val="18"/>
                <w:bdr w:val="none" w:sz="0" w:space="0" w:color="auto"/>
                <w:lang w:eastAsia="es-ES"/>
              </w:rPr>
              <w:t>31/12/20</w:t>
            </w:r>
            <w:r w:rsidR="00E712D5" w:rsidRPr="00954AA6">
              <w:rPr>
                <w:rFonts w:eastAsia="Times New Roman"/>
                <w:b/>
                <w:bCs/>
                <w:color w:val="auto"/>
                <w:sz w:val="18"/>
                <w:szCs w:val="18"/>
                <w:bdr w:val="none" w:sz="0" w:space="0" w:color="auto"/>
                <w:lang w:eastAsia="es-ES"/>
              </w:rPr>
              <w:t>20</w:t>
            </w:r>
          </w:p>
        </w:tc>
        <w:tc>
          <w:tcPr>
            <w:tcW w:w="618" w:type="pct"/>
            <w:tcBorders>
              <w:top w:val="single" w:sz="4" w:space="0" w:color="auto"/>
              <w:left w:val="nil"/>
              <w:bottom w:val="single" w:sz="4" w:space="0" w:color="auto"/>
              <w:right w:val="nil"/>
            </w:tcBorders>
            <w:shd w:val="clear" w:color="auto" w:fill="auto"/>
            <w:noWrap/>
            <w:vAlign w:val="bottom"/>
            <w:hideMark/>
          </w:tcPr>
          <w:p w14:paraId="4ED29CAF" w14:textId="77777777" w:rsidR="00395ADC" w:rsidRPr="00954AA6"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954AA6">
              <w:rPr>
                <w:rFonts w:eastAsia="Times New Roman"/>
                <w:b/>
                <w:bCs/>
                <w:color w:val="auto"/>
                <w:sz w:val="18"/>
                <w:szCs w:val="18"/>
                <w:bdr w:val="none" w:sz="0" w:space="0" w:color="auto"/>
                <w:lang w:eastAsia="es-ES"/>
              </w:rPr>
              <w:t>Altas</w:t>
            </w:r>
          </w:p>
        </w:tc>
        <w:tc>
          <w:tcPr>
            <w:tcW w:w="547" w:type="pct"/>
            <w:tcBorders>
              <w:top w:val="single" w:sz="4" w:space="0" w:color="auto"/>
              <w:left w:val="nil"/>
              <w:bottom w:val="single" w:sz="4" w:space="0" w:color="auto"/>
              <w:right w:val="nil"/>
            </w:tcBorders>
            <w:shd w:val="clear" w:color="auto" w:fill="auto"/>
            <w:noWrap/>
            <w:vAlign w:val="bottom"/>
            <w:hideMark/>
          </w:tcPr>
          <w:p w14:paraId="00D1D080" w14:textId="77777777" w:rsidR="00395ADC" w:rsidRPr="00954AA6"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954AA6">
              <w:rPr>
                <w:rFonts w:eastAsia="Times New Roman"/>
                <w:b/>
                <w:bCs/>
                <w:color w:val="auto"/>
                <w:sz w:val="18"/>
                <w:szCs w:val="18"/>
                <w:bdr w:val="none" w:sz="0" w:space="0" w:color="auto"/>
                <w:lang w:eastAsia="es-ES"/>
              </w:rPr>
              <w:t>Bajas</w:t>
            </w:r>
          </w:p>
        </w:tc>
        <w:tc>
          <w:tcPr>
            <w:tcW w:w="707" w:type="pct"/>
            <w:tcBorders>
              <w:top w:val="single" w:sz="4" w:space="0" w:color="auto"/>
              <w:left w:val="nil"/>
              <w:bottom w:val="single" w:sz="4" w:space="0" w:color="auto"/>
              <w:right w:val="nil"/>
            </w:tcBorders>
            <w:shd w:val="clear" w:color="auto" w:fill="auto"/>
            <w:vAlign w:val="bottom"/>
            <w:hideMark/>
          </w:tcPr>
          <w:p w14:paraId="0C3879B2" w14:textId="77777777" w:rsidR="00395ADC" w:rsidRPr="00954AA6"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954AA6">
              <w:rPr>
                <w:rFonts w:eastAsia="Times New Roman"/>
                <w:b/>
                <w:bCs/>
                <w:color w:val="auto"/>
                <w:sz w:val="18"/>
                <w:szCs w:val="18"/>
                <w:bdr w:val="none" w:sz="0" w:space="0" w:color="auto"/>
                <w:lang w:eastAsia="es-ES"/>
              </w:rPr>
              <w:t>Imputación a PYG</w:t>
            </w:r>
          </w:p>
        </w:tc>
        <w:tc>
          <w:tcPr>
            <w:tcW w:w="616" w:type="pct"/>
            <w:tcBorders>
              <w:top w:val="single" w:sz="4" w:space="0" w:color="auto"/>
              <w:left w:val="nil"/>
              <w:bottom w:val="single" w:sz="4" w:space="0" w:color="auto"/>
              <w:right w:val="nil"/>
            </w:tcBorders>
            <w:shd w:val="clear" w:color="auto" w:fill="auto"/>
            <w:noWrap/>
            <w:vAlign w:val="bottom"/>
            <w:hideMark/>
          </w:tcPr>
          <w:p w14:paraId="6DA1682C" w14:textId="03ECE907" w:rsidR="00395ADC" w:rsidRPr="00954AA6"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954AA6">
              <w:rPr>
                <w:rFonts w:eastAsia="Times New Roman"/>
                <w:b/>
                <w:bCs/>
                <w:color w:val="auto"/>
                <w:sz w:val="18"/>
                <w:szCs w:val="18"/>
                <w:bdr w:val="none" w:sz="0" w:space="0" w:color="auto"/>
                <w:lang w:eastAsia="es-ES"/>
              </w:rPr>
              <w:t>31/12/202</w:t>
            </w:r>
            <w:r w:rsidR="00E712D5" w:rsidRPr="00954AA6">
              <w:rPr>
                <w:rFonts w:eastAsia="Times New Roman"/>
                <w:b/>
                <w:bCs/>
                <w:color w:val="auto"/>
                <w:sz w:val="18"/>
                <w:szCs w:val="18"/>
                <w:bdr w:val="none" w:sz="0" w:space="0" w:color="auto"/>
                <w:lang w:eastAsia="es-ES"/>
              </w:rPr>
              <w:t>1</w:t>
            </w:r>
          </w:p>
        </w:tc>
      </w:tr>
      <w:tr w:rsidR="00395ADC" w:rsidRPr="00954AA6" w14:paraId="217840A4" w14:textId="77777777" w:rsidTr="00395ADC">
        <w:trPr>
          <w:trHeight w:val="340"/>
          <w:jc w:val="center"/>
        </w:trPr>
        <w:tc>
          <w:tcPr>
            <w:tcW w:w="1894" w:type="pct"/>
            <w:tcBorders>
              <w:top w:val="nil"/>
              <w:left w:val="nil"/>
              <w:bottom w:val="single" w:sz="4" w:space="0" w:color="auto"/>
              <w:right w:val="nil"/>
            </w:tcBorders>
            <w:shd w:val="clear" w:color="auto" w:fill="auto"/>
            <w:vAlign w:val="center"/>
            <w:hideMark/>
          </w:tcPr>
          <w:p w14:paraId="2ACE468E" w14:textId="77777777" w:rsidR="00395ADC" w:rsidRPr="00954AA6" w:rsidRDefault="00395ADC" w:rsidP="00071D2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Efecto impositivo por Subvenciones</w:t>
            </w:r>
          </w:p>
        </w:tc>
        <w:tc>
          <w:tcPr>
            <w:tcW w:w="618" w:type="pct"/>
            <w:tcBorders>
              <w:top w:val="nil"/>
              <w:left w:val="nil"/>
              <w:bottom w:val="single" w:sz="4" w:space="0" w:color="auto"/>
              <w:right w:val="nil"/>
            </w:tcBorders>
            <w:shd w:val="clear" w:color="auto" w:fill="auto"/>
            <w:noWrap/>
            <w:vAlign w:val="center"/>
            <w:hideMark/>
          </w:tcPr>
          <w:p w14:paraId="467586F5" w14:textId="2C750D4F" w:rsidR="00395ADC" w:rsidRPr="00954AA6" w:rsidRDefault="00E712D5"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75.664,38</w:t>
            </w:r>
          </w:p>
        </w:tc>
        <w:tc>
          <w:tcPr>
            <w:tcW w:w="618" w:type="pct"/>
            <w:tcBorders>
              <w:top w:val="nil"/>
              <w:left w:val="nil"/>
              <w:bottom w:val="single" w:sz="4" w:space="0" w:color="auto"/>
              <w:right w:val="nil"/>
            </w:tcBorders>
            <w:shd w:val="clear" w:color="auto" w:fill="auto"/>
            <w:noWrap/>
            <w:vAlign w:val="center"/>
            <w:hideMark/>
          </w:tcPr>
          <w:p w14:paraId="25C748E3" w14:textId="2957363C" w:rsidR="00395ADC" w:rsidRPr="00954AA6" w:rsidRDefault="00E712D5"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w:t>
            </w:r>
            <w:r w:rsidR="00395ADC" w:rsidRPr="00954AA6">
              <w:rPr>
                <w:sz w:val="18"/>
                <w:szCs w:val="18"/>
              </w:rPr>
              <w:t xml:space="preserve"> </w:t>
            </w:r>
          </w:p>
        </w:tc>
        <w:tc>
          <w:tcPr>
            <w:tcW w:w="547" w:type="pct"/>
            <w:tcBorders>
              <w:top w:val="nil"/>
              <w:left w:val="nil"/>
              <w:bottom w:val="single" w:sz="4" w:space="0" w:color="auto"/>
              <w:right w:val="nil"/>
            </w:tcBorders>
            <w:shd w:val="clear" w:color="auto" w:fill="auto"/>
            <w:noWrap/>
            <w:vAlign w:val="center"/>
            <w:hideMark/>
          </w:tcPr>
          <w:p w14:paraId="6943E4CF" w14:textId="77777777" w:rsidR="00395ADC" w:rsidRPr="00954AA6"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w:t>
            </w:r>
          </w:p>
        </w:tc>
        <w:tc>
          <w:tcPr>
            <w:tcW w:w="707" w:type="pct"/>
            <w:tcBorders>
              <w:top w:val="nil"/>
              <w:left w:val="nil"/>
              <w:bottom w:val="single" w:sz="4" w:space="0" w:color="auto"/>
              <w:right w:val="nil"/>
            </w:tcBorders>
            <w:shd w:val="clear" w:color="auto" w:fill="auto"/>
            <w:noWrap/>
            <w:vAlign w:val="center"/>
            <w:hideMark/>
          </w:tcPr>
          <w:p w14:paraId="6CADC9D0" w14:textId="38B47F7B" w:rsidR="00395ADC" w:rsidRPr="00954AA6" w:rsidRDefault="00E712D5"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18.101,37</w:t>
            </w:r>
          </w:p>
        </w:tc>
        <w:tc>
          <w:tcPr>
            <w:tcW w:w="616" w:type="pct"/>
            <w:tcBorders>
              <w:top w:val="nil"/>
              <w:left w:val="nil"/>
              <w:bottom w:val="single" w:sz="4" w:space="0" w:color="auto"/>
              <w:right w:val="nil"/>
            </w:tcBorders>
            <w:shd w:val="clear" w:color="auto" w:fill="auto"/>
            <w:noWrap/>
            <w:vAlign w:val="center"/>
            <w:hideMark/>
          </w:tcPr>
          <w:p w14:paraId="622430FD" w14:textId="0EE99FF9" w:rsidR="00395ADC" w:rsidRPr="00954AA6" w:rsidRDefault="00E712D5" w:rsidP="00395ADC">
            <w:pPr>
              <w:jc w:val="right"/>
              <w:rPr>
                <w:sz w:val="18"/>
                <w:szCs w:val="18"/>
              </w:rPr>
            </w:pPr>
            <w:r w:rsidRPr="00954AA6">
              <w:rPr>
                <w:sz w:val="18"/>
                <w:szCs w:val="18"/>
              </w:rPr>
              <w:t>57.563,01</w:t>
            </w:r>
          </w:p>
        </w:tc>
      </w:tr>
    </w:tbl>
    <w:p w14:paraId="246947B2" w14:textId="6C4208E7" w:rsidR="00322E9D" w:rsidRDefault="00322E9D" w:rsidP="00F741B4">
      <w:pPr>
        <w:pBdr>
          <w:top w:val="none" w:sz="0" w:space="0" w:color="auto"/>
          <w:left w:val="none" w:sz="0" w:space="0" w:color="auto"/>
          <w:bottom w:val="none" w:sz="0" w:space="0" w:color="auto"/>
          <w:right w:val="none" w:sz="0" w:space="0" w:color="auto"/>
          <w:between w:val="none" w:sz="0" w:space="0" w:color="auto"/>
          <w:bar w:val="none" w:sz="0" w:color="auto"/>
        </w:pBdr>
        <w:outlineLvl w:val="9"/>
        <w:rPr>
          <w:b/>
          <w:snapToGrid w:val="0"/>
          <w:sz w:val="22"/>
          <w:szCs w:val="22"/>
        </w:rPr>
      </w:pPr>
    </w:p>
    <w:p w14:paraId="3C5C72DD" w14:textId="77777777" w:rsidR="00954AA6" w:rsidRDefault="00954AA6" w:rsidP="00F741B4">
      <w:pPr>
        <w:pBdr>
          <w:top w:val="none" w:sz="0" w:space="0" w:color="auto"/>
          <w:left w:val="none" w:sz="0" w:space="0" w:color="auto"/>
          <w:bottom w:val="none" w:sz="0" w:space="0" w:color="auto"/>
          <w:right w:val="none" w:sz="0" w:space="0" w:color="auto"/>
          <w:between w:val="none" w:sz="0" w:space="0" w:color="auto"/>
          <w:bar w:val="none" w:sz="0" w:color="auto"/>
        </w:pBdr>
        <w:outlineLvl w:val="9"/>
        <w:rPr>
          <w:b/>
          <w:snapToGrid w:val="0"/>
          <w:sz w:val="22"/>
          <w:szCs w:val="22"/>
        </w:rPr>
      </w:pPr>
    </w:p>
    <w:p w14:paraId="447A213A" w14:textId="3A75B2BF" w:rsidR="006220A2" w:rsidRPr="00723F3F"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4A54EC">
        <w:rPr>
          <w:b/>
          <w:snapToGrid w:val="0"/>
          <w:sz w:val="22"/>
          <w:szCs w:val="22"/>
        </w:rPr>
        <w:t xml:space="preserve"> Ingresos y gastos</w:t>
      </w:r>
    </w:p>
    <w:p w14:paraId="1C5981EB" w14:textId="77777777" w:rsidR="006220A2" w:rsidRPr="0083433F" w:rsidRDefault="006220A2" w:rsidP="003254FA">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sz w:val="20"/>
          <w:szCs w:val="22"/>
          <w:u w:val="single"/>
        </w:rPr>
      </w:pPr>
      <w:r w:rsidRPr="0083433F">
        <w:rPr>
          <w:sz w:val="20"/>
          <w:szCs w:val="22"/>
          <w:u w:val="single"/>
        </w:rPr>
        <w:t>Ingresos de explotación</w:t>
      </w:r>
    </w:p>
    <w:p w14:paraId="30D9D1AA" w14:textId="24C9BBD2"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El detalle de los ingresos de explotación del ejercicio 20</w:t>
      </w:r>
      <w:r w:rsidR="002D6427" w:rsidRPr="00176BA0">
        <w:rPr>
          <w:snapToGrid w:val="0"/>
          <w:sz w:val="20"/>
          <w:szCs w:val="22"/>
        </w:rPr>
        <w:t>2</w:t>
      </w:r>
      <w:r w:rsidR="00121E60" w:rsidRPr="00176BA0">
        <w:rPr>
          <w:snapToGrid w:val="0"/>
          <w:sz w:val="20"/>
          <w:szCs w:val="22"/>
        </w:rPr>
        <w:t>1</w:t>
      </w:r>
      <w:r w:rsidR="00224A31" w:rsidRPr="00176BA0">
        <w:rPr>
          <w:snapToGrid w:val="0"/>
          <w:sz w:val="20"/>
          <w:szCs w:val="22"/>
        </w:rPr>
        <w:t xml:space="preserve"> </w:t>
      </w:r>
      <w:r w:rsidR="00066C08" w:rsidRPr="00176BA0">
        <w:rPr>
          <w:snapToGrid w:val="0"/>
          <w:sz w:val="20"/>
          <w:szCs w:val="22"/>
        </w:rPr>
        <w:t>y 20</w:t>
      </w:r>
      <w:r w:rsidR="00121E60" w:rsidRPr="00176BA0">
        <w:rPr>
          <w:snapToGrid w:val="0"/>
          <w:sz w:val="20"/>
          <w:szCs w:val="22"/>
        </w:rPr>
        <w:t>20</w:t>
      </w:r>
      <w:r w:rsidRPr="00176BA0">
        <w:rPr>
          <w:snapToGrid w:val="0"/>
          <w:sz w:val="20"/>
          <w:szCs w:val="22"/>
        </w:rPr>
        <w:t>, es el siguiente:</w:t>
      </w:r>
    </w:p>
    <w:tbl>
      <w:tblPr>
        <w:tblW w:w="5000" w:type="pct"/>
        <w:jc w:val="center"/>
        <w:tblCellMar>
          <w:left w:w="70" w:type="dxa"/>
          <w:right w:w="70" w:type="dxa"/>
        </w:tblCellMar>
        <w:tblLook w:val="04A0" w:firstRow="1" w:lastRow="0" w:firstColumn="1" w:lastColumn="0" w:noHBand="0" w:noVBand="1"/>
      </w:tblPr>
      <w:tblGrid>
        <w:gridCol w:w="5446"/>
        <w:gridCol w:w="1667"/>
        <w:gridCol w:w="1668"/>
      </w:tblGrid>
      <w:tr w:rsidR="000D76CC" w:rsidRPr="00954AA6" w14:paraId="0277B568" w14:textId="77777777" w:rsidTr="00954AA6">
        <w:trPr>
          <w:trHeight w:val="227"/>
          <w:jc w:val="center"/>
        </w:trPr>
        <w:tc>
          <w:tcPr>
            <w:tcW w:w="3101" w:type="pct"/>
            <w:tcBorders>
              <w:top w:val="single" w:sz="4" w:space="0" w:color="auto"/>
              <w:left w:val="nil"/>
              <w:bottom w:val="nil"/>
              <w:right w:val="nil"/>
            </w:tcBorders>
            <w:shd w:val="clear" w:color="auto" w:fill="auto"/>
            <w:vAlign w:val="center"/>
            <w:hideMark/>
          </w:tcPr>
          <w:p w14:paraId="2F4D3090" w14:textId="77777777" w:rsidR="000D76CC" w:rsidRPr="00954AA6" w:rsidRDefault="000D76CC" w:rsidP="00954AA6">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1899" w:type="pct"/>
            <w:gridSpan w:val="2"/>
            <w:tcBorders>
              <w:top w:val="single" w:sz="4" w:space="0" w:color="auto"/>
              <w:left w:val="nil"/>
              <w:bottom w:val="single" w:sz="4" w:space="0" w:color="auto"/>
              <w:right w:val="nil"/>
            </w:tcBorders>
            <w:shd w:val="clear" w:color="auto" w:fill="auto"/>
            <w:vAlign w:val="bottom"/>
            <w:hideMark/>
          </w:tcPr>
          <w:p w14:paraId="3F4CDAEE" w14:textId="77777777" w:rsidR="000D76CC" w:rsidRPr="00954AA6"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0D76CC" w:rsidRPr="00954AA6" w14:paraId="2A717E6F" w14:textId="77777777" w:rsidTr="00954AA6">
        <w:trPr>
          <w:trHeight w:val="227"/>
          <w:jc w:val="center"/>
        </w:trPr>
        <w:tc>
          <w:tcPr>
            <w:tcW w:w="3101" w:type="pct"/>
            <w:tcBorders>
              <w:top w:val="nil"/>
              <w:left w:val="nil"/>
              <w:bottom w:val="single" w:sz="4" w:space="0" w:color="auto"/>
              <w:right w:val="nil"/>
            </w:tcBorders>
            <w:shd w:val="clear" w:color="auto" w:fill="auto"/>
            <w:vAlign w:val="center"/>
            <w:hideMark/>
          </w:tcPr>
          <w:p w14:paraId="4576FB32" w14:textId="77777777" w:rsidR="000D76CC" w:rsidRPr="00954AA6" w:rsidRDefault="000D76CC" w:rsidP="00954AA6">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949" w:type="pct"/>
            <w:tcBorders>
              <w:top w:val="nil"/>
              <w:left w:val="nil"/>
              <w:bottom w:val="single" w:sz="4" w:space="0" w:color="auto"/>
              <w:right w:val="nil"/>
            </w:tcBorders>
            <w:shd w:val="clear" w:color="auto" w:fill="auto"/>
            <w:vAlign w:val="bottom"/>
            <w:hideMark/>
          </w:tcPr>
          <w:p w14:paraId="008F91A6" w14:textId="14F038B5" w:rsidR="000D76CC" w:rsidRPr="00954AA6"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121E60" w:rsidRPr="00954AA6">
              <w:rPr>
                <w:rFonts w:eastAsia="Times New Roman"/>
                <w:b/>
                <w:bCs/>
                <w:sz w:val="18"/>
                <w:szCs w:val="18"/>
                <w:bdr w:val="none" w:sz="0" w:space="0" w:color="auto"/>
                <w:lang w:eastAsia="es-ES"/>
              </w:rPr>
              <w:t>1</w:t>
            </w:r>
          </w:p>
        </w:tc>
        <w:tc>
          <w:tcPr>
            <w:tcW w:w="949" w:type="pct"/>
            <w:tcBorders>
              <w:top w:val="nil"/>
              <w:left w:val="nil"/>
              <w:bottom w:val="single" w:sz="4" w:space="0" w:color="auto"/>
              <w:right w:val="nil"/>
            </w:tcBorders>
            <w:shd w:val="clear" w:color="auto" w:fill="auto"/>
            <w:vAlign w:val="bottom"/>
            <w:hideMark/>
          </w:tcPr>
          <w:p w14:paraId="1ED347AD" w14:textId="563B517D" w:rsidR="000D76CC" w:rsidRPr="00954AA6"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w:t>
            </w:r>
            <w:r w:rsidR="00121E60" w:rsidRPr="00954AA6">
              <w:rPr>
                <w:rFonts w:eastAsia="Times New Roman"/>
                <w:b/>
                <w:bCs/>
                <w:sz w:val="18"/>
                <w:szCs w:val="18"/>
                <w:bdr w:val="none" w:sz="0" w:space="0" w:color="auto"/>
                <w:lang w:eastAsia="es-ES"/>
              </w:rPr>
              <w:t>20</w:t>
            </w:r>
          </w:p>
        </w:tc>
      </w:tr>
      <w:tr w:rsidR="000D76CC" w:rsidRPr="00954AA6" w14:paraId="197280BF" w14:textId="77777777" w:rsidTr="00954AA6">
        <w:trPr>
          <w:trHeight w:val="283"/>
          <w:jc w:val="center"/>
        </w:trPr>
        <w:tc>
          <w:tcPr>
            <w:tcW w:w="3101" w:type="pct"/>
            <w:tcBorders>
              <w:top w:val="nil"/>
              <w:left w:val="nil"/>
              <w:bottom w:val="nil"/>
              <w:right w:val="nil"/>
            </w:tcBorders>
            <w:shd w:val="clear" w:color="auto" w:fill="auto"/>
            <w:vAlign w:val="center"/>
            <w:hideMark/>
          </w:tcPr>
          <w:p w14:paraId="5F0C2B59" w14:textId="77777777" w:rsidR="000D76CC" w:rsidRPr="00954AA6" w:rsidRDefault="000D76CC" w:rsidP="00954AA6">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Ingresos de explotación</w:t>
            </w:r>
          </w:p>
        </w:tc>
        <w:tc>
          <w:tcPr>
            <w:tcW w:w="949" w:type="pct"/>
            <w:tcBorders>
              <w:top w:val="nil"/>
              <w:left w:val="nil"/>
              <w:bottom w:val="nil"/>
              <w:right w:val="nil"/>
            </w:tcBorders>
            <w:shd w:val="clear" w:color="auto" w:fill="auto"/>
            <w:vAlign w:val="center"/>
            <w:hideMark/>
          </w:tcPr>
          <w:p w14:paraId="70E7CE4F" w14:textId="77777777" w:rsidR="000D76CC" w:rsidRPr="00954AA6"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949" w:type="pct"/>
            <w:tcBorders>
              <w:top w:val="nil"/>
              <w:left w:val="nil"/>
              <w:bottom w:val="nil"/>
              <w:right w:val="nil"/>
            </w:tcBorders>
            <w:shd w:val="clear" w:color="auto" w:fill="auto"/>
            <w:vAlign w:val="center"/>
            <w:hideMark/>
          </w:tcPr>
          <w:p w14:paraId="07E28E1C" w14:textId="77777777" w:rsidR="000D76CC" w:rsidRPr="00954AA6"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r>
      <w:tr w:rsidR="0088391B" w:rsidRPr="00954AA6" w14:paraId="11044051" w14:textId="77777777" w:rsidTr="00954AA6">
        <w:trPr>
          <w:trHeight w:val="283"/>
          <w:jc w:val="center"/>
        </w:trPr>
        <w:tc>
          <w:tcPr>
            <w:tcW w:w="3101" w:type="pct"/>
            <w:tcBorders>
              <w:top w:val="nil"/>
              <w:left w:val="nil"/>
              <w:bottom w:val="nil"/>
              <w:right w:val="nil"/>
            </w:tcBorders>
            <w:shd w:val="clear" w:color="auto" w:fill="auto"/>
            <w:vAlign w:val="center"/>
            <w:hideMark/>
          </w:tcPr>
          <w:p w14:paraId="58C1D82E" w14:textId="77777777" w:rsidR="0088391B" w:rsidRPr="00954AA6" w:rsidRDefault="0088391B" w:rsidP="00954AA6">
            <w:pPr>
              <w:pBdr>
                <w:top w:val="none" w:sz="0" w:space="0" w:color="auto"/>
                <w:left w:val="none" w:sz="0" w:space="0" w:color="auto"/>
                <w:bottom w:val="none" w:sz="0" w:space="0" w:color="auto"/>
                <w:right w:val="none" w:sz="0" w:space="0" w:color="auto"/>
                <w:between w:val="none" w:sz="0" w:space="0" w:color="auto"/>
                <w:bar w:val="none" w:sz="0" w:color="auto"/>
              </w:pBdr>
              <w:ind w:left="214"/>
              <w:jc w:val="both"/>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Prestaciones de servicios</w:t>
            </w:r>
          </w:p>
        </w:tc>
        <w:tc>
          <w:tcPr>
            <w:tcW w:w="949" w:type="pct"/>
            <w:tcBorders>
              <w:top w:val="nil"/>
              <w:left w:val="nil"/>
              <w:bottom w:val="nil"/>
              <w:right w:val="nil"/>
            </w:tcBorders>
            <w:shd w:val="clear" w:color="auto" w:fill="auto"/>
            <w:vAlign w:val="center"/>
          </w:tcPr>
          <w:p w14:paraId="1F8F50C7" w14:textId="0A80E47A" w:rsidR="0088391B" w:rsidRPr="00954AA6" w:rsidRDefault="0088391B" w:rsidP="008839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236.170,83</w:t>
            </w:r>
          </w:p>
        </w:tc>
        <w:tc>
          <w:tcPr>
            <w:tcW w:w="949" w:type="pct"/>
            <w:tcBorders>
              <w:top w:val="nil"/>
              <w:left w:val="nil"/>
              <w:bottom w:val="nil"/>
              <w:right w:val="nil"/>
            </w:tcBorders>
            <w:shd w:val="clear" w:color="auto" w:fill="auto"/>
            <w:vAlign w:val="center"/>
            <w:hideMark/>
          </w:tcPr>
          <w:p w14:paraId="581AA3A1" w14:textId="1FD31C62" w:rsidR="0088391B" w:rsidRPr="00954AA6" w:rsidRDefault="0088391B" w:rsidP="008839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120.434,00</w:t>
            </w:r>
          </w:p>
        </w:tc>
      </w:tr>
      <w:tr w:rsidR="0088391B" w:rsidRPr="00954AA6" w14:paraId="0BB9FEF4" w14:textId="77777777" w:rsidTr="00954AA6">
        <w:trPr>
          <w:trHeight w:val="283"/>
          <w:jc w:val="center"/>
        </w:trPr>
        <w:tc>
          <w:tcPr>
            <w:tcW w:w="3101" w:type="pct"/>
            <w:tcBorders>
              <w:top w:val="nil"/>
              <w:left w:val="nil"/>
              <w:bottom w:val="nil"/>
              <w:right w:val="nil"/>
            </w:tcBorders>
            <w:shd w:val="clear" w:color="auto" w:fill="auto"/>
            <w:vAlign w:val="center"/>
            <w:hideMark/>
          </w:tcPr>
          <w:p w14:paraId="6B241B52" w14:textId="77777777" w:rsidR="0088391B" w:rsidRPr="00954AA6" w:rsidRDefault="0088391B" w:rsidP="00954AA6">
            <w:pPr>
              <w:pBdr>
                <w:top w:val="none" w:sz="0" w:space="0" w:color="auto"/>
                <w:left w:val="none" w:sz="0" w:space="0" w:color="auto"/>
                <w:bottom w:val="none" w:sz="0" w:space="0" w:color="auto"/>
                <w:right w:val="none" w:sz="0" w:space="0" w:color="auto"/>
                <w:between w:val="none" w:sz="0" w:space="0" w:color="auto"/>
                <w:bar w:val="none" w:sz="0" w:color="auto"/>
              </w:pBdr>
              <w:ind w:left="214"/>
              <w:jc w:val="both"/>
              <w:outlineLvl w:val="9"/>
              <w:rPr>
                <w:rFonts w:eastAsia="Times New Roman"/>
                <w:sz w:val="18"/>
                <w:szCs w:val="18"/>
                <w:bdr w:val="none" w:sz="0" w:space="0" w:color="auto"/>
                <w:lang w:eastAsia="es-ES"/>
              </w:rPr>
            </w:pPr>
            <w:proofErr w:type="spellStart"/>
            <w:r w:rsidRPr="00954AA6">
              <w:rPr>
                <w:rFonts w:eastAsia="Times New Roman"/>
                <w:sz w:val="18"/>
                <w:szCs w:val="18"/>
                <w:bdr w:val="none" w:sz="0" w:space="0" w:color="auto"/>
                <w:lang w:eastAsia="es-ES"/>
              </w:rPr>
              <w:t>Subv</w:t>
            </w:r>
            <w:proofErr w:type="spellEnd"/>
            <w:r w:rsidRPr="00954AA6">
              <w:rPr>
                <w:rFonts w:eastAsia="Times New Roman"/>
                <w:sz w:val="18"/>
                <w:szCs w:val="18"/>
                <w:bdr w:val="none" w:sz="0" w:space="0" w:color="auto"/>
                <w:lang w:eastAsia="es-ES"/>
              </w:rPr>
              <w:t>. de explotación incorporadas al resultado</w:t>
            </w:r>
          </w:p>
          <w:p w14:paraId="633905F5" w14:textId="77777777" w:rsidR="0088391B" w:rsidRPr="00954AA6" w:rsidRDefault="0088391B" w:rsidP="00954AA6">
            <w:pPr>
              <w:pBdr>
                <w:top w:val="none" w:sz="0" w:space="0" w:color="auto"/>
                <w:left w:val="none" w:sz="0" w:space="0" w:color="auto"/>
                <w:bottom w:val="none" w:sz="0" w:space="0" w:color="auto"/>
                <w:right w:val="none" w:sz="0" w:space="0" w:color="auto"/>
                <w:between w:val="none" w:sz="0" w:space="0" w:color="auto"/>
                <w:bar w:val="none" w:sz="0" w:color="auto"/>
              </w:pBdr>
              <w:ind w:left="214"/>
              <w:jc w:val="both"/>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del ejercicio</w:t>
            </w:r>
          </w:p>
        </w:tc>
        <w:tc>
          <w:tcPr>
            <w:tcW w:w="949" w:type="pct"/>
            <w:tcBorders>
              <w:top w:val="nil"/>
              <w:left w:val="nil"/>
              <w:bottom w:val="nil"/>
              <w:right w:val="nil"/>
            </w:tcBorders>
            <w:shd w:val="clear" w:color="auto" w:fill="auto"/>
            <w:vAlign w:val="center"/>
          </w:tcPr>
          <w:p w14:paraId="1DA67ADF" w14:textId="0DC9D33F" w:rsidR="0088391B" w:rsidRPr="00954AA6" w:rsidRDefault="0088391B" w:rsidP="008839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40.953.751,32</w:t>
            </w:r>
          </w:p>
        </w:tc>
        <w:tc>
          <w:tcPr>
            <w:tcW w:w="949" w:type="pct"/>
            <w:tcBorders>
              <w:top w:val="nil"/>
              <w:left w:val="nil"/>
              <w:bottom w:val="nil"/>
              <w:right w:val="nil"/>
            </w:tcBorders>
            <w:shd w:val="clear" w:color="auto" w:fill="auto"/>
            <w:vAlign w:val="center"/>
            <w:hideMark/>
          </w:tcPr>
          <w:p w14:paraId="16C481F3" w14:textId="40E566A7" w:rsidR="0088391B" w:rsidRPr="00954AA6" w:rsidRDefault="0088391B" w:rsidP="008839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18.480.502,24</w:t>
            </w:r>
          </w:p>
        </w:tc>
      </w:tr>
      <w:tr w:rsidR="0088391B" w:rsidRPr="00954AA6" w14:paraId="4ADFA9CC" w14:textId="77777777" w:rsidTr="00954AA6">
        <w:trPr>
          <w:trHeight w:val="283"/>
          <w:jc w:val="center"/>
        </w:trPr>
        <w:tc>
          <w:tcPr>
            <w:tcW w:w="3101" w:type="pct"/>
            <w:tcBorders>
              <w:top w:val="nil"/>
              <w:left w:val="nil"/>
              <w:bottom w:val="single" w:sz="4" w:space="0" w:color="auto"/>
              <w:right w:val="nil"/>
            </w:tcBorders>
            <w:shd w:val="clear" w:color="auto" w:fill="auto"/>
            <w:vAlign w:val="center"/>
            <w:hideMark/>
          </w:tcPr>
          <w:p w14:paraId="7976888A" w14:textId="77777777" w:rsidR="0088391B" w:rsidRPr="00954AA6" w:rsidRDefault="0088391B" w:rsidP="00954AA6">
            <w:pPr>
              <w:pBdr>
                <w:top w:val="none" w:sz="0" w:space="0" w:color="auto"/>
                <w:left w:val="none" w:sz="0" w:space="0" w:color="auto"/>
                <w:bottom w:val="none" w:sz="0" w:space="0" w:color="auto"/>
                <w:right w:val="none" w:sz="0" w:space="0" w:color="auto"/>
                <w:between w:val="none" w:sz="0" w:space="0" w:color="auto"/>
                <w:bar w:val="none" w:sz="0" w:color="auto"/>
              </w:pBdr>
              <w:ind w:left="214"/>
              <w:jc w:val="both"/>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Ingresos accesorios y otros de gestión corriente</w:t>
            </w:r>
          </w:p>
        </w:tc>
        <w:tc>
          <w:tcPr>
            <w:tcW w:w="949" w:type="pct"/>
            <w:tcBorders>
              <w:top w:val="nil"/>
              <w:left w:val="nil"/>
              <w:bottom w:val="nil"/>
              <w:right w:val="nil"/>
            </w:tcBorders>
            <w:shd w:val="clear" w:color="auto" w:fill="auto"/>
            <w:vAlign w:val="center"/>
          </w:tcPr>
          <w:p w14:paraId="53611549" w14:textId="12B9DEAB" w:rsidR="0088391B" w:rsidRPr="00954AA6" w:rsidRDefault="0088391B" w:rsidP="008839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118.400,67</w:t>
            </w:r>
          </w:p>
        </w:tc>
        <w:tc>
          <w:tcPr>
            <w:tcW w:w="949" w:type="pct"/>
            <w:tcBorders>
              <w:top w:val="nil"/>
              <w:left w:val="nil"/>
              <w:bottom w:val="nil"/>
              <w:right w:val="nil"/>
            </w:tcBorders>
            <w:shd w:val="clear" w:color="auto" w:fill="auto"/>
            <w:vAlign w:val="center"/>
            <w:hideMark/>
          </w:tcPr>
          <w:p w14:paraId="4E7A74CD" w14:textId="02F51E33" w:rsidR="0088391B" w:rsidRPr="00954AA6" w:rsidRDefault="0088391B" w:rsidP="008839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144.798,15</w:t>
            </w:r>
          </w:p>
        </w:tc>
      </w:tr>
      <w:tr w:rsidR="0088391B" w:rsidRPr="00954AA6" w14:paraId="6265E300" w14:textId="77777777" w:rsidTr="00954AA6">
        <w:trPr>
          <w:trHeight w:val="283"/>
          <w:jc w:val="center"/>
        </w:trPr>
        <w:tc>
          <w:tcPr>
            <w:tcW w:w="3101" w:type="pct"/>
            <w:tcBorders>
              <w:top w:val="nil"/>
              <w:left w:val="nil"/>
              <w:bottom w:val="single" w:sz="4" w:space="0" w:color="auto"/>
              <w:right w:val="nil"/>
            </w:tcBorders>
            <w:shd w:val="clear" w:color="auto" w:fill="auto"/>
            <w:vAlign w:val="center"/>
            <w:hideMark/>
          </w:tcPr>
          <w:p w14:paraId="0181E256" w14:textId="77777777" w:rsidR="0088391B" w:rsidRPr="00954AA6" w:rsidRDefault="0088391B" w:rsidP="00954AA6">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Total</w:t>
            </w:r>
          </w:p>
        </w:tc>
        <w:tc>
          <w:tcPr>
            <w:tcW w:w="949" w:type="pct"/>
            <w:tcBorders>
              <w:top w:val="single" w:sz="4" w:space="0" w:color="auto"/>
              <w:left w:val="nil"/>
              <w:bottom w:val="single" w:sz="4" w:space="0" w:color="auto"/>
              <w:right w:val="nil"/>
            </w:tcBorders>
            <w:shd w:val="clear" w:color="auto" w:fill="auto"/>
            <w:vAlign w:val="center"/>
          </w:tcPr>
          <w:p w14:paraId="6ED4ADF1" w14:textId="7FA00B20" w:rsidR="0088391B" w:rsidRPr="00954AA6" w:rsidRDefault="0088391B" w:rsidP="008839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54AA6">
              <w:rPr>
                <w:b/>
                <w:bCs/>
                <w:sz w:val="18"/>
                <w:szCs w:val="18"/>
              </w:rPr>
              <w:t>41.308.322,82</w:t>
            </w:r>
          </w:p>
        </w:tc>
        <w:tc>
          <w:tcPr>
            <w:tcW w:w="949" w:type="pct"/>
            <w:tcBorders>
              <w:top w:val="single" w:sz="4" w:space="0" w:color="auto"/>
              <w:left w:val="nil"/>
              <w:bottom w:val="single" w:sz="4" w:space="0" w:color="auto"/>
              <w:right w:val="nil"/>
            </w:tcBorders>
            <w:shd w:val="clear" w:color="auto" w:fill="auto"/>
            <w:vAlign w:val="center"/>
            <w:hideMark/>
          </w:tcPr>
          <w:p w14:paraId="7021F94D" w14:textId="2420E6C3" w:rsidR="0088391B" w:rsidRPr="00954AA6" w:rsidRDefault="0088391B" w:rsidP="0088391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18.745.734,39</w:t>
            </w:r>
          </w:p>
        </w:tc>
      </w:tr>
    </w:tbl>
    <w:p w14:paraId="79C263B8" w14:textId="77777777" w:rsidR="006220A2" w:rsidRPr="0083433F" w:rsidRDefault="006220A2" w:rsidP="003254FA">
      <w:pPr>
        <w:keepNex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left" w:pos="284"/>
        </w:tabs>
        <w:spacing w:before="200"/>
        <w:ind w:left="0" w:firstLine="0"/>
        <w:outlineLvl w:val="9"/>
        <w:rPr>
          <w:sz w:val="20"/>
          <w:szCs w:val="22"/>
          <w:u w:val="single"/>
        </w:rPr>
      </w:pPr>
      <w:r w:rsidRPr="0083433F">
        <w:rPr>
          <w:sz w:val="20"/>
          <w:szCs w:val="22"/>
          <w:u w:val="single"/>
        </w:rPr>
        <w:t>Gastos de explotación</w:t>
      </w:r>
    </w:p>
    <w:p w14:paraId="31787930"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 xml:space="preserve">Bajo este epígrafe se recogen los gastos en los que ha incurrido la Sociedad para la realización de su actividad promocional consistentes en la contratación de servicios a otras empresas, ver ampliación de esta información en el informe de gestión. </w:t>
      </w:r>
    </w:p>
    <w:tbl>
      <w:tblPr>
        <w:tblW w:w="5000" w:type="pct"/>
        <w:jc w:val="center"/>
        <w:tblCellMar>
          <w:left w:w="70" w:type="dxa"/>
          <w:right w:w="70" w:type="dxa"/>
        </w:tblCellMar>
        <w:tblLook w:val="04A0" w:firstRow="1" w:lastRow="0" w:firstColumn="1" w:lastColumn="0" w:noHBand="0" w:noVBand="1"/>
      </w:tblPr>
      <w:tblGrid>
        <w:gridCol w:w="5075"/>
        <w:gridCol w:w="1853"/>
        <w:gridCol w:w="1853"/>
      </w:tblGrid>
      <w:tr w:rsidR="000D76CC" w:rsidRPr="00954AA6" w14:paraId="47BFA425" w14:textId="77777777" w:rsidTr="00954AA6">
        <w:trPr>
          <w:trHeight w:val="227"/>
          <w:jc w:val="center"/>
        </w:trPr>
        <w:tc>
          <w:tcPr>
            <w:tcW w:w="2890" w:type="pct"/>
            <w:tcBorders>
              <w:top w:val="single" w:sz="4" w:space="0" w:color="auto"/>
              <w:left w:val="nil"/>
              <w:bottom w:val="nil"/>
              <w:right w:val="nil"/>
            </w:tcBorders>
            <w:shd w:val="clear" w:color="auto" w:fill="auto"/>
            <w:vAlign w:val="center"/>
            <w:hideMark/>
          </w:tcPr>
          <w:p w14:paraId="75CDFD47" w14:textId="77777777" w:rsidR="000D76CC" w:rsidRPr="00954AA6" w:rsidRDefault="000D76CC" w:rsidP="00954AA6">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2110" w:type="pct"/>
            <w:gridSpan w:val="2"/>
            <w:tcBorders>
              <w:top w:val="single" w:sz="4" w:space="0" w:color="auto"/>
              <w:left w:val="nil"/>
              <w:bottom w:val="single" w:sz="4" w:space="0" w:color="auto"/>
              <w:right w:val="nil"/>
            </w:tcBorders>
            <w:shd w:val="clear" w:color="auto" w:fill="auto"/>
            <w:vAlign w:val="bottom"/>
            <w:hideMark/>
          </w:tcPr>
          <w:p w14:paraId="7A7A7AA2" w14:textId="77777777" w:rsidR="000D76CC" w:rsidRPr="00954AA6"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0D76CC" w:rsidRPr="00954AA6" w14:paraId="1B5DB7F2" w14:textId="77777777" w:rsidTr="00954AA6">
        <w:trPr>
          <w:trHeight w:val="227"/>
          <w:jc w:val="center"/>
        </w:trPr>
        <w:tc>
          <w:tcPr>
            <w:tcW w:w="2890" w:type="pct"/>
            <w:tcBorders>
              <w:top w:val="nil"/>
              <w:left w:val="nil"/>
              <w:bottom w:val="single" w:sz="4" w:space="0" w:color="auto"/>
              <w:right w:val="nil"/>
            </w:tcBorders>
            <w:shd w:val="clear" w:color="auto" w:fill="auto"/>
            <w:vAlign w:val="center"/>
            <w:hideMark/>
          </w:tcPr>
          <w:p w14:paraId="1E08ECB2" w14:textId="77777777" w:rsidR="000D76CC" w:rsidRPr="00954AA6" w:rsidRDefault="000D76CC" w:rsidP="00954AA6">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1055" w:type="pct"/>
            <w:tcBorders>
              <w:top w:val="nil"/>
              <w:left w:val="nil"/>
              <w:bottom w:val="single" w:sz="4" w:space="0" w:color="auto"/>
              <w:right w:val="nil"/>
            </w:tcBorders>
            <w:shd w:val="clear" w:color="auto" w:fill="auto"/>
            <w:vAlign w:val="bottom"/>
            <w:hideMark/>
          </w:tcPr>
          <w:p w14:paraId="576D268E" w14:textId="4E3A9B76" w:rsidR="000D76CC" w:rsidRPr="00954AA6"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2555C0" w:rsidRPr="00954AA6">
              <w:rPr>
                <w:rFonts w:eastAsia="Times New Roman"/>
                <w:b/>
                <w:bCs/>
                <w:sz w:val="18"/>
                <w:szCs w:val="18"/>
                <w:bdr w:val="none" w:sz="0" w:space="0" w:color="auto"/>
                <w:lang w:eastAsia="es-ES"/>
              </w:rPr>
              <w:t>1</w:t>
            </w:r>
          </w:p>
        </w:tc>
        <w:tc>
          <w:tcPr>
            <w:tcW w:w="1055" w:type="pct"/>
            <w:tcBorders>
              <w:top w:val="nil"/>
              <w:left w:val="nil"/>
              <w:bottom w:val="single" w:sz="4" w:space="0" w:color="auto"/>
              <w:right w:val="nil"/>
            </w:tcBorders>
            <w:shd w:val="clear" w:color="auto" w:fill="auto"/>
            <w:vAlign w:val="bottom"/>
            <w:hideMark/>
          </w:tcPr>
          <w:p w14:paraId="116CF0C7" w14:textId="27F5D614" w:rsidR="000D76CC" w:rsidRPr="00954AA6"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w:t>
            </w:r>
            <w:r w:rsidR="002555C0" w:rsidRPr="00954AA6">
              <w:rPr>
                <w:rFonts w:eastAsia="Times New Roman"/>
                <w:b/>
                <w:bCs/>
                <w:sz w:val="18"/>
                <w:szCs w:val="18"/>
                <w:bdr w:val="none" w:sz="0" w:space="0" w:color="auto"/>
                <w:lang w:eastAsia="es-ES"/>
              </w:rPr>
              <w:t>20</w:t>
            </w:r>
          </w:p>
        </w:tc>
      </w:tr>
      <w:tr w:rsidR="000D76CC" w:rsidRPr="00954AA6" w14:paraId="7F561D0B" w14:textId="77777777" w:rsidTr="00954AA6">
        <w:trPr>
          <w:trHeight w:val="283"/>
          <w:jc w:val="center"/>
        </w:trPr>
        <w:tc>
          <w:tcPr>
            <w:tcW w:w="2890" w:type="pct"/>
            <w:tcBorders>
              <w:top w:val="nil"/>
              <w:left w:val="nil"/>
              <w:bottom w:val="nil"/>
              <w:right w:val="nil"/>
            </w:tcBorders>
            <w:shd w:val="clear" w:color="auto" w:fill="auto"/>
            <w:vAlign w:val="center"/>
            <w:hideMark/>
          </w:tcPr>
          <w:p w14:paraId="7566747C" w14:textId="77777777" w:rsidR="000D76CC" w:rsidRPr="00954AA6" w:rsidRDefault="000D76CC" w:rsidP="00954AA6">
            <w:pPr>
              <w:pBdr>
                <w:top w:val="none" w:sz="0" w:space="0" w:color="auto"/>
                <w:left w:val="none" w:sz="0" w:space="0" w:color="auto"/>
                <w:bottom w:val="none" w:sz="0" w:space="0" w:color="auto"/>
                <w:right w:val="none" w:sz="0" w:space="0" w:color="auto"/>
                <w:between w:val="none" w:sz="0" w:space="0" w:color="auto"/>
                <w:bar w:val="none" w:sz="0" w:color="auto"/>
              </w:pBdr>
              <w:ind w:left="214"/>
              <w:jc w:val="both"/>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Gastos de explotación</w:t>
            </w:r>
          </w:p>
        </w:tc>
        <w:tc>
          <w:tcPr>
            <w:tcW w:w="1055" w:type="pct"/>
            <w:tcBorders>
              <w:top w:val="nil"/>
              <w:left w:val="nil"/>
              <w:bottom w:val="nil"/>
              <w:right w:val="nil"/>
            </w:tcBorders>
            <w:shd w:val="clear" w:color="auto" w:fill="auto"/>
            <w:vAlign w:val="center"/>
            <w:hideMark/>
          </w:tcPr>
          <w:p w14:paraId="768FB460" w14:textId="77777777" w:rsidR="000D76CC" w:rsidRPr="00954AA6"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8"/>
                <w:szCs w:val="18"/>
                <w:bdr w:val="none" w:sz="0" w:space="0" w:color="auto"/>
                <w:lang w:eastAsia="es-ES"/>
              </w:rPr>
            </w:pPr>
          </w:p>
        </w:tc>
        <w:tc>
          <w:tcPr>
            <w:tcW w:w="1055" w:type="pct"/>
            <w:tcBorders>
              <w:top w:val="nil"/>
              <w:left w:val="nil"/>
              <w:bottom w:val="nil"/>
              <w:right w:val="nil"/>
            </w:tcBorders>
            <w:shd w:val="clear" w:color="auto" w:fill="auto"/>
            <w:vAlign w:val="center"/>
            <w:hideMark/>
          </w:tcPr>
          <w:p w14:paraId="0207C67B" w14:textId="77777777" w:rsidR="000D76CC" w:rsidRPr="00954AA6" w:rsidRDefault="000D76CC" w:rsidP="000D76C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New Roman" w:eastAsia="Times New Roman" w:hAnsi="Times New Roman" w:cs="Times New Roman"/>
                <w:color w:val="auto"/>
                <w:sz w:val="18"/>
                <w:szCs w:val="18"/>
                <w:bdr w:val="none" w:sz="0" w:space="0" w:color="auto"/>
                <w:lang w:eastAsia="es-ES"/>
              </w:rPr>
            </w:pPr>
          </w:p>
        </w:tc>
      </w:tr>
      <w:tr w:rsidR="00F16643" w:rsidRPr="00954AA6" w14:paraId="488018F6" w14:textId="77777777" w:rsidTr="00954AA6">
        <w:trPr>
          <w:trHeight w:val="283"/>
          <w:jc w:val="center"/>
        </w:trPr>
        <w:tc>
          <w:tcPr>
            <w:tcW w:w="2890" w:type="pct"/>
            <w:tcBorders>
              <w:top w:val="nil"/>
              <w:left w:val="nil"/>
              <w:bottom w:val="nil"/>
              <w:right w:val="nil"/>
            </w:tcBorders>
            <w:shd w:val="clear" w:color="auto" w:fill="auto"/>
            <w:vAlign w:val="center"/>
            <w:hideMark/>
          </w:tcPr>
          <w:p w14:paraId="25A53054" w14:textId="77777777" w:rsidR="00F16643" w:rsidRPr="00954AA6" w:rsidRDefault="00F16643" w:rsidP="00954AA6">
            <w:pPr>
              <w:pBdr>
                <w:top w:val="none" w:sz="0" w:space="0" w:color="auto"/>
                <w:left w:val="none" w:sz="0" w:space="0" w:color="auto"/>
                <w:bottom w:val="none" w:sz="0" w:space="0" w:color="auto"/>
                <w:right w:val="none" w:sz="0" w:space="0" w:color="auto"/>
                <w:between w:val="none" w:sz="0" w:space="0" w:color="auto"/>
                <w:bar w:val="none" w:sz="0" w:color="auto"/>
              </w:pBdr>
              <w:ind w:left="214"/>
              <w:jc w:val="both"/>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Trabajos realizados por otras empresas</w:t>
            </w:r>
          </w:p>
        </w:tc>
        <w:tc>
          <w:tcPr>
            <w:tcW w:w="1055" w:type="pct"/>
            <w:tcBorders>
              <w:top w:val="nil"/>
              <w:left w:val="nil"/>
              <w:bottom w:val="nil"/>
              <w:right w:val="nil"/>
            </w:tcBorders>
            <w:shd w:val="clear" w:color="auto" w:fill="auto"/>
            <w:vAlign w:val="center"/>
          </w:tcPr>
          <w:p w14:paraId="4D3BBE56" w14:textId="524627CC" w:rsidR="00F16643" w:rsidRPr="00954AA6" w:rsidRDefault="00F16643" w:rsidP="00F1664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40.679.814,47</w:t>
            </w:r>
          </w:p>
        </w:tc>
        <w:tc>
          <w:tcPr>
            <w:tcW w:w="1055" w:type="pct"/>
            <w:tcBorders>
              <w:top w:val="nil"/>
              <w:left w:val="nil"/>
              <w:bottom w:val="nil"/>
              <w:right w:val="nil"/>
            </w:tcBorders>
            <w:shd w:val="clear" w:color="auto" w:fill="auto"/>
            <w:vAlign w:val="center"/>
            <w:hideMark/>
          </w:tcPr>
          <w:p w14:paraId="0801CF73" w14:textId="1355EBD8" w:rsidR="00F16643" w:rsidRPr="00954AA6" w:rsidRDefault="00F16643" w:rsidP="00F1664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18.444.592,17</w:t>
            </w:r>
          </w:p>
        </w:tc>
      </w:tr>
      <w:tr w:rsidR="00F16643" w:rsidRPr="00954AA6" w14:paraId="2972FAE2" w14:textId="77777777" w:rsidTr="00954AA6">
        <w:trPr>
          <w:trHeight w:val="283"/>
          <w:jc w:val="center"/>
        </w:trPr>
        <w:tc>
          <w:tcPr>
            <w:tcW w:w="2890" w:type="pct"/>
            <w:tcBorders>
              <w:top w:val="single" w:sz="4" w:space="0" w:color="auto"/>
              <w:left w:val="nil"/>
              <w:bottom w:val="single" w:sz="4" w:space="0" w:color="auto"/>
              <w:right w:val="nil"/>
            </w:tcBorders>
            <w:shd w:val="clear" w:color="auto" w:fill="auto"/>
            <w:vAlign w:val="center"/>
            <w:hideMark/>
          </w:tcPr>
          <w:p w14:paraId="754A7952" w14:textId="77777777" w:rsidR="00F16643" w:rsidRPr="00954AA6" w:rsidRDefault="00F16643" w:rsidP="00954AA6">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Total</w:t>
            </w:r>
          </w:p>
        </w:tc>
        <w:tc>
          <w:tcPr>
            <w:tcW w:w="1055" w:type="pct"/>
            <w:tcBorders>
              <w:top w:val="single" w:sz="4" w:space="0" w:color="auto"/>
              <w:left w:val="nil"/>
              <w:bottom w:val="single" w:sz="4" w:space="0" w:color="auto"/>
              <w:right w:val="nil"/>
            </w:tcBorders>
            <w:shd w:val="clear" w:color="auto" w:fill="auto"/>
            <w:vAlign w:val="center"/>
          </w:tcPr>
          <w:p w14:paraId="451D2477" w14:textId="68719539" w:rsidR="00F16643" w:rsidRPr="00954AA6" w:rsidRDefault="00F16643" w:rsidP="00F1664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54AA6">
              <w:rPr>
                <w:b/>
                <w:bCs/>
                <w:sz w:val="18"/>
                <w:szCs w:val="18"/>
              </w:rPr>
              <w:t>40.679.814,47</w:t>
            </w:r>
          </w:p>
        </w:tc>
        <w:tc>
          <w:tcPr>
            <w:tcW w:w="1055" w:type="pct"/>
            <w:tcBorders>
              <w:top w:val="single" w:sz="4" w:space="0" w:color="auto"/>
              <w:left w:val="nil"/>
              <w:bottom w:val="single" w:sz="4" w:space="0" w:color="auto"/>
              <w:right w:val="nil"/>
            </w:tcBorders>
            <w:shd w:val="clear" w:color="auto" w:fill="auto"/>
            <w:vAlign w:val="center"/>
            <w:hideMark/>
          </w:tcPr>
          <w:p w14:paraId="0A0CD5CE" w14:textId="1E6805E0" w:rsidR="00F16643" w:rsidRPr="00954AA6" w:rsidRDefault="00F16643" w:rsidP="00F1664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18.444.592,17</w:t>
            </w:r>
          </w:p>
        </w:tc>
      </w:tr>
    </w:tbl>
    <w:p w14:paraId="3B0F68AC" w14:textId="77777777" w:rsidR="006220A2" w:rsidRPr="0083433F" w:rsidRDefault="006220A2" w:rsidP="00954AA6">
      <w:pPr>
        <w:keepNex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284"/>
        </w:tabs>
        <w:spacing w:before="200"/>
        <w:ind w:left="0" w:firstLine="0"/>
        <w:outlineLvl w:val="9"/>
        <w:rPr>
          <w:sz w:val="20"/>
          <w:szCs w:val="22"/>
          <w:u w:val="single"/>
        </w:rPr>
      </w:pPr>
      <w:r w:rsidRPr="0083433F">
        <w:rPr>
          <w:sz w:val="20"/>
          <w:szCs w:val="22"/>
          <w:u w:val="single"/>
        </w:rPr>
        <w:lastRenderedPageBreak/>
        <w:t>Gastos de personal</w:t>
      </w:r>
    </w:p>
    <w:p w14:paraId="592F6DA4" w14:textId="7E829F5B" w:rsidR="006220A2" w:rsidRPr="00176BA0" w:rsidRDefault="006220A2" w:rsidP="00954AA6">
      <w:pPr>
        <w:keepNext/>
        <w:keepLines/>
        <w:widowControl w:val="0"/>
        <w:spacing w:before="120" w:after="120" w:line="260" w:lineRule="exact"/>
        <w:ind w:left="284"/>
        <w:jc w:val="both"/>
        <w:outlineLvl w:val="9"/>
        <w:rPr>
          <w:snapToGrid w:val="0"/>
          <w:sz w:val="20"/>
          <w:szCs w:val="22"/>
        </w:rPr>
      </w:pPr>
      <w:r w:rsidRPr="00176BA0">
        <w:rPr>
          <w:snapToGrid w:val="0"/>
          <w:sz w:val="20"/>
          <w:szCs w:val="22"/>
        </w:rPr>
        <w:t>El detalle de los gastos de personal del ejercicio 20</w:t>
      </w:r>
      <w:r w:rsidR="000D76CC" w:rsidRPr="00176BA0">
        <w:rPr>
          <w:snapToGrid w:val="0"/>
          <w:sz w:val="20"/>
          <w:szCs w:val="22"/>
        </w:rPr>
        <w:t>2</w:t>
      </w:r>
      <w:r w:rsidR="002555C0" w:rsidRPr="00176BA0">
        <w:rPr>
          <w:snapToGrid w:val="0"/>
          <w:sz w:val="20"/>
          <w:szCs w:val="22"/>
        </w:rPr>
        <w:t>1</w:t>
      </w:r>
      <w:r w:rsidR="00CF69E6" w:rsidRPr="00176BA0">
        <w:rPr>
          <w:snapToGrid w:val="0"/>
          <w:sz w:val="20"/>
          <w:szCs w:val="22"/>
        </w:rPr>
        <w:t xml:space="preserve"> y 20</w:t>
      </w:r>
      <w:r w:rsidR="002555C0" w:rsidRPr="00176BA0">
        <w:rPr>
          <w:snapToGrid w:val="0"/>
          <w:sz w:val="20"/>
          <w:szCs w:val="22"/>
        </w:rPr>
        <w:t>20</w:t>
      </w:r>
      <w:r w:rsidRPr="00176BA0">
        <w:rPr>
          <w:snapToGrid w:val="0"/>
          <w:sz w:val="20"/>
          <w:szCs w:val="22"/>
        </w:rPr>
        <w:t>, es el siguiente:</w:t>
      </w:r>
    </w:p>
    <w:tbl>
      <w:tblPr>
        <w:tblW w:w="5000" w:type="pct"/>
        <w:jc w:val="center"/>
        <w:tblCellMar>
          <w:left w:w="70" w:type="dxa"/>
          <w:right w:w="70" w:type="dxa"/>
        </w:tblCellMar>
        <w:tblLook w:val="04A0" w:firstRow="1" w:lastRow="0" w:firstColumn="1" w:lastColumn="0" w:noHBand="0" w:noVBand="1"/>
      </w:tblPr>
      <w:tblGrid>
        <w:gridCol w:w="4912"/>
        <w:gridCol w:w="1935"/>
        <w:gridCol w:w="1934"/>
      </w:tblGrid>
      <w:tr w:rsidR="000D76CC" w:rsidRPr="00954AA6" w14:paraId="682E5B9E" w14:textId="77777777" w:rsidTr="00954AA6">
        <w:trPr>
          <w:trHeight w:val="227"/>
          <w:jc w:val="center"/>
        </w:trPr>
        <w:tc>
          <w:tcPr>
            <w:tcW w:w="2797" w:type="pct"/>
            <w:tcBorders>
              <w:top w:val="single" w:sz="4" w:space="0" w:color="auto"/>
              <w:left w:val="nil"/>
              <w:bottom w:val="nil"/>
              <w:right w:val="nil"/>
            </w:tcBorders>
            <w:shd w:val="clear" w:color="auto" w:fill="auto"/>
            <w:vAlign w:val="center"/>
            <w:hideMark/>
          </w:tcPr>
          <w:p w14:paraId="0B8E20A5" w14:textId="77777777" w:rsidR="000D76CC" w:rsidRPr="00954AA6" w:rsidRDefault="000D76CC"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2203" w:type="pct"/>
            <w:gridSpan w:val="2"/>
            <w:tcBorders>
              <w:top w:val="single" w:sz="4" w:space="0" w:color="auto"/>
              <w:left w:val="nil"/>
              <w:bottom w:val="single" w:sz="4" w:space="0" w:color="auto"/>
              <w:right w:val="nil"/>
            </w:tcBorders>
            <w:shd w:val="clear" w:color="auto" w:fill="auto"/>
            <w:vAlign w:val="bottom"/>
            <w:hideMark/>
          </w:tcPr>
          <w:p w14:paraId="66871B47" w14:textId="77777777" w:rsidR="000D76CC" w:rsidRPr="00954AA6" w:rsidRDefault="000D76CC"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0D76CC" w:rsidRPr="00954AA6" w14:paraId="11DE4EC2" w14:textId="77777777" w:rsidTr="00954AA6">
        <w:trPr>
          <w:trHeight w:val="227"/>
          <w:jc w:val="center"/>
        </w:trPr>
        <w:tc>
          <w:tcPr>
            <w:tcW w:w="2797" w:type="pct"/>
            <w:tcBorders>
              <w:top w:val="nil"/>
              <w:left w:val="nil"/>
              <w:bottom w:val="single" w:sz="4" w:space="0" w:color="auto"/>
              <w:right w:val="nil"/>
            </w:tcBorders>
            <w:shd w:val="clear" w:color="auto" w:fill="auto"/>
            <w:vAlign w:val="center"/>
            <w:hideMark/>
          </w:tcPr>
          <w:p w14:paraId="557D9AA8" w14:textId="77777777" w:rsidR="000D76CC" w:rsidRPr="00954AA6" w:rsidRDefault="000D76CC"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1102" w:type="pct"/>
            <w:tcBorders>
              <w:top w:val="nil"/>
              <w:left w:val="nil"/>
              <w:bottom w:val="single" w:sz="4" w:space="0" w:color="auto"/>
              <w:right w:val="nil"/>
            </w:tcBorders>
            <w:shd w:val="clear" w:color="auto" w:fill="auto"/>
            <w:vAlign w:val="bottom"/>
            <w:hideMark/>
          </w:tcPr>
          <w:p w14:paraId="4EA30C34" w14:textId="4BE41C5B" w:rsidR="000D76CC" w:rsidRPr="00954AA6" w:rsidRDefault="000D76CC"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2555C0" w:rsidRPr="00954AA6">
              <w:rPr>
                <w:rFonts w:eastAsia="Times New Roman"/>
                <w:b/>
                <w:bCs/>
                <w:sz w:val="18"/>
                <w:szCs w:val="18"/>
                <w:bdr w:val="none" w:sz="0" w:space="0" w:color="auto"/>
                <w:lang w:eastAsia="es-ES"/>
              </w:rPr>
              <w:t>1</w:t>
            </w:r>
          </w:p>
        </w:tc>
        <w:tc>
          <w:tcPr>
            <w:tcW w:w="1102" w:type="pct"/>
            <w:tcBorders>
              <w:top w:val="nil"/>
              <w:left w:val="nil"/>
              <w:bottom w:val="single" w:sz="4" w:space="0" w:color="auto"/>
              <w:right w:val="nil"/>
            </w:tcBorders>
            <w:shd w:val="clear" w:color="auto" w:fill="auto"/>
            <w:vAlign w:val="bottom"/>
            <w:hideMark/>
          </w:tcPr>
          <w:p w14:paraId="6017F351" w14:textId="152B44BA" w:rsidR="000D76CC" w:rsidRPr="00954AA6" w:rsidRDefault="000D76CC"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w:t>
            </w:r>
            <w:r w:rsidR="002555C0" w:rsidRPr="00954AA6">
              <w:rPr>
                <w:rFonts w:eastAsia="Times New Roman"/>
                <w:b/>
                <w:bCs/>
                <w:sz w:val="18"/>
                <w:szCs w:val="18"/>
                <w:bdr w:val="none" w:sz="0" w:space="0" w:color="auto"/>
                <w:lang w:eastAsia="es-ES"/>
              </w:rPr>
              <w:t>20</w:t>
            </w:r>
          </w:p>
        </w:tc>
      </w:tr>
      <w:tr w:rsidR="000D76CC" w:rsidRPr="00954AA6" w14:paraId="4EB72DDF" w14:textId="77777777" w:rsidTr="00954AA6">
        <w:trPr>
          <w:trHeight w:val="255"/>
          <w:jc w:val="center"/>
        </w:trPr>
        <w:tc>
          <w:tcPr>
            <w:tcW w:w="2797" w:type="pct"/>
            <w:tcBorders>
              <w:top w:val="nil"/>
              <w:left w:val="nil"/>
              <w:bottom w:val="nil"/>
              <w:right w:val="nil"/>
            </w:tcBorders>
            <w:shd w:val="clear" w:color="auto" w:fill="auto"/>
            <w:vAlign w:val="center"/>
            <w:hideMark/>
          </w:tcPr>
          <w:p w14:paraId="18802446" w14:textId="77777777" w:rsidR="000D76CC" w:rsidRPr="00954AA6" w:rsidRDefault="000D76CC"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Gastos de personal</w:t>
            </w:r>
          </w:p>
        </w:tc>
        <w:tc>
          <w:tcPr>
            <w:tcW w:w="1102" w:type="pct"/>
            <w:tcBorders>
              <w:top w:val="nil"/>
              <w:left w:val="nil"/>
              <w:bottom w:val="nil"/>
              <w:right w:val="nil"/>
            </w:tcBorders>
            <w:shd w:val="clear" w:color="auto" w:fill="auto"/>
            <w:vAlign w:val="center"/>
            <w:hideMark/>
          </w:tcPr>
          <w:p w14:paraId="06FC42F6" w14:textId="77777777" w:rsidR="000D76CC" w:rsidRPr="00954AA6" w:rsidRDefault="000D76CC"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1102" w:type="pct"/>
            <w:tcBorders>
              <w:top w:val="nil"/>
              <w:left w:val="nil"/>
              <w:bottom w:val="nil"/>
              <w:right w:val="nil"/>
            </w:tcBorders>
            <w:shd w:val="clear" w:color="auto" w:fill="auto"/>
            <w:vAlign w:val="center"/>
            <w:hideMark/>
          </w:tcPr>
          <w:p w14:paraId="16A18D52" w14:textId="77777777" w:rsidR="000D76CC" w:rsidRPr="00954AA6" w:rsidRDefault="000D76CC"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r>
      <w:tr w:rsidR="00F16643" w:rsidRPr="00954AA6" w14:paraId="7EDEBEE2" w14:textId="77777777" w:rsidTr="00954AA6">
        <w:trPr>
          <w:trHeight w:val="255"/>
          <w:jc w:val="center"/>
        </w:trPr>
        <w:tc>
          <w:tcPr>
            <w:tcW w:w="2797" w:type="pct"/>
            <w:tcBorders>
              <w:top w:val="nil"/>
              <w:left w:val="nil"/>
              <w:bottom w:val="nil"/>
              <w:right w:val="nil"/>
            </w:tcBorders>
            <w:shd w:val="clear" w:color="auto" w:fill="auto"/>
            <w:vAlign w:val="center"/>
            <w:hideMark/>
          </w:tcPr>
          <w:p w14:paraId="6467AEDC" w14:textId="77777777"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Sueldos y salarios</w:t>
            </w:r>
          </w:p>
        </w:tc>
        <w:tc>
          <w:tcPr>
            <w:tcW w:w="1102" w:type="pct"/>
            <w:tcBorders>
              <w:top w:val="nil"/>
              <w:left w:val="nil"/>
              <w:bottom w:val="nil"/>
              <w:right w:val="nil"/>
            </w:tcBorders>
            <w:shd w:val="clear" w:color="auto" w:fill="auto"/>
            <w:vAlign w:val="center"/>
          </w:tcPr>
          <w:p w14:paraId="78AC0882" w14:textId="45EFF174"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1.872.061,67</w:t>
            </w:r>
          </w:p>
        </w:tc>
        <w:tc>
          <w:tcPr>
            <w:tcW w:w="1102" w:type="pct"/>
            <w:tcBorders>
              <w:top w:val="nil"/>
              <w:left w:val="nil"/>
              <w:bottom w:val="nil"/>
              <w:right w:val="nil"/>
            </w:tcBorders>
            <w:shd w:val="clear" w:color="auto" w:fill="auto"/>
            <w:vAlign w:val="center"/>
            <w:hideMark/>
          </w:tcPr>
          <w:p w14:paraId="7ACF5437" w14:textId="3114D7B5"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1.581.477,34</w:t>
            </w:r>
          </w:p>
        </w:tc>
      </w:tr>
      <w:tr w:rsidR="00F16643" w:rsidRPr="00954AA6" w14:paraId="679F75ED" w14:textId="77777777" w:rsidTr="00954AA6">
        <w:trPr>
          <w:trHeight w:val="255"/>
          <w:jc w:val="center"/>
        </w:trPr>
        <w:tc>
          <w:tcPr>
            <w:tcW w:w="2797" w:type="pct"/>
            <w:tcBorders>
              <w:top w:val="nil"/>
              <w:left w:val="nil"/>
              <w:bottom w:val="nil"/>
              <w:right w:val="nil"/>
            </w:tcBorders>
            <w:shd w:val="clear" w:color="auto" w:fill="auto"/>
            <w:vAlign w:val="center"/>
            <w:hideMark/>
          </w:tcPr>
          <w:p w14:paraId="424DDC83" w14:textId="77777777"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Indemnizaciones</w:t>
            </w:r>
          </w:p>
        </w:tc>
        <w:tc>
          <w:tcPr>
            <w:tcW w:w="1102" w:type="pct"/>
            <w:tcBorders>
              <w:top w:val="nil"/>
              <w:left w:val="nil"/>
              <w:bottom w:val="nil"/>
              <w:right w:val="nil"/>
            </w:tcBorders>
            <w:shd w:val="clear" w:color="auto" w:fill="auto"/>
            <w:vAlign w:val="center"/>
          </w:tcPr>
          <w:p w14:paraId="40116388" w14:textId="210EB786"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56.631,52</w:t>
            </w:r>
          </w:p>
        </w:tc>
        <w:tc>
          <w:tcPr>
            <w:tcW w:w="1102" w:type="pct"/>
            <w:tcBorders>
              <w:top w:val="nil"/>
              <w:left w:val="nil"/>
              <w:bottom w:val="nil"/>
              <w:right w:val="nil"/>
            </w:tcBorders>
            <w:shd w:val="clear" w:color="auto" w:fill="auto"/>
            <w:vAlign w:val="center"/>
            <w:hideMark/>
          </w:tcPr>
          <w:p w14:paraId="76243F5B" w14:textId="3D019987"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11.228,27</w:t>
            </w:r>
          </w:p>
        </w:tc>
      </w:tr>
      <w:tr w:rsidR="00F16643" w:rsidRPr="00954AA6" w14:paraId="78CACA28" w14:textId="77777777" w:rsidTr="00954AA6">
        <w:trPr>
          <w:trHeight w:val="255"/>
          <w:jc w:val="center"/>
        </w:trPr>
        <w:tc>
          <w:tcPr>
            <w:tcW w:w="2797" w:type="pct"/>
            <w:tcBorders>
              <w:top w:val="nil"/>
              <w:left w:val="nil"/>
              <w:bottom w:val="nil"/>
              <w:right w:val="nil"/>
            </w:tcBorders>
            <w:shd w:val="clear" w:color="auto" w:fill="auto"/>
            <w:vAlign w:val="center"/>
            <w:hideMark/>
          </w:tcPr>
          <w:p w14:paraId="6B7BE647" w14:textId="77777777"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Cargas sociales</w:t>
            </w:r>
          </w:p>
        </w:tc>
        <w:tc>
          <w:tcPr>
            <w:tcW w:w="1102" w:type="pct"/>
            <w:tcBorders>
              <w:top w:val="nil"/>
              <w:left w:val="nil"/>
              <w:bottom w:val="nil"/>
              <w:right w:val="nil"/>
            </w:tcBorders>
            <w:shd w:val="clear" w:color="auto" w:fill="auto"/>
            <w:vAlign w:val="center"/>
          </w:tcPr>
          <w:p w14:paraId="0B3E2230" w14:textId="4CA354FD"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489.999,43</w:t>
            </w:r>
          </w:p>
        </w:tc>
        <w:tc>
          <w:tcPr>
            <w:tcW w:w="1102" w:type="pct"/>
            <w:tcBorders>
              <w:top w:val="nil"/>
              <w:left w:val="nil"/>
              <w:bottom w:val="nil"/>
              <w:right w:val="nil"/>
            </w:tcBorders>
            <w:shd w:val="clear" w:color="auto" w:fill="auto"/>
            <w:vAlign w:val="center"/>
            <w:hideMark/>
          </w:tcPr>
          <w:p w14:paraId="69B25098" w14:textId="1B8087D8"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441.650,64</w:t>
            </w:r>
          </w:p>
        </w:tc>
      </w:tr>
      <w:tr w:rsidR="00F16643" w:rsidRPr="00954AA6" w14:paraId="772C2372" w14:textId="77777777" w:rsidTr="00954AA6">
        <w:trPr>
          <w:trHeight w:val="255"/>
          <w:jc w:val="center"/>
        </w:trPr>
        <w:tc>
          <w:tcPr>
            <w:tcW w:w="2797" w:type="pct"/>
            <w:tcBorders>
              <w:top w:val="nil"/>
              <w:left w:val="nil"/>
              <w:bottom w:val="nil"/>
              <w:right w:val="nil"/>
            </w:tcBorders>
            <w:shd w:val="clear" w:color="auto" w:fill="auto"/>
            <w:vAlign w:val="center"/>
            <w:hideMark/>
          </w:tcPr>
          <w:p w14:paraId="16BA52CD" w14:textId="77777777"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Otros gastos sociales</w:t>
            </w:r>
          </w:p>
        </w:tc>
        <w:tc>
          <w:tcPr>
            <w:tcW w:w="1102" w:type="pct"/>
            <w:tcBorders>
              <w:top w:val="nil"/>
              <w:left w:val="nil"/>
              <w:bottom w:val="nil"/>
              <w:right w:val="nil"/>
            </w:tcBorders>
            <w:shd w:val="clear" w:color="auto" w:fill="auto"/>
            <w:vAlign w:val="center"/>
          </w:tcPr>
          <w:p w14:paraId="0507361A" w14:textId="3100486D"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10.957,16</w:t>
            </w:r>
          </w:p>
        </w:tc>
        <w:tc>
          <w:tcPr>
            <w:tcW w:w="1102" w:type="pct"/>
            <w:tcBorders>
              <w:top w:val="nil"/>
              <w:left w:val="nil"/>
              <w:bottom w:val="nil"/>
              <w:right w:val="nil"/>
            </w:tcBorders>
            <w:shd w:val="clear" w:color="auto" w:fill="auto"/>
            <w:vAlign w:val="center"/>
            <w:hideMark/>
          </w:tcPr>
          <w:p w14:paraId="00B33CB2" w14:textId="61157CCA"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7.476,04</w:t>
            </w:r>
          </w:p>
        </w:tc>
      </w:tr>
      <w:tr w:rsidR="00F16643" w:rsidRPr="00954AA6" w14:paraId="7D23D050" w14:textId="77777777" w:rsidTr="00954AA6">
        <w:trPr>
          <w:trHeight w:val="255"/>
          <w:jc w:val="center"/>
        </w:trPr>
        <w:tc>
          <w:tcPr>
            <w:tcW w:w="2797" w:type="pct"/>
            <w:tcBorders>
              <w:top w:val="single" w:sz="4" w:space="0" w:color="auto"/>
              <w:left w:val="nil"/>
              <w:bottom w:val="single" w:sz="4" w:space="0" w:color="auto"/>
              <w:right w:val="nil"/>
            </w:tcBorders>
            <w:shd w:val="clear" w:color="auto" w:fill="auto"/>
            <w:vAlign w:val="center"/>
            <w:hideMark/>
          </w:tcPr>
          <w:p w14:paraId="7358C1C0" w14:textId="77777777"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Total</w:t>
            </w:r>
          </w:p>
        </w:tc>
        <w:tc>
          <w:tcPr>
            <w:tcW w:w="1102" w:type="pct"/>
            <w:tcBorders>
              <w:top w:val="single" w:sz="4" w:space="0" w:color="auto"/>
              <w:left w:val="nil"/>
              <w:bottom w:val="single" w:sz="4" w:space="0" w:color="auto"/>
              <w:right w:val="nil"/>
            </w:tcBorders>
            <w:shd w:val="clear" w:color="auto" w:fill="auto"/>
            <w:vAlign w:val="center"/>
          </w:tcPr>
          <w:p w14:paraId="2F0DD95D" w14:textId="72E74141"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54AA6">
              <w:rPr>
                <w:b/>
                <w:bCs/>
                <w:sz w:val="18"/>
                <w:szCs w:val="18"/>
              </w:rPr>
              <w:t>2.429.649,78</w:t>
            </w:r>
          </w:p>
        </w:tc>
        <w:tc>
          <w:tcPr>
            <w:tcW w:w="1102" w:type="pct"/>
            <w:tcBorders>
              <w:top w:val="single" w:sz="4" w:space="0" w:color="auto"/>
              <w:left w:val="nil"/>
              <w:bottom w:val="single" w:sz="4" w:space="0" w:color="auto"/>
              <w:right w:val="nil"/>
            </w:tcBorders>
            <w:shd w:val="clear" w:color="auto" w:fill="auto"/>
            <w:vAlign w:val="center"/>
            <w:hideMark/>
          </w:tcPr>
          <w:p w14:paraId="41588CF1" w14:textId="7F90D420" w:rsidR="00F16643" w:rsidRPr="00954AA6" w:rsidRDefault="00F16643"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2.041.832,29</w:t>
            </w:r>
          </w:p>
        </w:tc>
      </w:tr>
    </w:tbl>
    <w:p w14:paraId="0C5B64F3" w14:textId="77777777" w:rsidR="006220A2" w:rsidRPr="0083433F" w:rsidRDefault="006220A2" w:rsidP="003254FA">
      <w:pPr>
        <w:keepNex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83433F">
        <w:rPr>
          <w:sz w:val="20"/>
          <w:szCs w:val="22"/>
          <w:u w:val="single"/>
        </w:rPr>
        <w:t>Otros gastos de explotación</w:t>
      </w:r>
    </w:p>
    <w:p w14:paraId="293C841D" w14:textId="7AF343B9"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El detalle de “Otros gastos de explotación” del ejercicio 20</w:t>
      </w:r>
      <w:r w:rsidR="000D76CC" w:rsidRPr="00176BA0">
        <w:rPr>
          <w:snapToGrid w:val="0"/>
          <w:sz w:val="20"/>
          <w:szCs w:val="22"/>
        </w:rPr>
        <w:t>2</w:t>
      </w:r>
      <w:r w:rsidR="002555C0" w:rsidRPr="00176BA0">
        <w:rPr>
          <w:snapToGrid w:val="0"/>
          <w:sz w:val="20"/>
          <w:szCs w:val="22"/>
        </w:rPr>
        <w:t>1</w:t>
      </w:r>
      <w:r w:rsidR="00973506" w:rsidRPr="00176BA0">
        <w:rPr>
          <w:snapToGrid w:val="0"/>
          <w:sz w:val="20"/>
          <w:szCs w:val="22"/>
        </w:rPr>
        <w:t xml:space="preserve"> y 20</w:t>
      </w:r>
      <w:r w:rsidR="002555C0" w:rsidRPr="00176BA0">
        <w:rPr>
          <w:snapToGrid w:val="0"/>
          <w:sz w:val="20"/>
          <w:szCs w:val="22"/>
        </w:rPr>
        <w:t>20</w:t>
      </w:r>
      <w:r w:rsidRPr="00176BA0">
        <w:rPr>
          <w:snapToGrid w:val="0"/>
          <w:sz w:val="20"/>
          <w:szCs w:val="22"/>
        </w:rPr>
        <w:t>, es el siguiente:</w:t>
      </w:r>
    </w:p>
    <w:tbl>
      <w:tblPr>
        <w:tblW w:w="5000" w:type="pct"/>
        <w:jc w:val="center"/>
        <w:tblCellMar>
          <w:left w:w="70" w:type="dxa"/>
          <w:right w:w="70" w:type="dxa"/>
        </w:tblCellMar>
        <w:tblLook w:val="04A0" w:firstRow="1" w:lastRow="0" w:firstColumn="1" w:lastColumn="0" w:noHBand="0" w:noVBand="1"/>
      </w:tblPr>
      <w:tblGrid>
        <w:gridCol w:w="5229"/>
        <w:gridCol w:w="1776"/>
        <w:gridCol w:w="1776"/>
      </w:tblGrid>
      <w:tr w:rsidR="00395ADC" w:rsidRPr="00954AA6" w14:paraId="5355FE0C" w14:textId="77777777" w:rsidTr="00954AA6">
        <w:trPr>
          <w:trHeight w:val="227"/>
          <w:jc w:val="center"/>
        </w:trPr>
        <w:tc>
          <w:tcPr>
            <w:tcW w:w="2978" w:type="pct"/>
            <w:tcBorders>
              <w:top w:val="single" w:sz="4" w:space="0" w:color="auto"/>
              <w:left w:val="nil"/>
              <w:bottom w:val="nil"/>
              <w:right w:val="nil"/>
            </w:tcBorders>
            <w:shd w:val="clear" w:color="auto" w:fill="auto"/>
            <w:vAlign w:val="center"/>
            <w:hideMark/>
          </w:tcPr>
          <w:p w14:paraId="11A50B1A" w14:textId="77777777" w:rsidR="00395ADC" w:rsidRPr="00954AA6" w:rsidRDefault="00395ADC"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2022" w:type="pct"/>
            <w:gridSpan w:val="2"/>
            <w:tcBorders>
              <w:top w:val="single" w:sz="4" w:space="0" w:color="auto"/>
              <w:left w:val="nil"/>
              <w:bottom w:val="single" w:sz="4" w:space="0" w:color="auto"/>
              <w:right w:val="nil"/>
            </w:tcBorders>
            <w:shd w:val="clear" w:color="auto" w:fill="auto"/>
            <w:vAlign w:val="bottom"/>
            <w:hideMark/>
          </w:tcPr>
          <w:p w14:paraId="03A7B1A0" w14:textId="77777777" w:rsidR="00395ADC" w:rsidRPr="00954AA6"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395ADC" w:rsidRPr="00954AA6" w14:paraId="02808F67" w14:textId="77777777" w:rsidTr="00954AA6">
        <w:trPr>
          <w:trHeight w:val="227"/>
          <w:jc w:val="center"/>
        </w:trPr>
        <w:tc>
          <w:tcPr>
            <w:tcW w:w="2978" w:type="pct"/>
            <w:tcBorders>
              <w:top w:val="nil"/>
              <w:left w:val="nil"/>
              <w:bottom w:val="single" w:sz="4" w:space="0" w:color="auto"/>
              <w:right w:val="nil"/>
            </w:tcBorders>
            <w:shd w:val="clear" w:color="auto" w:fill="auto"/>
            <w:vAlign w:val="center"/>
            <w:hideMark/>
          </w:tcPr>
          <w:p w14:paraId="24FFF1AC" w14:textId="77777777" w:rsidR="00395ADC" w:rsidRPr="00954AA6" w:rsidRDefault="00395ADC"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1011" w:type="pct"/>
            <w:tcBorders>
              <w:top w:val="nil"/>
              <w:left w:val="nil"/>
              <w:bottom w:val="single" w:sz="4" w:space="0" w:color="auto"/>
              <w:right w:val="nil"/>
            </w:tcBorders>
            <w:shd w:val="clear" w:color="auto" w:fill="auto"/>
            <w:vAlign w:val="bottom"/>
            <w:hideMark/>
          </w:tcPr>
          <w:p w14:paraId="09E708C3" w14:textId="38A7D8A2" w:rsidR="00395ADC" w:rsidRPr="00954AA6"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2555C0" w:rsidRPr="00954AA6">
              <w:rPr>
                <w:rFonts w:eastAsia="Times New Roman"/>
                <w:b/>
                <w:bCs/>
                <w:sz w:val="18"/>
                <w:szCs w:val="18"/>
                <w:bdr w:val="none" w:sz="0" w:space="0" w:color="auto"/>
                <w:lang w:eastAsia="es-ES"/>
              </w:rPr>
              <w:t>1</w:t>
            </w:r>
          </w:p>
        </w:tc>
        <w:tc>
          <w:tcPr>
            <w:tcW w:w="1011" w:type="pct"/>
            <w:tcBorders>
              <w:top w:val="nil"/>
              <w:left w:val="nil"/>
              <w:bottom w:val="single" w:sz="4" w:space="0" w:color="auto"/>
              <w:right w:val="nil"/>
            </w:tcBorders>
            <w:shd w:val="clear" w:color="auto" w:fill="auto"/>
            <w:vAlign w:val="bottom"/>
            <w:hideMark/>
          </w:tcPr>
          <w:p w14:paraId="7F47D9EF" w14:textId="6A5B3FD4" w:rsidR="00395ADC" w:rsidRPr="00954AA6"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w:t>
            </w:r>
            <w:r w:rsidR="002555C0" w:rsidRPr="00954AA6">
              <w:rPr>
                <w:rFonts w:eastAsia="Times New Roman"/>
                <w:b/>
                <w:bCs/>
                <w:sz w:val="18"/>
                <w:szCs w:val="18"/>
                <w:bdr w:val="none" w:sz="0" w:space="0" w:color="auto"/>
                <w:lang w:eastAsia="es-ES"/>
              </w:rPr>
              <w:t>20</w:t>
            </w:r>
          </w:p>
        </w:tc>
      </w:tr>
      <w:tr w:rsidR="00395ADC" w:rsidRPr="00954AA6" w14:paraId="0F89627B" w14:textId="77777777" w:rsidTr="00954AA6">
        <w:trPr>
          <w:trHeight w:val="283"/>
          <w:jc w:val="center"/>
        </w:trPr>
        <w:tc>
          <w:tcPr>
            <w:tcW w:w="2978" w:type="pct"/>
            <w:tcBorders>
              <w:top w:val="nil"/>
              <w:left w:val="nil"/>
              <w:bottom w:val="nil"/>
              <w:right w:val="nil"/>
            </w:tcBorders>
            <w:shd w:val="clear" w:color="auto" w:fill="auto"/>
            <w:vAlign w:val="center"/>
            <w:hideMark/>
          </w:tcPr>
          <w:p w14:paraId="190A1359" w14:textId="77777777" w:rsidR="00395ADC" w:rsidRPr="00954AA6" w:rsidRDefault="00395ADC"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Otros gastos de explotación</w:t>
            </w:r>
          </w:p>
        </w:tc>
        <w:tc>
          <w:tcPr>
            <w:tcW w:w="1011" w:type="pct"/>
            <w:tcBorders>
              <w:top w:val="nil"/>
              <w:left w:val="nil"/>
              <w:bottom w:val="nil"/>
              <w:right w:val="nil"/>
            </w:tcBorders>
            <w:shd w:val="clear" w:color="auto" w:fill="auto"/>
            <w:noWrap/>
            <w:vAlign w:val="center"/>
            <w:hideMark/>
          </w:tcPr>
          <w:p w14:paraId="32950844" w14:textId="77777777" w:rsidR="00395ADC" w:rsidRPr="00954AA6"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c>
          <w:tcPr>
            <w:tcW w:w="1011" w:type="pct"/>
            <w:tcBorders>
              <w:top w:val="nil"/>
              <w:left w:val="nil"/>
              <w:bottom w:val="nil"/>
              <w:right w:val="nil"/>
            </w:tcBorders>
            <w:shd w:val="clear" w:color="auto" w:fill="auto"/>
            <w:vAlign w:val="center"/>
            <w:hideMark/>
          </w:tcPr>
          <w:p w14:paraId="1A6AD566" w14:textId="77777777" w:rsidR="00395ADC" w:rsidRPr="00954AA6"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r>
      <w:tr w:rsidR="00144FB3" w:rsidRPr="00954AA6" w14:paraId="7E92E914" w14:textId="77777777" w:rsidTr="00954AA6">
        <w:trPr>
          <w:trHeight w:val="283"/>
          <w:jc w:val="center"/>
        </w:trPr>
        <w:tc>
          <w:tcPr>
            <w:tcW w:w="2978" w:type="pct"/>
            <w:tcBorders>
              <w:top w:val="nil"/>
              <w:left w:val="nil"/>
              <w:bottom w:val="nil"/>
              <w:right w:val="nil"/>
            </w:tcBorders>
            <w:shd w:val="clear" w:color="auto" w:fill="auto"/>
            <w:vAlign w:val="center"/>
            <w:hideMark/>
          </w:tcPr>
          <w:p w14:paraId="2493B38B" w14:textId="77777777" w:rsidR="00144FB3" w:rsidRPr="00954AA6" w:rsidRDefault="00144FB3"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Arrendamientos y cánones</w:t>
            </w:r>
          </w:p>
        </w:tc>
        <w:tc>
          <w:tcPr>
            <w:tcW w:w="1011" w:type="pct"/>
            <w:tcBorders>
              <w:top w:val="nil"/>
              <w:left w:val="nil"/>
              <w:bottom w:val="nil"/>
              <w:right w:val="nil"/>
            </w:tcBorders>
            <w:shd w:val="clear" w:color="auto" w:fill="auto"/>
            <w:vAlign w:val="center"/>
          </w:tcPr>
          <w:p w14:paraId="515BB170" w14:textId="7C28A057" w:rsidR="00144FB3" w:rsidRPr="00954AA6" w:rsidRDefault="00144FB3" w:rsidP="00144F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72.653,51</w:t>
            </w:r>
          </w:p>
        </w:tc>
        <w:tc>
          <w:tcPr>
            <w:tcW w:w="1011" w:type="pct"/>
            <w:tcBorders>
              <w:top w:val="nil"/>
              <w:left w:val="nil"/>
              <w:bottom w:val="nil"/>
              <w:right w:val="nil"/>
            </w:tcBorders>
            <w:shd w:val="clear" w:color="auto" w:fill="auto"/>
            <w:vAlign w:val="center"/>
            <w:hideMark/>
          </w:tcPr>
          <w:p w14:paraId="45B2FCA4" w14:textId="363C53F6" w:rsidR="00144FB3" w:rsidRPr="00954AA6" w:rsidRDefault="00144FB3" w:rsidP="00144F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72.192,72</w:t>
            </w:r>
          </w:p>
        </w:tc>
      </w:tr>
      <w:tr w:rsidR="00144FB3" w:rsidRPr="00954AA6" w14:paraId="5E9495C3" w14:textId="77777777" w:rsidTr="00954AA6">
        <w:trPr>
          <w:trHeight w:val="283"/>
          <w:jc w:val="center"/>
        </w:trPr>
        <w:tc>
          <w:tcPr>
            <w:tcW w:w="2978" w:type="pct"/>
            <w:tcBorders>
              <w:top w:val="nil"/>
              <w:left w:val="nil"/>
              <w:bottom w:val="nil"/>
              <w:right w:val="nil"/>
            </w:tcBorders>
            <w:shd w:val="clear" w:color="auto" w:fill="auto"/>
            <w:vAlign w:val="center"/>
            <w:hideMark/>
          </w:tcPr>
          <w:p w14:paraId="6504ABBC" w14:textId="77777777" w:rsidR="00144FB3" w:rsidRPr="00954AA6" w:rsidRDefault="00144FB3"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Reparaciones y conservación</w:t>
            </w:r>
          </w:p>
        </w:tc>
        <w:tc>
          <w:tcPr>
            <w:tcW w:w="1011" w:type="pct"/>
            <w:tcBorders>
              <w:top w:val="nil"/>
              <w:left w:val="nil"/>
              <w:bottom w:val="nil"/>
              <w:right w:val="nil"/>
            </w:tcBorders>
            <w:shd w:val="clear" w:color="auto" w:fill="auto"/>
            <w:vAlign w:val="center"/>
          </w:tcPr>
          <w:p w14:paraId="7F3D34B8" w14:textId="3D9C1BA6" w:rsidR="00144FB3" w:rsidRPr="00954AA6" w:rsidRDefault="00144FB3" w:rsidP="00144FB3">
            <w:pPr>
              <w:jc w:val="right"/>
              <w:rPr>
                <w:sz w:val="18"/>
                <w:szCs w:val="18"/>
              </w:rPr>
            </w:pPr>
            <w:r w:rsidRPr="00954AA6">
              <w:rPr>
                <w:sz w:val="18"/>
                <w:szCs w:val="18"/>
              </w:rPr>
              <w:t>74.790,36</w:t>
            </w:r>
          </w:p>
        </w:tc>
        <w:tc>
          <w:tcPr>
            <w:tcW w:w="1011" w:type="pct"/>
            <w:tcBorders>
              <w:top w:val="nil"/>
              <w:left w:val="nil"/>
              <w:bottom w:val="nil"/>
              <w:right w:val="nil"/>
            </w:tcBorders>
            <w:shd w:val="clear" w:color="auto" w:fill="auto"/>
            <w:vAlign w:val="center"/>
            <w:hideMark/>
          </w:tcPr>
          <w:p w14:paraId="6A1C667C" w14:textId="6945C52C" w:rsidR="00144FB3" w:rsidRPr="00954AA6" w:rsidRDefault="00144FB3" w:rsidP="00144F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102.410,14</w:t>
            </w:r>
          </w:p>
        </w:tc>
      </w:tr>
      <w:tr w:rsidR="00144FB3" w:rsidRPr="00954AA6" w14:paraId="0444E788" w14:textId="77777777" w:rsidTr="00954AA6">
        <w:trPr>
          <w:trHeight w:val="283"/>
          <w:jc w:val="center"/>
        </w:trPr>
        <w:tc>
          <w:tcPr>
            <w:tcW w:w="2978" w:type="pct"/>
            <w:tcBorders>
              <w:top w:val="nil"/>
              <w:left w:val="nil"/>
              <w:bottom w:val="nil"/>
              <w:right w:val="nil"/>
            </w:tcBorders>
            <w:shd w:val="clear" w:color="auto" w:fill="auto"/>
            <w:vAlign w:val="center"/>
            <w:hideMark/>
          </w:tcPr>
          <w:p w14:paraId="05423734" w14:textId="77777777" w:rsidR="00144FB3" w:rsidRPr="00954AA6" w:rsidRDefault="00144FB3"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xml:space="preserve">Servicios de </w:t>
            </w:r>
            <w:proofErr w:type="spellStart"/>
            <w:r w:rsidRPr="00954AA6">
              <w:rPr>
                <w:rFonts w:eastAsia="Times New Roman"/>
                <w:sz w:val="18"/>
                <w:szCs w:val="18"/>
                <w:bdr w:val="none" w:sz="0" w:space="0" w:color="auto"/>
                <w:lang w:eastAsia="es-ES"/>
              </w:rPr>
              <w:t>prof.</w:t>
            </w:r>
            <w:proofErr w:type="spellEnd"/>
            <w:r w:rsidRPr="00954AA6">
              <w:rPr>
                <w:rFonts w:eastAsia="Times New Roman"/>
                <w:sz w:val="18"/>
                <w:szCs w:val="18"/>
                <w:bdr w:val="none" w:sz="0" w:space="0" w:color="auto"/>
                <w:lang w:eastAsia="es-ES"/>
              </w:rPr>
              <w:t xml:space="preserve"> independientes</w:t>
            </w:r>
          </w:p>
        </w:tc>
        <w:tc>
          <w:tcPr>
            <w:tcW w:w="1011" w:type="pct"/>
            <w:tcBorders>
              <w:top w:val="nil"/>
              <w:left w:val="nil"/>
              <w:bottom w:val="nil"/>
              <w:right w:val="nil"/>
            </w:tcBorders>
            <w:shd w:val="clear" w:color="auto" w:fill="auto"/>
            <w:vAlign w:val="center"/>
          </w:tcPr>
          <w:p w14:paraId="584C85CE" w14:textId="28DD7477" w:rsidR="00144FB3" w:rsidRPr="00954AA6" w:rsidRDefault="00144FB3" w:rsidP="00144FB3">
            <w:pPr>
              <w:jc w:val="right"/>
              <w:rPr>
                <w:sz w:val="18"/>
                <w:szCs w:val="18"/>
              </w:rPr>
            </w:pPr>
            <w:r w:rsidRPr="00954AA6">
              <w:rPr>
                <w:sz w:val="18"/>
                <w:szCs w:val="18"/>
              </w:rPr>
              <w:t>13.704,91</w:t>
            </w:r>
          </w:p>
        </w:tc>
        <w:tc>
          <w:tcPr>
            <w:tcW w:w="1011" w:type="pct"/>
            <w:tcBorders>
              <w:top w:val="nil"/>
              <w:left w:val="nil"/>
              <w:bottom w:val="nil"/>
              <w:right w:val="nil"/>
            </w:tcBorders>
            <w:shd w:val="clear" w:color="auto" w:fill="auto"/>
            <w:vAlign w:val="center"/>
            <w:hideMark/>
          </w:tcPr>
          <w:p w14:paraId="0AB6075B" w14:textId="7E401083" w:rsidR="00144FB3" w:rsidRPr="00954AA6" w:rsidRDefault="00144FB3" w:rsidP="00144F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10.760,22</w:t>
            </w:r>
          </w:p>
        </w:tc>
      </w:tr>
      <w:tr w:rsidR="00144FB3" w:rsidRPr="00954AA6" w14:paraId="3331DC11" w14:textId="77777777" w:rsidTr="00954AA6">
        <w:trPr>
          <w:trHeight w:val="283"/>
          <w:jc w:val="center"/>
        </w:trPr>
        <w:tc>
          <w:tcPr>
            <w:tcW w:w="2978" w:type="pct"/>
            <w:tcBorders>
              <w:top w:val="nil"/>
              <w:left w:val="nil"/>
              <w:bottom w:val="nil"/>
              <w:right w:val="nil"/>
            </w:tcBorders>
            <w:shd w:val="clear" w:color="auto" w:fill="auto"/>
            <w:vAlign w:val="center"/>
            <w:hideMark/>
          </w:tcPr>
          <w:p w14:paraId="62730C18" w14:textId="77777777" w:rsidR="00144FB3" w:rsidRPr="00954AA6" w:rsidRDefault="00144FB3"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Primas de seguros</w:t>
            </w:r>
          </w:p>
        </w:tc>
        <w:tc>
          <w:tcPr>
            <w:tcW w:w="1011" w:type="pct"/>
            <w:tcBorders>
              <w:top w:val="nil"/>
              <w:left w:val="nil"/>
              <w:bottom w:val="nil"/>
              <w:right w:val="nil"/>
            </w:tcBorders>
            <w:shd w:val="clear" w:color="auto" w:fill="auto"/>
            <w:vAlign w:val="center"/>
          </w:tcPr>
          <w:p w14:paraId="72A3DDB1" w14:textId="52C9C5CE" w:rsidR="00144FB3" w:rsidRPr="00954AA6" w:rsidRDefault="00144FB3" w:rsidP="00144FB3">
            <w:pPr>
              <w:jc w:val="right"/>
              <w:rPr>
                <w:sz w:val="18"/>
                <w:szCs w:val="18"/>
              </w:rPr>
            </w:pPr>
            <w:r w:rsidRPr="00954AA6">
              <w:rPr>
                <w:sz w:val="18"/>
                <w:szCs w:val="18"/>
              </w:rPr>
              <w:t>19.937,22</w:t>
            </w:r>
          </w:p>
        </w:tc>
        <w:tc>
          <w:tcPr>
            <w:tcW w:w="1011" w:type="pct"/>
            <w:tcBorders>
              <w:top w:val="nil"/>
              <w:left w:val="nil"/>
              <w:bottom w:val="nil"/>
              <w:right w:val="nil"/>
            </w:tcBorders>
            <w:shd w:val="clear" w:color="auto" w:fill="auto"/>
            <w:vAlign w:val="center"/>
            <w:hideMark/>
          </w:tcPr>
          <w:p w14:paraId="137CBB80" w14:textId="29DD2C5C" w:rsidR="00144FB3" w:rsidRPr="00954AA6" w:rsidRDefault="00144FB3" w:rsidP="00144F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17.667,54</w:t>
            </w:r>
          </w:p>
        </w:tc>
      </w:tr>
      <w:tr w:rsidR="00144FB3" w:rsidRPr="00954AA6" w14:paraId="58510369" w14:textId="77777777" w:rsidTr="00954AA6">
        <w:trPr>
          <w:trHeight w:val="283"/>
          <w:jc w:val="center"/>
        </w:trPr>
        <w:tc>
          <w:tcPr>
            <w:tcW w:w="2978" w:type="pct"/>
            <w:tcBorders>
              <w:top w:val="nil"/>
              <w:left w:val="nil"/>
              <w:bottom w:val="nil"/>
              <w:right w:val="nil"/>
            </w:tcBorders>
            <w:shd w:val="clear" w:color="auto" w:fill="auto"/>
            <w:vAlign w:val="center"/>
            <w:hideMark/>
          </w:tcPr>
          <w:p w14:paraId="1AD4455B" w14:textId="77777777" w:rsidR="00144FB3" w:rsidRPr="00954AA6" w:rsidRDefault="00144FB3"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Servicios bancarios y similares</w:t>
            </w:r>
          </w:p>
        </w:tc>
        <w:tc>
          <w:tcPr>
            <w:tcW w:w="1011" w:type="pct"/>
            <w:tcBorders>
              <w:top w:val="nil"/>
              <w:left w:val="nil"/>
              <w:bottom w:val="nil"/>
              <w:right w:val="nil"/>
            </w:tcBorders>
            <w:shd w:val="clear" w:color="auto" w:fill="auto"/>
            <w:vAlign w:val="center"/>
          </w:tcPr>
          <w:p w14:paraId="5C756AFB" w14:textId="21B6621B" w:rsidR="00144FB3" w:rsidRPr="00954AA6" w:rsidRDefault="00144FB3" w:rsidP="00144FB3">
            <w:pPr>
              <w:jc w:val="right"/>
              <w:rPr>
                <w:sz w:val="18"/>
                <w:szCs w:val="18"/>
              </w:rPr>
            </w:pPr>
            <w:r w:rsidRPr="00954AA6">
              <w:rPr>
                <w:sz w:val="18"/>
                <w:szCs w:val="18"/>
              </w:rPr>
              <w:t>20.774,76</w:t>
            </w:r>
          </w:p>
        </w:tc>
        <w:tc>
          <w:tcPr>
            <w:tcW w:w="1011" w:type="pct"/>
            <w:tcBorders>
              <w:top w:val="nil"/>
              <w:left w:val="nil"/>
              <w:bottom w:val="nil"/>
              <w:right w:val="nil"/>
            </w:tcBorders>
            <w:shd w:val="clear" w:color="auto" w:fill="auto"/>
            <w:vAlign w:val="center"/>
            <w:hideMark/>
          </w:tcPr>
          <w:p w14:paraId="1F95FE7F" w14:textId="61CF3964" w:rsidR="00144FB3" w:rsidRPr="00954AA6" w:rsidRDefault="00144FB3" w:rsidP="00144F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7.698,60</w:t>
            </w:r>
          </w:p>
        </w:tc>
      </w:tr>
      <w:tr w:rsidR="00144FB3" w:rsidRPr="00954AA6" w14:paraId="2B50FBBB" w14:textId="77777777" w:rsidTr="00954AA6">
        <w:trPr>
          <w:trHeight w:val="283"/>
          <w:jc w:val="center"/>
        </w:trPr>
        <w:tc>
          <w:tcPr>
            <w:tcW w:w="2978" w:type="pct"/>
            <w:tcBorders>
              <w:top w:val="nil"/>
              <w:left w:val="nil"/>
              <w:bottom w:val="nil"/>
              <w:right w:val="nil"/>
            </w:tcBorders>
            <w:shd w:val="clear" w:color="auto" w:fill="auto"/>
            <w:vAlign w:val="center"/>
            <w:hideMark/>
          </w:tcPr>
          <w:p w14:paraId="36FCB29B" w14:textId="77777777" w:rsidR="00144FB3" w:rsidRPr="00954AA6" w:rsidRDefault="00144FB3"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xml:space="preserve">Publicidad, </w:t>
            </w:r>
            <w:proofErr w:type="spellStart"/>
            <w:r w:rsidRPr="00954AA6">
              <w:rPr>
                <w:rFonts w:eastAsia="Times New Roman"/>
                <w:sz w:val="18"/>
                <w:szCs w:val="18"/>
                <w:bdr w:val="none" w:sz="0" w:space="0" w:color="auto"/>
                <w:lang w:eastAsia="es-ES"/>
              </w:rPr>
              <w:t>prop</w:t>
            </w:r>
            <w:proofErr w:type="spellEnd"/>
            <w:r w:rsidRPr="00954AA6">
              <w:rPr>
                <w:rFonts w:eastAsia="Times New Roman"/>
                <w:sz w:val="18"/>
                <w:szCs w:val="18"/>
                <w:bdr w:val="none" w:sz="0" w:space="0" w:color="auto"/>
                <w:lang w:eastAsia="es-ES"/>
              </w:rPr>
              <w:t>. y relaciones públicas</w:t>
            </w:r>
          </w:p>
        </w:tc>
        <w:tc>
          <w:tcPr>
            <w:tcW w:w="1011" w:type="pct"/>
            <w:tcBorders>
              <w:top w:val="nil"/>
              <w:left w:val="nil"/>
              <w:bottom w:val="nil"/>
              <w:right w:val="nil"/>
            </w:tcBorders>
            <w:shd w:val="clear" w:color="auto" w:fill="auto"/>
            <w:vAlign w:val="center"/>
          </w:tcPr>
          <w:p w14:paraId="175CA786" w14:textId="6CDE595B" w:rsidR="00144FB3" w:rsidRPr="00954AA6" w:rsidRDefault="00144FB3" w:rsidP="00144FB3">
            <w:pPr>
              <w:jc w:val="right"/>
              <w:rPr>
                <w:sz w:val="18"/>
                <w:szCs w:val="18"/>
              </w:rPr>
            </w:pPr>
            <w:r w:rsidRPr="00954AA6">
              <w:rPr>
                <w:sz w:val="18"/>
                <w:szCs w:val="18"/>
              </w:rPr>
              <w:t>714,16</w:t>
            </w:r>
          </w:p>
        </w:tc>
        <w:tc>
          <w:tcPr>
            <w:tcW w:w="1011" w:type="pct"/>
            <w:tcBorders>
              <w:top w:val="nil"/>
              <w:left w:val="nil"/>
              <w:bottom w:val="nil"/>
              <w:right w:val="nil"/>
            </w:tcBorders>
            <w:shd w:val="clear" w:color="auto" w:fill="auto"/>
            <w:vAlign w:val="center"/>
            <w:hideMark/>
          </w:tcPr>
          <w:p w14:paraId="58937088" w14:textId="6AECC68B" w:rsidR="00144FB3" w:rsidRPr="00954AA6" w:rsidRDefault="00144FB3" w:rsidP="00144F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2.404,11</w:t>
            </w:r>
          </w:p>
        </w:tc>
      </w:tr>
      <w:tr w:rsidR="00144FB3" w:rsidRPr="00954AA6" w14:paraId="2DA3CB50" w14:textId="77777777" w:rsidTr="00954AA6">
        <w:trPr>
          <w:trHeight w:val="283"/>
          <w:jc w:val="center"/>
        </w:trPr>
        <w:tc>
          <w:tcPr>
            <w:tcW w:w="2978" w:type="pct"/>
            <w:tcBorders>
              <w:top w:val="nil"/>
              <w:left w:val="nil"/>
              <w:bottom w:val="nil"/>
              <w:right w:val="nil"/>
            </w:tcBorders>
            <w:shd w:val="clear" w:color="auto" w:fill="auto"/>
            <w:vAlign w:val="center"/>
            <w:hideMark/>
          </w:tcPr>
          <w:p w14:paraId="5CD6051B" w14:textId="77777777" w:rsidR="00144FB3" w:rsidRPr="00954AA6" w:rsidRDefault="00144FB3"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Suministros</w:t>
            </w:r>
          </w:p>
        </w:tc>
        <w:tc>
          <w:tcPr>
            <w:tcW w:w="1011" w:type="pct"/>
            <w:tcBorders>
              <w:top w:val="nil"/>
              <w:left w:val="nil"/>
              <w:bottom w:val="nil"/>
              <w:right w:val="nil"/>
            </w:tcBorders>
            <w:shd w:val="clear" w:color="auto" w:fill="auto"/>
            <w:vAlign w:val="center"/>
          </w:tcPr>
          <w:p w14:paraId="198EC44A" w14:textId="2916F710" w:rsidR="00144FB3" w:rsidRPr="00954AA6" w:rsidRDefault="00144FB3" w:rsidP="00144FB3">
            <w:pPr>
              <w:jc w:val="right"/>
              <w:rPr>
                <w:sz w:val="18"/>
                <w:szCs w:val="18"/>
              </w:rPr>
            </w:pPr>
            <w:r w:rsidRPr="00954AA6">
              <w:rPr>
                <w:sz w:val="18"/>
                <w:szCs w:val="18"/>
              </w:rPr>
              <w:t>18.082,97</w:t>
            </w:r>
          </w:p>
        </w:tc>
        <w:tc>
          <w:tcPr>
            <w:tcW w:w="1011" w:type="pct"/>
            <w:tcBorders>
              <w:top w:val="nil"/>
              <w:left w:val="nil"/>
              <w:bottom w:val="nil"/>
              <w:right w:val="nil"/>
            </w:tcBorders>
            <w:shd w:val="clear" w:color="auto" w:fill="auto"/>
            <w:vAlign w:val="center"/>
            <w:hideMark/>
          </w:tcPr>
          <w:p w14:paraId="150CF871" w14:textId="74504931" w:rsidR="00144FB3" w:rsidRPr="00954AA6" w:rsidRDefault="00144FB3" w:rsidP="00144F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18.389,19</w:t>
            </w:r>
          </w:p>
        </w:tc>
      </w:tr>
      <w:tr w:rsidR="00144FB3" w:rsidRPr="00954AA6" w14:paraId="4C2B3A70" w14:textId="77777777" w:rsidTr="00954AA6">
        <w:trPr>
          <w:trHeight w:val="283"/>
          <w:jc w:val="center"/>
        </w:trPr>
        <w:tc>
          <w:tcPr>
            <w:tcW w:w="2978" w:type="pct"/>
            <w:tcBorders>
              <w:top w:val="nil"/>
              <w:left w:val="nil"/>
              <w:bottom w:val="nil"/>
              <w:right w:val="nil"/>
            </w:tcBorders>
            <w:shd w:val="clear" w:color="auto" w:fill="auto"/>
            <w:vAlign w:val="center"/>
            <w:hideMark/>
          </w:tcPr>
          <w:p w14:paraId="7FBB81BE" w14:textId="77777777" w:rsidR="00144FB3" w:rsidRPr="00954AA6" w:rsidRDefault="00144FB3"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Otros servicios</w:t>
            </w:r>
          </w:p>
        </w:tc>
        <w:tc>
          <w:tcPr>
            <w:tcW w:w="1011" w:type="pct"/>
            <w:tcBorders>
              <w:top w:val="nil"/>
              <w:left w:val="nil"/>
              <w:bottom w:val="nil"/>
              <w:right w:val="nil"/>
            </w:tcBorders>
            <w:shd w:val="clear" w:color="auto" w:fill="auto"/>
            <w:vAlign w:val="center"/>
          </w:tcPr>
          <w:p w14:paraId="576D5361" w14:textId="7110F627" w:rsidR="00144FB3" w:rsidRPr="00954AA6" w:rsidRDefault="00144FB3" w:rsidP="00144FB3">
            <w:pPr>
              <w:jc w:val="right"/>
              <w:rPr>
                <w:sz w:val="18"/>
                <w:szCs w:val="18"/>
              </w:rPr>
            </w:pPr>
            <w:r w:rsidRPr="00954AA6">
              <w:rPr>
                <w:sz w:val="18"/>
                <w:szCs w:val="18"/>
              </w:rPr>
              <w:t>187.566,13</w:t>
            </w:r>
          </w:p>
        </w:tc>
        <w:tc>
          <w:tcPr>
            <w:tcW w:w="1011" w:type="pct"/>
            <w:tcBorders>
              <w:top w:val="nil"/>
              <w:left w:val="nil"/>
              <w:bottom w:val="nil"/>
              <w:right w:val="nil"/>
            </w:tcBorders>
            <w:shd w:val="clear" w:color="auto" w:fill="auto"/>
            <w:vAlign w:val="center"/>
            <w:hideMark/>
          </w:tcPr>
          <w:p w14:paraId="182485BC" w14:textId="030288A2" w:rsidR="00144FB3" w:rsidRPr="00954AA6" w:rsidRDefault="00144FB3" w:rsidP="00144F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168.701,50</w:t>
            </w:r>
          </w:p>
        </w:tc>
      </w:tr>
      <w:tr w:rsidR="00144FB3" w:rsidRPr="00954AA6" w14:paraId="130350F3" w14:textId="77777777" w:rsidTr="00954AA6">
        <w:trPr>
          <w:trHeight w:val="283"/>
          <w:jc w:val="center"/>
        </w:trPr>
        <w:tc>
          <w:tcPr>
            <w:tcW w:w="2978" w:type="pct"/>
            <w:tcBorders>
              <w:top w:val="nil"/>
              <w:left w:val="nil"/>
              <w:bottom w:val="nil"/>
              <w:right w:val="nil"/>
            </w:tcBorders>
            <w:shd w:val="clear" w:color="auto" w:fill="auto"/>
            <w:vAlign w:val="center"/>
            <w:hideMark/>
          </w:tcPr>
          <w:p w14:paraId="316DBCEB" w14:textId="77777777" w:rsidR="00144FB3" w:rsidRPr="00954AA6" w:rsidRDefault="00144FB3"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Otros tributos</w:t>
            </w:r>
          </w:p>
        </w:tc>
        <w:tc>
          <w:tcPr>
            <w:tcW w:w="1011" w:type="pct"/>
            <w:tcBorders>
              <w:top w:val="nil"/>
              <w:left w:val="nil"/>
              <w:bottom w:val="nil"/>
              <w:right w:val="nil"/>
            </w:tcBorders>
            <w:shd w:val="clear" w:color="auto" w:fill="auto"/>
            <w:vAlign w:val="center"/>
          </w:tcPr>
          <w:p w14:paraId="59F5623B" w14:textId="32C0321A" w:rsidR="00144FB3" w:rsidRPr="00954AA6" w:rsidRDefault="00144FB3" w:rsidP="00144FB3">
            <w:pPr>
              <w:jc w:val="right"/>
              <w:rPr>
                <w:sz w:val="18"/>
                <w:szCs w:val="18"/>
              </w:rPr>
            </w:pPr>
            <w:r w:rsidRPr="00954AA6">
              <w:rPr>
                <w:sz w:val="18"/>
                <w:szCs w:val="18"/>
              </w:rPr>
              <w:t>8.417,22</w:t>
            </w:r>
          </w:p>
        </w:tc>
        <w:tc>
          <w:tcPr>
            <w:tcW w:w="1011" w:type="pct"/>
            <w:tcBorders>
              <w:top w:val="nil"/>
              <w:left w:val="nil"/>
              <w:bottom w:val="nil"/>
              <w:right w:val="nil"/>
            </w:tcBorders>
            <w:shd w:val="clear" w:color="auto" w:fill="auto"/>
            <w:vAlign w:val="center"/>
            <w:hideMark/>
          </w:tcPr>
          <w:p w14:paraId="35C649A0" w14:textId="28B29A90" w:rsidR="00144FB3" w:rsidRPr="00954AA6" w:rsidRDefault="00144FB3" w:rsidP="00144F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8.243,45</w:t>
            </w:r>
          </w:p>
        </w:tc>
      </w:tr>
      <w:tr w:rsidR="00144FB3" w:rsidRPr="00954AA6" w14:paraId="7C015854" w14:textId="77777777" w:rsidTr="00954AA6">
        <w:trPr>
          <w:trHeight w:val="283"/>
          <w:jc w:val="center"/>
        </w:trPr>
        <w:tc>
          <w:tcPr>
            <w:tcW w:w="2978" w:type="pct"/>
            <w:tcBorders>
              <w:top w:val="single" w:sz="4" w:space="0" w:color="auto"/>
              <w:left w:val="nil"/>
              <w:bottom w:val="single" w:sz="4" w:space="0" w:color="auto"/>
              <w:right w:val="nil"/>
            </w:tcBorders>
            <w:shd w:val="clear" w:color="auto" w:fill="auto"/>
            <w:vAlign w:val="center"/>
            <w:hideMark/>
          </w:tcPr>
          <w:p w14:paraId="01453B3F" w14:textId="77777777" w:rsidR="00144FB3" w:rsidRPr="00954AA6" w:rsidRDefault="00144FB3"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Total</w:t>
            </w:r>
          </w:p>
        </w:tc>
        <w:tc>
          <w:tcPr>
            <w:tcW w:w="1011" w:type="pct"/>
            <w:tcBorders>
              <w:top w:val="single" w:sz="4" w:space="0" w:color="auto"/>
              <w:left w:val="nil"/>
              <w:bottom w:val="single" w:sz="4" w:space="0" w:color="auto"/>
              <w:right w:val="nil"/>
            </w:tcBorders>
            <w:shd w:val="clear" w:color="auto" w:fill="auto"/>
            <w:vAlign w:val="center"/>
          </w:tcPr>
          <w:p w14:paraId="57FE7F81" w14:textId="124ED3B5" w:rsidR="00144FB3" w:rsidRPr="00954AA6" w:rsidRDefault="00144FB3" w:rsidP="00144FB3">
            <w:pPr>
              <w:jc w:val="right"/>
              <w:rPr>
                <w:b/>
                <w:bCs/>
                <w:sz w:val="18"/>
                <w:szCs w:val="18"/>
              </w:rPr>
            </w:pPr>
            <w:r w:rsidRPr="00954AA6">
              <w:rPr>
                <w:b/>
                <w:bCs/>
                <w:sz w:val="18"/>
                <w:szCs w:val="18"/>
              </w:rPr>
              <w:t>416.641,24</w:t>
            </w:r>
          </w:p>
        </w:tc>
        <w:tc>
          <w:tcPr>
            <w:tcW w:w="1011" w:type="pct"/>
            <w:tcBorders>
              <w:top w:val="single" w:sz="4" w:space="0" w:color="auto"/>
              <w:left w:val="nil"/>
              <w:bottom w:val="single" w:sz="4" w:space="0" w:color="auto"/>
              <w:right w:val="nil"/>
            </w:tcBorders>
            <w:shd w:val="clear" w:color="auto" w:fill="auto"/>
            <w:vAlign w:val="center"/>
            <w:hideMark/>
          </w:tcPr>
          <w:p w14:paraId="596E6ABA" w14:textId="4485BB80" w:rsidR="00144FB3" w:rsidRPr="00954AA6" w:rsidRDefault="00144FB3" w:rsidP="00144F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54AA6">
              <w:rPr>
                <w:b/>
                <w:bCs/>
                <w:sz w:val="18"/>
                <w:szCs w:val="18"/>
              </w:rPr>
              <w:t>408.467,47</w:t>
            </w:r>
          </w:p>
        </w:tc>
      </w:tr>
    </w:tbl>
    <w:p w14:paraId="5AA68AE5" w14:textId="77777777" w:rsidR="006220A2" w:rsidRPr="0083433F" w:rsidRDefault="006220A2" w:rsidP="003254FA">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before="200"/>
        <w:ind w:left="0" w:firstLine="0"/>
        <w:outlineLvl w:val="9"/>
        <w:rPr>
          <w:sz w:val="20"/>
          <w:szCs w:val="22"/>
          <w:u w:val="single"/>
        </w:rPr>
      </w:pPr>
      <w:r w:rsidRPr="0083433F">
        <w:rPr>
          <w:sz w:val="20"/>
          <w:szCs w:val="22"/>
          <w:u w:val="single"/>
        </w:rPr>
        <w:t>Resultado financiero</w:t>
      </w:r>
    </w:p>
    <w:p w14:paraId="422B611D" w14:textId="25AD71CB" w:rsidR="006220A2" w:rsidRPr="00176BA0" w:rsidRDefault="0047349F" w:rsidP="00176BA0">
      <w:pPr>
        <w:widowControl w:val="0"/>
        <w:spacing w:before="120" w:after="120" w:line="260" w:lineRule="exact"/>
        <w:ind w:left="284"/>
        <w:jc w:val="both"/>
        <w:outlineLvl w:val="9"/>
        <w:rPr>
          <w:snapToGrid w:val="0"/>
          <w:sz w:val="20"/>
          <w:szCs w:val="22"/>
        </w:rPr>
      </w:pPr>
      <w:r w:rsidRPr="00176BA0">
        <w:rPr>
          <w:snapToGrid w:val="0"/>
          <w:sz w:val="20"/>
          <w:szCs w:val="22"/>
        </w:rPr>
        <w:t>En el ejercicio 20</w:t>
      </w:r>
      <w:r w:rsidR="00803471" w:rsidRPr="00176BA0">
        <w:rPr>
          <w:snapToGrid w:val="0"/>
          <w:sz w:val="20"/>
          <w:szCs w:val="22"/>
        </w:rPr>
        <w:t>2</w:t>
      </w:r>
      <w:r w:rsidR="006748A4" w:rsidRPr="00176BA0">
        <w:rPr>
          <w:snapToGrid w:val="0"/>
          <w:sz w:val="20"/>
          <w:szCs w:val="22"/>
        </w:rPr>
        <w:t>1</w:t>
      </w:r>
      <w:r w:rsidR="0097484D" w:rsidRPr="00176BA0">
        <w:rPr>
          <w:snapToGrid w:val="0"/>
          <w:sz w:val="20"/>
          <w:szCs w:val="22"/>
        </w:rPr>
        <w:t xml:space="preserve"> </w:t>
      </w:r>
      <w:r w:rsidR="006220A2" w:rsidRPr="00176BA0">
        <w:rPr>
          <w:snapToGrid w:val="0"/>
          <w:sz w:val="20"/>
          <w:szCs w:val="22"/>
        </w:rPr>
        <w:t xml:space="preserve">las cuentas corrientes contratadas por la Sociedad </w:t>
      </w:r>
      <w:r w:rsidR="0097484D" w:rsidRPr="00176BA0">
        <w:rPr>
          <w:snapToGrid w:val="0"/>
          <w:sz w:val="20"/>
          <w:szCs w:val="22"/>
        </w:rPr>
        <w:t xml:space="preserve">no han </w:t>
      </w:r>
      <w:r w:rsidR="006220A2" w:rsidRPr="00176BA0">
        <w:rPr>
          <w:snapToGrid w:val="0"/>
          <w:sz w:val="20"/>
          <w:szCs w:val="22"/>
        </w:rPr>
        <w:t>genera</w:t>
      </w:r>
      <w:r w:rsidR="0097484D" w:rsidRPr="00176BA0">
        <w:rPr>
          <w:snapToGrid w:val="0"/>
          <w:sz w:val="20"/>
          <w:szCs w:val="22"/>
        </w:rPr>
        <w:t>do</w:t>
      </w:r>
      <w:r w:rsidR="006220A2" w:rsidRPr="00176BA0">
        <w:rPr>
          <w:snapToGrid w:val="0"/>
          <w:sz w:val="20"/>
          <w:szCs w:val="22"/>
        </w:rPr>
        <w:t xml:space="preserve"> </w:t>
      </w:r>
      <w:r w:rsidR="004161BD" w:rsidRPr="00176BA0">
        <w:rPr>
          <w:snapToGrid w:val="0"/>
          <w:sz w:val="20"/>
          <w:szCs w:val="22"/>
        </w:rPr>
        <w:t xml:space="preserve">ingresos por </w:t>
      </w:r>
      <w:r w:rsidR="0097484D" w:rsidRPr="00176BA0">
        <w:rPr>
          <w:snapToGrid w:val="0"/>
          <w:sz w:val="20"/>
          <w:szCs w:val="22"/>
        </w:rPr>
        <w:t>intereses (</w:t>
      </w:r>
      <w:r w:rsidR="006220A2" w:rsidRPr="00176BA0">
        <w:rPr>
          <w:snapToGrid w:val="0"/>
          <w:sz w:val="20"/>
          <w:szCs w:val="22"/>
        </w:rPr>
        <w:t xml:space="preserve">tipo de interés medio del 0% en </w:t>
      </w:r>
      <w:r w:rsidR="00FD445C" w:rsidRPr="00176BA0">
        <w:rPr>
          <w:snapToGrid w:val="0"/>
          <w:sz w:val="20"/>
          <w:szCs w:val="22"/>
        </w:rPr>
        <w:t>20</w:t>
      </w:r>
      <w:r w:rsidR="006748A4" w:rsidRPr="00176BA0">
        <w:rPr>
          <w:snapToGrid w:val="0"/>
          <w:sz w:val="20"/>
          <w:szCs w:val="22"/>
        </w:rPr>
        <w:t>20</w:t>
      </w:r>
      <w:r w:rsidR="006220A2" w:rsidRPr="00176BA0">
        <w:rPr>
          <w:snapToGrid w:val="0"/>
          <w:sz w:val="20"/>
          <w:szCs w:val="22"/>
        </w:rPr>
        <w:t>).</w:t>
      </w:r>
    </w:p>
    <w:tbl>
      <w:tblPr>
        <w:tblW w:w="5000" w:type="pct"/>
        <w:jc w:val="center"/>
        <w:tblCellMar>
          <w:left w:w="70" w:type="dxa"/>
          <w:right w:w="70" w:type="dxa"/>
        </w:tblCellMar>
        <w:tblLook w:val="04A0" w:firstRow="1" w:lastRow="0" w:firstColumn="1" w:lastColumn="0" w:noHBand="0" w:noVBand="1"/>
      </w:tblPr>
      <w:tblGrid>
        <w:gridCol w:w="5313"/>
        <w:gridCol w:w="1735"/>
        <w:gridCol w:w="1733"/>
      </w:tblGrid>
      <w:tr w:rsidR="00803471" w:rsidRPr="00954AA6" w14:paraId="46AFF319" w14:textId="77777777" w:rsidTr="00954AA6">
        <w:trPr>
          <w:trHeight w:val="227"/>
          <w:jc w:val="center"/>
        </w:trPr>
        <w:tc>
          <w:tcPr>
            <w:tcW w:w="3025" w:type="pct"/>
            <w:tcBorders>
              <w:top w:val="single" w:sz="4" w:space="0" w:color="auto"/>
              <w:left w:val="nil"/>
              <w:bottom w:val="nil"/>
              <w:right w:val="nil"/>
            </w:tcBorders>
            <w:shd w:val="clear" w:color="auto" w:fill="auto"/>
            <w:noWrap/>
            <w:vAlign w:val="bottom"/>
            <w:hideMark/>
          </w:tcPr>
          <w:p w14:paraId="15395AEC" w14:textId="77777777" w:rsidR="00803471" w:rsidRPr="00954AA6" w:rsidRDefault="00803471" w:rsidP="00954AA6">
            <w:pPr>
              <w:pBdr>
                <w:top w:val="none" w:sz="0" w:space="0" w:color="auto"/>
                <w:left w:val="none" w:sz="0" w:space="0" w:color="auto"/>
                <w:bottom w:val="none" w:sz="0" w:space="0" w:color="auto"/>
                <w:right w:val="none" w:sz="0" w:space="0" w:color="auto"/>
                <w:between w:val="none" w:sz="0" w:space="0" w:color="auto"/>
                <w:bar w:val="none" w:sz="0" w:color="auto"/>
              </w:pBdr>
              <w:ind w:left="209"/>
              <w:jc w:val="center"/>
              <w:outlineLvl w:val="9"/>
              <w:rPr>
                <w:rFonts w:ascii="Times New Roman" w:eastAsia="Times New Roman" w:hAnsi="Times New Roman" w:cs="Times New Roman"/>
                <w:color w:val="auto"/>
                <w:sz w:val="18"/>
                <w:szCs w:val="18"/>
                <w:bdr w:val="none" w:sz="0" w:space="0" w:color="auto"/>
                <w:lang w:eastAsia="es-ES"/>
              </w:rPr>
            </w:pPr>
          </w:p>
        </w:tc>
        <w:tc>
          <w:tcPr>
            <w:tcW w:w="1975" w:type="pct"/>
            <w:gridSpan w:val="2"/>
            <w:tcBorders>
              <w:top w:val="single" w:sz="4" w:space="0" w:color="auto"/>
              <w:left w:val="nil"/>
              <w:bottom w:val="single" w:sz="4" w:space="0" w:color="auto"/>
              <w:right w:val="nil"/>
            </w:tcBorders>
            <w:shd w:val="clear" w:color="auto" w:fill="auto"/>
            <w:noWrap/>
            <w:vAlign w:val="bottom"/>
            <w:hideMark/>
          </w:tcPr>
          <w:p w14:paraId="5461CADA" w14:textId="77777777" w:rsidR="00803471" w:rsidRPr="00954AA6"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803471" w:rsidRPr="00954AA6" w14:paraId="04ABFE75" w14:textId="77777777" w:rsidTr="00954AA6">
        <w:trPr>
          <w:trHeight w:val="227"/>
          <w:jc w:val="center"/>
        </w:trPr>
        <w:tc>
          <w:tcPr>
            <w:tcW w:w="3025" w:type="pct"/>
            <w:tcBorders>
              <w:top w:val="nil"/>
              <w:left w:val="nil"/>
              <w:bottom w:val="single" w:sz="4" w:space="0" w:color="auto"/>
              <w:right w:val="nil"/>
            </w:tcBorders>
            <w:shd w:val="clear" w:color="auto" w:fill="auto"/>
            <w:noWrap/>
            <w:vAlign w:val="bottom"/>
            <w:hideMark/>
          </w:tcPr>
          <w:p w14:paraId="670DE11E" w14:textId="77777777" w:rsidR="00803471" w:rsidRPr="00954AA6" w:rsidRDefault="00803471" w:rsidP="00954AA6">
            <w:pPr>
              <w:pBdr>
                <w:top w:val="none" w:sz="0" w:space="0" w:color="auto"/>
                <w:left w:val="none" w:sz="0" w:space="0" w:color="auto"/>
                <w:bottom w:val="none" w:sz="0" w:space="0" w:color="auto"/>
                <w:right w:val="none" w:sz="0" w:space="0" w:color="auto"/>
                <w:between w:val="none" w:sz="0" w:space="0" w:color="auto"/>
                <w:bar w:val="none" w:sz="0" w:color="auto"/>
              </w:pBdr>
              <w:ind w:left="209"/>
              <w:jc w:val="center"/>
              <w:outlineLvl w:val="9"/>
              <w:rPr>
                <w:rFonts w:eastAsia="Times New Roman"/>
                <w:sz w:val="18"/>
                <w:szCs w:val="18"/>
                <w:bdr w:val="none" w:sz="0" w:space="0" w:color="auto"/>
                <w:lang w:eastAsia="es-ES"/>
              </w:rPr>
            </w:pPr>
          </w:p>
        </w:tc>
        <w:tc>
          <w:tcPr>
            <w:tcW w:w="988" w:type="pct"/>
            <w:tcBorders>
              <w:top w:val="nil"/>
              <w:left w:val="nil"/>
              <w:bottom w:val="single" w:sz="4" w:space="0" w:color="auto"/>
              <w:right w:val="nil"/>
            </w:tcBorders>
            <w:shd w:val="clear" w:color="auto" w:fill="auto"/>
            <w:noWrap/>
            <w:vAlign w:val="bottom"/>
            <w:hideMark/>
          </w:tcPr>
          <w:p w14:paraId="1A823057" w14:textId="52711939" w:rsidR="00803471" w:rsidRPr="00954AA6"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BC4177" w:rsidRPr="00954AA6">
              <w:rPr>
                <w:rFonts w:eastAsia="Times New Roman"/>
                <w:b/>
                <w:bCs/>
                <w:sz w:val="18"/>
                <w:szCs w:val="18"/>
                <w:bdr w:val="none" w:sz="0" w:space="0" w:color="auto"/>
                <w:lang w:eastAsia="es-ES"/>
              </w:rPr>
              <w:t>1</w:t>
            </w:r>
          </w:p>
        </w:tc>
        <w:tc>
          <w:tcPr>
            <w:tcW w:w="988" w:type="pct"/>
            <w:tcBorders>
              <w:top w:val="nil"/>
              <w:left w:val="nil"/>
              <w:bottom w:val="single" w:sz="4" w:space="0" w:color="auto"/>
              <w:right w:val="nil"/>
            </w:tcBorders>
            <w:shd w:val="clear" w:color="auto" w:fill="auto"/>
            <w:noWrap/>
            <w:vAlign w:val="bottom"/>
            <w:hideMark/>
          </w:tcPr>
          <w:p w14:paraId="0F85376D" w14:textId="334D5E40" w:rsidR="00803471" w:rsidRPr="00954AA6"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w:t>
            </w:r>
            <w:r w:rsidR="00BC4177" w:rsidRPr="00954AA6">
              <w:rPr>
                <w:rFonts w:eastAsia="Times New Roman"/>
                <w:b/>
                <w:bCs/>
                <w:sz w:val="18"/>
                <w:szCs w:val="18"/>
                <w:bdr w:val="none" w:sz="0" w:space="0" w:color="auto"/>
                <w:lang w:eastAsia="es-ES"/>
              </w:rPr>
              <w:t>20</w:t>
            </w:r>
          </w:p>
        </w:tc>
      </w:tr>
      <w:tr w:rsidR="00803471" w:rsidRPr="00954AA6" w14:paraId="09282E8A" w14:textId="77777777" w:rsidTr="00954AA6">
        <w:trPr>
          <w:trHeight w:val="283"/>
          <w:jc w:val="center"/>
        </w:trPr>
        <w:tc>
          <w:tcPr>
            <w:tcW w:w="3025" w:type="pct"/>
            <w:tcBorders>
              <w:top w:val="nil"/>
              <w:left w:val="nil"/>
              <w:bottom w:val="nil"/>
              <w:right w:val="nil"/>
            </w:tcBorders>
            <w:shd w:val="clear" w:color="auto" w:fill="auto"/>
            <w:noWrap/>
            <w:vAlign w:val="center"/>
            <w:hideMark/>
          </w:tcPr>
          <w:p w14:paraId="554D8846" w14:textId="77777777" w:rsidR="00803471" w:rsidRPr="00954AA6" w:rsidRDefault="00803471"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Ingresos financieros:</w:t>
            </w:r>
          </w:p>
        </w:tc>
        <w:tc>
          <w:tcPr>
            <w:tcW w:w="988" w:type="pct"/>
            <w:tcBorders>
              <w:top w:val="nil"/>
              <w:left w:val="nil"/>
              <w:bottom w:val="nil"/>
              <w:right w:val="nil"/>
            </w:tcBorders>
            <w:shd w:val="clear" w:color="auto" w:fill="auto"/>
            <w:noWrap/>
            <w:vAlign w:val="center"/>
            <w:hideMark/>
          </w:tcPr>
          <w:p w14:paraId="1A71C0FF" w14:textId="77777777" w:rsidR="00803471" w:rsidRPr="00954AA6"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988" w:type="pct"/>
            <w:tcBorders>
              <w:top w:val="nil"/>
              <w:left w:val="nil"/>
              <w:bottom w:val="nil"/>
              <w:right w:val="nil"/>
            </w:tcBorders>
            <w:shd w:val="clear" w:color="auto" w:fill="auto"/>
            <w:noWrap/>
            <w:vAlign w:val="center"/>
            <w:hideMark/>
          </w:tcPr>
          <w:p w14:paraId="1905A8C4" w14:textId="77777777" w:rsidR="00803471" w:rsidRPr="00954AA6"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r>
      <w:tr w:rsidR="0025368E" w:rsidRPr="00954AA6" w14:paraId="0D33B24D" w14:textId="77777777" w:rsidTr="00954AA6">
        <w:trPr>
          <w:trHeight w:val="283"/>
          <w:jc w:val="center"/>
        </w:trPr>
        <w:tc>
          <w:tcPr>
            <w:tcW w:w="3025" w:type="pct"/>
            <w:tcBorders>
              <w:top w:val="nil"/>
              <w:left w:val="nil"/>
              <w:bottom w:val="nil"/>
              <w:right w:val="nil"/>
            </w:tcBorders>
            <w:shd w:val="clear" w:color="auto" w:fill="auto"/>
            <w:noWrap/>
            <w:vAlign w:val="center"/>
          </w:tcPr>
          <w:p w14:paraId="16B99285" w14:textId="5559DE85" w:rsidR="0025368E" w:rsidRPr="00954AA6" w:rsidRDefault="0025368E"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sz w:val="18"/>
                <w:szCs w:val="18"/>
                <w:bdr w:val="none" w:sz="0" w:space="0" w:color="auto"/>
                <w:lang w:eastAsia="es-ES"/>
              </w:rPr>
              <w:t>De valores negociables y otros instrumentos</w:t>
            </w:r>
            <w:r w:rsidR="00954AA6">
              <w:rPr>
                <w:rFonts w:eastAsia="Times New Roman"/>
                <w:sz w:val="18"/>
                <w:szCs w:val="18"/>
                <w:bdr w:val="none" w:sz="0" w:space="0" w:color="auto"/>
                <w:lang w:eastAsia="es-ES"/>
              </w:rPr>
              <w:t xml:space="preserve"> </w:t>
            </w:r>
            <w:r w:rsidRPr="00954AA6">
              <w:rPr>
                <w:rFonts w:eastAsia="Times New Roman"/>
                <w:sz w:val="18"/>
                <w:szCs w:val="18"/>
                <w:bdr w:val="none" w:sz="0" w:space="0" w:color="auto"/>
                <w:lang w:eastAsia="es-ES"/>
              </w:rPr>
              <w:t>financieros</w:t>
            </w:r>
          </w:p>
        </w:tc>
        <w:tc>
          <w:tcPr>
            <w:tcW w:w="988" w:type="pct"/>
            <w:tcBorders>
              <w:top w:val="nil"/>
              <w:left w:val="nil"/>
              <w:bottom w:val="nil"/>
              <w:right w:val="nil"/>
            </w:tcBorders>
            <w:shd w:val="clear" w:color="auto" w:fill="auto"/>
            <w:noWrap/>
            <w:vAlign w:val="center"/>
          </w:tcPr>
          <w:p w14:paraId="6836B6BB" w14:textId="77777777" w:rsidR="0025368E" w:rsidRPr="00954AA6" w:rsidRDefault="0025368E"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988" w:type="pct"/>
            <w:tcBorders>
              <w:top w:val="nil"/>
              <w:left w:val="nil"/>
              <w:bottom w:val="nil"/>
              <w:right w:val="nil"/>
            </w:tcBorders>
            <w:shd w:val="clear" w:color="auto" w:fill="auto"/>
            <w:noWrap/>
            <w:vAlign w:val="center"/>
          </w:tcPr>
          <w:p w14:paraId="160D098A" w14:textId="77777777" w:rsidR="0025368E" w:rsidRPr="00954AA6" w:rsidRDefault="0025368E" w:rsidP="0025368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r>
      <w:tr w:rsidR="00BC4177" w:rsidRPr="00954AA6" w14:paraId="7B0B559E" w14:textId="77777777" w:rsidTr="00954AA6">
        <w:trPr>
          <w:trHeight w:val="283"/>
          <w:jc w:val="center"/>
        </w:trPr>
        <w:tc>
          <w:tcPr>
            <w:tcW w:w="3025" w:type="pct"/>
            <w:tcBorders>
              <w:top w:val="nil"/>
              <w:left w:val="nil"/>
              <w:bottom w:val="nil"/>
              <w:right w:val="nil"/>
            </w:tcBorders>
            <w:shd w:val="clear" w:color="auto" w:fill="auto"/>
            <w:noWrap/>
            <w:vAlign w:val="center"/>
            <w:hideMark/>
          </w:tcPr>
          <w:p w14:paraId="134BEC2C" w14:textId="77777777" w:rsidR="00BC4177" w:rsidRPr="00954AA6" w:rsidRDefault="00BC4177"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De terceros</w:t>
            </w:r>
          </w:p>
        </w:tc>
        <w:tc>
          <w:tcPr>
            <w:tcW w:w="988" w:type="pct"/>
            <w:tcBorders>
              <w:top w:val="nil"/>
              <w:left w:val="nil"/>
              <w:bottom w:val="nil"/>
              <w:right w:val="nil"/>
            </w:tcBorders>
            <w:shd w:val="clear" w:color="auto" w:fill="auto"/>
            <w:noWrap/>
            <w:vAlign w:val="center"/>
          </w:tcPr>
          <w:p w14:paraId="62B0104D" w14:textId="127D95B3" w:rsidR="00BC4177" w:rsidRPr="00954AA6" w:rsidRDefault="006748A4" w:rsidP="006748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77,98</w:t>
            </w:r>
          </w:p>
        </w:tc>
        <w:tc>
          <w:tcPr>
            <w:tcW w:w="988" w:type="pct"/>
            <w:tcBorders>
              <w:top w:val="nil"/>
              <w:left w:val="nil"/>
              <w:bottom w:val="nil"/>
              <w:right w:val="nil"/>
            </w:tcBorders>
            <w:shd w:val="clear" w:color="auto" w:fill="auto"/>
            <w:noWrap/>
            <w:vAlign w:val="center"/>
            <w:hideMark/>
          </w:tcPr>
          <w:p w14:paraId="176E3C48" w14:textId="15ED6495" w:rsidR="00BC4177" w:rsidRPr="00954AA6" w:rsidRDefault="00BC4177" w:rsidP="00BC417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84,00</w:t>
            </w:r>
          </w:p>
        </w:tc>
      </w:tr>
      <w:tr w:rsidR="00BC4177" w:rsidRPr="00954AA6" w14:paraId="5581E8A5" w14:textId="77777777" w:rsidTr="00954AA6">
        <w:trPr>
          <w:trHeight w:val="283"/>
          <w:jc w:val="center"/>
        </w:trPr>
        <w:tc>
          <w:tcPr>
            <w:tcW w:w="3025" w:type="pct"/>
            <w:tcBorders>
              <w:top w:val="nil"/>
              <w:left w:val="nil"/>
              <w:bottom w:val="nil"/>
              <w:right w:val="nil"/>
            </w:tcBorders>
            <w:shd w:val="clear" w:color="auto" w:fill="auto"/>
            <w:noWrap/>
            <w:vAlign w:val="center"/>
            <w:hideMark/>
          </w:tcPr>
          <w:p w14:paraId="7CE088D4" w14:textId="77777777" w:rsidR="00BC4177" w:rsidRPr="00954AA6" w:rsidRDefault="00BC4177"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Gastos financieros:</w:t>
            </w:r>
          </w:p>
        </w:tc>
        <w:tc>
          <w:tcPr>
            <w:tcW w:w="988" w:type="pct"/>
            <w:tcBorders>
              <w:top w:val="nil"/>
              <w:left w:val="nil"/>
              <w:bottom w:val="nil"/>
              <w:right w:val="nil"/>
            </w:tcBorders>
            <w:shd w:val="clear" w:color="auto" w:fill="auto"/>
            <w:noWrap/>
            <w:vAlign w:val="center"/>
          </w:tcPr>
          <w:p w14:paraId="4CEE25BA" w14:textId="77777777" w:rsidR="00BC4177" w:rsidRPr="00954AA6" w:rsidRDefault="00BC4177" w:rsidP="00BC417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988" w:type="pct"/>
            <w:tcBorders>
              <w:top w:val="nil"/>
              <w:left w:val="nil"/>
              <w:bottom w:val="nil"/>
              <w:right w:val="nil"/>
            </w:tcBorders>
            <w:shd w:val="clear" w:color="auto" w:fill="auto"/>
            <w:noWrap/>
            <w:vAlign w:val="center"/>
            <w:hideMark/>
          </w:tcPr>
          <w:p w14:paraId="672A1C05" w14:textId="77777777" w:rsidR="00BC4177" w:rsidRPr="00954AA6" w:rsidRDefault="00BC4177" w:rsidP="00BC417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r>
      <w:tr w:rsidR="00BC4177" w:rsidRPr="00954AA6" w14:paraId="66635ED7" w14:textId="77777777" w:rsidTr="00954AA6">
        <w:trPr>
          <w:trHeight w:val="283"/>
          <w:jc w:val="center"/>
        </w:trPr>
        <w:tc>
          <w:tcPr>
            <w:tcW w:w="3025" w:type="pct"/>
            <w:tcBorders>
              <w:top w:val="nil"/>
              <w:left w:val="nil"/>
              <w:bottom w:val="nil"/>
              <w:right w:val="nil"/>
            </w:tcBorders>
            <w:shd w:val="clear" w:color="auto" w:fill="auto"/>
            <w:noWrap/>
            <w:vAlign w:val="center"/>
          </w:tcPr>
          <w:p w14:paraId="3270F0B9" w14:textId="55FAB9D8" w:rsidR="00BC4177" w:rsidRPr="00954AA6" w:rsidRDefault="00BC4177"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sz w:val="18"/>
                <w:szCs w:val="18"/>
                <w:bdr w:val="none" w:sz="0" w:space="0" w:color="auto"/>
                <w:lang w:eastAsia="es-ES"/>
              </w:rPr>
              <w:t>De valores negociables y otros instrumentos</w:t>
            </w:r>
            <w:r w:rsidR="00954AA6">
              <w:rPr>
                <w:rFonts w:eastAsia="Times New Roman"/>
                <w:sz w:val="18"/>
                <w:szCs w:val="18"/>
                <w:bdr w:val="none" w:sz="0" w:space="0" w:color="auto"/>
                <w:lang w:eastAsia="es-ES"/>
              </w:rPr>
              <w:t xml:space="preserve"> </w:t>
            </w:r>
            <w:r w:rsidRPr="00954AA6">
              <w:rPr>
                <w:rFonts w:eastAsia="Times New Roman"/>
                <w:sz w:val="18"/>
                <w:szCs w:val="18"/>
                <w:bdr w:val="none" w:sz="0" w:space="0" w:color="auto"/>
                <w:lang w:eastAsia="es-ES"/>
              </w:rPr>
              <w:t>financieros</w:t>
            </w:r>
          </w:p>
        </w:tc>
        <w:tc>
          <w:tcPr>
            <w:tcW w:w="988" w:type="pct"/>
            <w:tcBorders>
              <w:top w:val="nil"/>
              <w:left w:val="nil"/>
              <w:bottom w:val="nil"/>
              <w:right w:val="nil"/>
            </w:tcBorders>
            <w:shd w:val="clear" w:color="auto" w:fill="auto"/>
            <w:noWrap/>
            <w:vAlign w:val="center"/>
          </w:tcPr>
          <w:p w14:paraId="31CFA693" w14:textId="77777777" w:rsidR="00BC4177" w:rsidRPr="00954AA6" w:rsidRDefault="00BC4177" w:rsidP="00BC417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988" w:type="pct"/>
            <w:tcBorders>
              <w:top w:val="nil"/>
              <w:left w:val="nil"/>
              <w:bottom w:val="nil"/>
              <w:right w:val="nil"/>
            </w:tcBorders>
            <w:shd w:val="clear" w:color="auto" w:fill="auto"/>
            <w:noWrap/>
            <w:vAlign w:val="center"/>
          </w:tcPr>
          <w:p w14:paraId="0636262E" w14:textId="77777777" w:rsidR="00BC4177" w:rsidRPr="00954AA6" w:rsidRDefault="00BC4177" w:rsidP="00BC417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r>
      <w:tr w:rsidR="006748A4" w:rsidRPr="00954AA6" w14:paraId="0A0599BA" w14:textId="77777777" w:rsidTr="00954AA6">
        <w:trPr>
          <w:trHeight w:val="283"/>
          <w:jc w:val="center"/>
        </w:trPr>
        <w:tc>
          <w:tcPr>
            <w:tcW w:w="3025" w:type="pct"/>
            <w:tcBorders>
              <w:top w:val="nil"/>
              <w:left w:val="nil"/>
              <w:bottom w:val="nil"/>
              <w:right w:val="nil"/>
            </w:tcBorders>
            <w:shd w:val="clear" w:color="auto" w:fill="auto"/>
            <w:noWrap/>
            <w:vAlign w:val="center"/>
            <w:hideMark/>
          </w:tcPr>
          <w:p w14:paraId="0D3A5DC9" w14:textId="77777777" w:rsidR="006748A4" w:rsidRPr="00954AA6" w:rsidRDefault="006748A4"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De terceros</w:t>
            </w:r>
          </w:p>
        </w:tc>
        <w:tc>
          <w:tcPr>
            <w:tcW w:w="988" w:type="pct"/>
            <w:tcBorders>
              <w:top w:val="nil"/>
              <w:left w:val="nil"/>
              <w:bottom w:val="nil"/>
              <w:right w:val="nil"/>
            </w:tcBorders>
            <w:shd w:val="clear" w:color="auto" w:fill="auto"/>
            <w:noWrap/>
            <w:vAlign w:val="center"/>
          </w:tcPr>
          <w:p w14:paraId="132CAF48" w14:textId="5709006A" w:rsidR="006748A4" w:rsidRPr="00954AA6" w:rsidRDefault="006748A4" w:rsidP="006748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954AA6">
              <w:rPr>
                <w:sz w:val="18"/>
                <w:szCs w:val="18"/>
              </w:rPr>
              <w:t>(3.262,47)</w:t>
            </w:r>
          </w:p>
        </w:tc>
        <w:tc>
          <w:tcPr>
            <w:tcW w:w="988" w:type="pct"/>
            <w:tcBorders>
              <w:top w:val="nil"/>
              <w:left w:val="nil"/>
              <w:bottom w:val="nil"/>
              <w:right w:val="nil"/>
            </w:tcBorders>
            <w:shd w:val="clear" w:color="auto" w:fill="auto"/>
            <w:noWrap/>
            <w:vAlign w:val="center"/>
            <w:hideMark/>
          </w:tcPr>
          <w:p w14:paraId="344D06AB" w14:textId="4097D58D" w:rsidR="006748A4" w:rsidRPr="00954AA6" w:rsidRDefault="006748A4" w:rsidP="006748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954AA6">
              <w:rPr>
                <w:rFonts w:eastAsia="Times New Roman"/>
                <w:color w:val="auto"/>
                <w:sz w:val="18"/>
                <w:szCs w:val="18"/>
                <w:bdr w:val="none" w:sz="0" w:space="0" w:color="auto"/>
                <w:lang w:eastAsia="es-ES"/>
              </w:rPr>
              <w:t>(68.455,00)</w:t>
            </w:r>
          </w:p>
        </w:tc>
      </w:tr>
      <w:tr w:rsidR="006748A4" w:rsidRPr="00954AA6" w14:paraId="33E6906D" w14:textId="77777777" w:rsidTr="00954AA6">
        <w:trPr>
          <w:trHeight w:val="283"/>
          <w:jc w:val="center"/>
        </w:trPr>
        <w:tc>
          <w:tcPr>
            <w:tcW w:w="3025" w:type="pct"/>
            <w:tcBorders>
              <w:top w:val="nil"/>
              <w:left w:val="nil"/>
              <w:bottom w:val="nil"/>
              <w:right w:val="nil"/>
            </w:tcBorders>
            <w:shd w:val="clear" w:color="auto" w:fill="auto"/>
            <w:noWrap/>
            <w:vAlign w:val="center"/>
            <w:hideMark/>
          </w:tcPr>
          <w:p w14:paraId="13E7329D" w14:textId="77777777" w:rsidR="006748A4" w:rsidRPr="00954AA6" w:rsidRDefault="006748A4"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Diferencias de cambio</w:t>
            </w:r>
          </w:p>
        </w:tc>
        <w:tc>
          <w:tcPr>
            <w:tcW w:w="988" w:type="pct"/>
            <w:tcBorders>
              <w:top w:val="nil"/>
              <w:left w:val="nil"/>
              <w:bottom w:val="nil"/>
              <w:right w:val="nil"/>
            </w:tcBorders>
            <w:shd w:val="clear" w:color="auto" w:fill="auto"/>
            <w:noWrap/>
            <w:vAlign w:val="center"/>
          </w:tcPr>
          <w:p w14:paraId="278D73CC" w14:textId="0F61B71B" w:rsidR="006748A4" w:rsidRPr="00954AA6" w:rsidRDefault="006748A4" w:rsidP="006748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color w:val="auto"/>
                <w:sz w:val="18"/>
                <w:szCs w:val="18"/>
                <w:bdr w:val="none" w:sz="0" w:space="0" w:color="auto"/>
                <w:lang w:eastAsia="es-ES"/>
              </w:rPr>
            </w:pPr>
            <w:r w:rsidRPr="00954AA6">
              <w:rPr>
                <w:b/>
                <w:bCs/>
                <w:sz w:val="18"/>
                <w:szCs w:val="18"/>
              </w:rPr>
              <w:t>7.900,85</w:t>
            </w:r>
          </w:p>
        </w:tc>
        <w:tc>
          <w:tcPr>
            <w:tcW w:w="988" w:type="pct"/>
            <w:tcBorders>
              <w:top w:val="nil"/>
              <w:left w:val="nil"/>
              <w:bottom w:val="nil"/>
              <w:right w:val="nil"/>
            </w:tcBorders>
            <w:shd w:val="clear" w:color="auto" w:fill="auto"/>
            <w:noWrap/>
            <w:vAlign w:val="center"/>
            <w:hideMark/>
          </w:tcPr>
          <w:p w14:paraId="78A02CE0" w14:textId="391E4625" w:rsidR="006748A4" w:rsidRPr="00954AA6" w:rsidRDefault="006748A4" w:rsidP="006748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color w:val="auto"/>
                <w:sz w:val="18"/>
                <w:szCs w:val="18"/>
                <w:bdr w:val="none" w:sz="0" w:space="0" w:color="auto"/>
                <w:lang w:eastAsia="es-ES"/>
              </w:rPr>
            </w:pPr>
            <w:r w:rsidRPr="00954AA6">
              <w:rPr>
                <w:rFonts w:eastAsia="Times New Roman"/>
                <w:b/>
                <w:color w:val="auto"/>
                <w:sz w:val="18"/>
                <w:szCs w:val="18"/>
                <w:bdr w:val="none" w:sz="0" w:space="0" w:color="auto"/>
                <w:lang w:eastAsia="es-ES"/>
              </w:rPr>
              <w:t>(9.759,03)</w:t>
            </w:r>
          </w:p>
        </w:tc>
      </w:tr>
      <w:tr w:rsidR="006748A4" w:rsidRPr="00954AA6" w14:paraId="1E30B8C1" w14:textId="77777777" w:rsidTr="00954AA6">
        <w:trPr>
          <w:trHeight w:val="283"/>
          <w:jc w:val="center"/>
        </w:trPr>
        <w:tc>
          <w:tcPr>
            <w:tcW w:w="3025" w:type="pct"/>
            <w:tcBorders>
              <w:top w:val="single" w:sz="4" w:space="0" w:color="auto"/>
              <w:left w:val="nil"/>
              <w:bottom w:val="single" w:sz="4" w:space="0" w:color="auto"/>
              <w:right w:val="nil"/>
            </w:tcBorders>
            <w:shd w:val="clear" w:color="auto" w:fill="auto"/>
            <w:noWrap/>
            <w:vAlign w:val="center"/>
            <w:hideMark/>
          </w:tcPr>
          <w:p w14:paraId="2F3F7399" w14:textId="77777777" w:rsidR="006748A4" w:rsidRPr="00954AA6" w:rsidRDefault="006748A4"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Resultado financiero</w:t>
            </w:r>
          </w:p>
        </w:tc>
        <w:tc>
          <w:tcPr>
            <w:tcW w:w="988" w:type="pct"/>
            <w:tcBorders>
              <w:top w:val="single" w:sz="4" w:space="0" w:color="auto"/>
              <w:left w:val="nil"/>
              <w:bottom w:val="single" w:sz="4" w:space="0" w:color="auto"/>
              <w:right w:val="nil"/>
            </w:tcBorders>
            <w:shd w:val="clear" w:color="auto" w:fill="auto"/>
            <w:noWrap/>
            <w:vAlign w:val="center"/>
          </w:tcPr>
          <w:p w14:paraId="304291CB" w14:textId="32BA4886" w:rsidR="006748A4" w:rsidRPr="00954AA6" w:rsidRDefault="006748A4" w:rsidP="006748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54AA6">
              <w:rPr>
                <w:b/>
                <w:bCs/>
                <w:sz w:val="18"/>
                <w:szCs w:val="18"/>
              </w:rPr>
              <w:t>4.716,36</w:t>
            </w:r>
          </w:p>
        </w:tc>
        <w:tc>
          <w:tcPr>
            <w:tcW w:w="988" w:type="pct"/>
            <w:tcBorders>
              <w:top w:val="single" w:sz="4" w:space="0" w:color="auto"/>
              <w:left w:val="nil"/>
              <w:bottom w:val="single" w:sz="4" w:space="0" w:color="auto"/>
              <w:right w:val="nil"/>
            </w:tcBorders>
            <w:shd w:val="clear" w:color="auto" w:fill="auto"/>
            <w:noWrap/>
            <w:vAlign w:val="center"/>
            <w:hideMark/>
          </w:tcPr>
          <w:p w14:paraId="04DFF117" w14:textId="16EF9193" w:rsidR="006748A4" w:rsidRPr="00954AA6" w:rsidRDefault="006748A4" w:rsidP="006748A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(78.130,03)</w:t>
            </w:r>
          </w:p>
        </w:tc>
      </w:tr>
    </w:tbl>
    <w:p w14:paraId="26CC77BF" w14:textId="586BF891" w:rsidR="008F72ED" w:rsidRDefault="008F72ED" w:rsidP="008F72ED">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0"/>
        </w:rPr>
      </w:pPr>
    </w:p>
    <w:p w14:paraId="412BBCD9" w14:textId="77777777" w:rsidR="00DF139B" w:rsidRPr="0083433F" w:rsidRDefault="00DF139B" w:rsidP="008F72ED">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0"/>
        </w:rPr>
      </w:pPr>
    </w:p>
    <w:p w14:paraId="0D1A95CF" w14:textId="0C833608" w:rsidR="00725815" w:rsidRPr="0083433F" w:rsidRDefault="00803471"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Pr>
          <w:b/>
          <w:snapToGrid w:val="0"/>
          <w:sz w:val="22"/>
          <w:szCs w:val="22"/>
        </w:rPr>
        <w:t xml:space="preserve"> </w:t>
      </w:r>
      <w:r w:rsidR="006220A2" w:rsidRPr="0083433F">
        <w:rPr>
          <w:b/>
          <w:snapToGrid w:val="0"/>
          <w:sz w:val="22"/>
          <w:szCs w:val="22"/>
        </w:rPr>
        <w:t>Provisiones y contingencias</w:t>
      </w:r>
    </w:p>
    <w:p w14:paraId="4FF1DB3F" w14:textId="06A14ED0" w:rsidR="00954AA6" w:rsidRDefault="006E3FEF" w:rsidP="00176BA0">
      <w:pPr>
        <w:widowControl w:val="0"/>
        <w:spacing w:before="120" w:after="120" w:line="260" w:lineRule="exact"/>
        <w:ind w:left="284"/>
        <w:jc w:val="both"/>
        <w:outlineLvl w:val="9"/>
        <w:rPr>
          <w:snapToGrid w:val="0"/>
          <w:sz w:val="20"/>
          <w:szCs w:val="22"/>
        </w:rPr>
      </w:pPr>
      <w:r w:rsidRPr="00176BA0">
        <w:rPr>
          <w:snapToGrid w:val="0"/>
          <w:sz w:val="20"/>
          <w:szCs w:val="22"/>
        </w:rPr>
        <w:t xml:space="preserve">En el ejercicio </w:t>
      </w:r>
      <w:r w:rsidR="00784500" w:rsidRPr="00176BA0">
        <w:rPr>
          <w:snapToGrid w:val="0"/>
          <w:sz w:val="20"/>
          <w:szCs w:val="22"/>
        </w:rPr>
        <w:t>20</w:t>
      </w:r>
      <w:r w:rsidR="00803471" w:rsidRPr="00176BA0">
        <w:rPr>
          <w:snapToGrid w:val="0"/>
          <w:sz w:val="20"/>
          <w:szCs w:val="22"/>
        </w:rPr>
        <w:t>2</w:t>
      </w:r>
      <w:r w:rsidR="00BC4177" w:rsidRPr="00176BA0">
        <w:rPr>
          <w:snapToGrid w:val="0"/>
          <w:sz w:val="20"/>
          <w:szCs w:val="22"/>
        </w:rPr>
        <w:t>1</w:t>
      </w:r>
      <w:r w:rsidR="00784500" w:rsidRPr="00176BA0">
        <w:rPr>
          <w:snapToGrid w:val="0"/>
          <w:sz w:val="20"/>
          <w:szCs w:val="22"/>
        </w:rPr>
        <w:t xml:space="preserve"> y </w:t>
      </w:r>
      <w:r w:rsidRPr="00176BA0">
        <w:rPr>
          <w:snapToGrid w:val="0"/>
          <w:sz w:val="20"/>
          <w:szCs w:val="22"/>
        </w:rPr>
        <w:t>20</w:t>
      </w:r>
      <w:r w:rsidR="00BC4177" w:rsidRPr="00176BA0">
        <w:rPr>
          <w:snapToGrid w:val="0"/>
          <w:sz w:val="20"/>
          <w:szCs w:val="22"/>
        </w:rPr>
        <w:t>20</w:t>
      </w:r>
      <w:r w:rsidR="00725815" w:rsidRPr="00176BA0">
        <w:rPr>
          <w:snapToGrid w:val="0"/>
          <w:sz w:val="20"/>
          <w:szCs w:val="22"/>
        </w:rPr>
        <w:t xml:space="preserve"> </w:t>
      </w:r>
      <w:r w:rsidR="006220A2" w:rsidRPr="00176BA0">
        <w:rPr>
          <w:snapToGrid w:val="0"/>
          <w:sz w:val="20"/>
          <w:szCs w:val="22"/>
        </w:rPr>
        <w:t xml:space="preserve">la Sociedad no ha registrado provisiones ni </w:t>
      </w:r>
      <w:r w:rsidR="004161BD" w:rsidRPr="00176BA0">
        <w:rPr>
          <w:snapToGrid w:val="0"/>
          <w:sz w:val="20"/>
          <w:szCs w:val="22"/>
        </w:rPr>
        <w:t>contingencias</w:t>
      </w:r>
      <w:r w:rsidR="006220A2" w:rsidRPr="00176BA0">
        <w:rPr>
          <w:snapToGrid w:val="0"/>
          <w:sz w:val="20"/>
          <w:szCs w:val="22"/>
        </w:rPr>
        <w:t xml:space="preserve"> al no existir </w:t>
      </w:r>
      <w:r w:rsidR="004161BD" w:rsidRPr="00176BA0">
        <w:rPr>
          <w:snapToGrid w:val="0"/>
          <w:sz w:val="20"/>
          <w:szCs w:val="22"/>
        </w:rPr>
        <w:t>circunstancias</w:t>
      </w:r>
      <w:r w:rsidR="006220A2" w:rsidRPr="00176BA0">
        <w:rPr>
          <w:snapToGrid w:val="0"/>
          <w:sz w:val="20"/>
          <w:szCs w:val="22"/>
        </w:rPr>
        <w:t xml:space="preserve"> que motiven su dotación.</w:t>
      </w:r>
    </w:p>
    <w:p w14:paraId="75594525" w14:textId="77777777" w:rsidR="00954AA6" w:rsidRDefault="00954AA6">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22CF383D" w14:textId="3778FBE6" w:rsidR="006220A2" w:rsidRPr="0083433F"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83433F">
        <w:rPr>
          <w:b/>
          <w:snapToGrid w:val="0"/>
          <w:sz w:val="22"/>
          <w:szCs w:val="22"/>
        </w:rPr>
        <w:lastRenderedPageBreak/>
        <w:t xml:space="preserve"> Información sobre medio ambiente</w:t>
      </w:r>
    </w:p>
    <w:p w14:paraId="02AD4AC4"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La Sociedad mantiene sus instalaciones constantemente en un estado que permite cumplir con todas las normas referentes al Medio Ambiente. No ha sido necesario incurrir en gastos particulares y tampoco fue necesaria la dotación de provisiones.</w:t>
      </w:r>
    </w:p>
    <w:p w14:paraId="4D19E312" w14:textId="77777777" w:rsidR="006220A2" w:rsidRPr="0083433F" w:rsidRDefault="006220A2" w:rsidP="006220A2">
      <w:pPr>
        <w:rPr>
          <w:sz w:val="20"/>
          <w:szCs w:val="22"/>
        </w:rPr>
      </w:pPr>
    </w:p>
    <w:p w14:paraId="75290746" w14:textId="77777777" w:rsidR="006220A2" w:rsidRPr="0083433F" w:rsidRDefault="006220A2" w:rsidP="006220A2">
      <w:pPr>
        <w:rPr>
          <w:sz w:val="20"/>
        </w:rPr>
      </w:pPr>
    </w:p>
    <w:p w14:paraId="42090230" w14:textId="1410EB45" w:rsidR="006220A2" w:rsidRPr="00C15BD4"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C15BD4">
        <w:rPr>
          <w:b/>
          <w:snapToGrid w:val="0"/>
          <w:sz w:val="22"/>
          <w:szCs w:val="22"/>
        </w:rPr>
        <w:t xml:space="preserve"> Subvenciones</w:t>
      </w:r>
    </w:p>
    <w:p w14:paraId="6EA5CBB8" w14:textId="77777777" w:rsidR="006220A2" w:rsidRPr="0083433F" w:rsidRDefault="006220A2" w:rsidP="002B422A">
      <w:pPr>
        <w:keepNext/>
        <w:keepLines/>
        <w:widowControl w:val="0"/>
        <w:spacing w:before="200"/>
        <w:rPr>
          <w:b/>
          <w:sz w:val="20"/>
          <w:szCs w:val="22"/>
        </w:rPr>
      </w:pPr>
      <w:r w:rsidRPr="00C15BD4">
        <w:rPr>
          <w:b/>
          <w:sz w:val="20"/>
          <w:szCs w:val="22"/>
        </w:rPr>
        <w:t>15.1 Subvenciones de Capital</w:t>
      </w:r>
    </w:p>
    <w:p w14:paraId="69853B57" w14:textId="77777777" w:rsidR="006220A2" w:rsidRPr="0083433F" w:rsidRDefault="006220A2" w:rsidP="00176BA0">
      <w:pPr>
        <w:widowControl w:val="0"/>
        <w:spacing w:before="120" w:after="120" w:line="260" w:lineRule="exact"/>
        <w:ind w:left="284"/>
        <w:jc w:val="both"/>
        <w:outlineLvl w:val="9"/>
        <w:rPr>
          <w:snapToGrid w:val="0"/>
          <w:sz w:val="20"/>
          <w:szCs w:val="22"/>
        </w:rPr>
      </w:pPr>
      <w:r w:rsidRPr="0083433F">
        <w:rPr>
          <w:snapToGrid w:val="0"/>
          <w:sz w:val="20"/>
          <w:szCs w:val="22"/>
        </w:rPr>
        <w:t>El detalle de las subvenciones de capital no reintegrables que aparecen en el balance bajo el epígrafe “Subvenciones, donaciones y legados recibidos” es el siguiente:</w:t>
      </w:r>
    </w:p>
    <w:tbl>
      <w:tblPr>
        <w:tblW w:w="9356" w:type="dxa"/>
        <w:jc w:val="center"/>
        <w:tblCellMar>
          <w:left w:w="70" w:type="dxa"/>
          <w:right w:w="70" w:type="dxa"/>
        </w:tblCellMar>
        <w:tblLook w:val="04A0" w:firstRow="1" w:lastRow="0" w:firstColumn="1" w:lastColumn="0" w:noHBand="0" w:noVBand="1"/>
      </w:tblPr>
      <w:tblGrid>
        <w:gridCol w:w="1560"/>
        <w:gridCol w:w="1016"/>
        <w:gridCol w:w="1321"/>
        <w:gridCol w:w="1065"/>
        <w:gridCol w:w="3196"/>
        <w:gridCol w:w="1198"/>
      </w:tblGrid>
      <w:tr w:rsidR="006220A2" w:rsidRPr="00723F3F" w14:paraId="40A6D090" w14:textId="77777777" w:rsidTr="00723F3F">
        <w:trPr>
          <w:trHeight w:val="567"/>
          <w:jc w:val="center"/>
        </w:trPr>
        <w:tc>
          <w:tcPr>
            <w:tcW w:w="834" w:type="pct"/>
            <w:tcBorders>
              <w:top w:val="single" w:sz="4" w:space="0" w:color="auto"/>
              <w:left w:val="nil"/>
              <w:bottom w:val="single" w:sz="4" w:space="0" w:color="auto"/>
              <w:right w:val="nil"/>
            </w:tcBorders>
            <w:shd w:val="clear" w:color="auto" w:fill="auto"/>
            <w:vAlign w:val="bottom"/>
            <w:hideMark/>
          </w:tcPr>
          <w:p w14:paraId="37426F38" w14:textId="77777777" w:rsidR="006220A2" w:rsidRPr="00723F3F" w:rsidRDefault="006220A2" w:rsidP="002B422A">
            <w:pPr>
              <w:keepNext/>
              <w:keepLines/>
              <w:widowControl w:val="0"/>
              <w:jc w:val="center"/>
              <w:rPr>
                <w:rFonts w:eastAsia="Times New Roman"/>
                <w:b/>
                <w:bCs/>
                <w:sz w:val="16"/>
                <w:szCs w:val="16"/>
              </w:rPr>
            </w:pPr>
            <w:r w:rsidRPr="00723F3F">
              <w:rPr>
                <w:rFonts w:eastAsia="Times New Roman"/>
                <w:b/>
                <w:bCs/>
                <w:sz w:val="16"/>
                <w:szCs w:val="16"/>
              </w:rPr>
              <w:t>Entidad concesionaria</w:t>
            </w:r>
          </w:p>
        </w:tc>
        <w:tc>
          <w:tcPr>
            <w:tcW w:w="543" w:type="pct"/>
            <w:tcBorders>
              <w:top w:val="single" w:sz="4" w:space="0" w:color="auto"/>
              <w:left w:val="nil"/>
              <w:bottom w:val="single" w:sz="4" w:space="0" w:color="auto"/>
              <w:right w:val="nil"/>
            </w:tcBorders>
            <w:shd w:val="clear" w:color="auto" w:fill="auto"/>
            <w:vAlign w:val="bottom"/>
            <w:hideMark/>
          </w:tcPr>
          <w:p w14:paraId="0AB17F6E" w14:textId="77777777" w:rsidR="006220A2" w:rsidRPr="00723F3F" w:rsidRDefault="006220A2" w:rsidP="002B422A">
            <w:pPr>
              <w:keepNext/>
              <w:keepLines/>
              <w:widowControl w:val="0"/>
              <w:jc w:val="center"/>
              <w:rPr>
                <w:rFonts w:eastAsia="Times New Roman"/>
                <w:b/>
                <w:bCs/>
                <w:sz w:val="16"/>
                <w:szCs w:val="16"/>
              </w:rPr>
            </w:pPr>
            <w:r w:rsidRPr="00723F3F">
              <w:rPr>
                <w:rFonts w:eastAsia="Times New Roman"/>
                <w:b/>
                <w:bCs/>
                <w:sz w:val="16"/>
                <w:szCs w:val="16"/>
              </w:rPr>
              <w:t>Importe concedido</w:t>
            </w:r>
          </w:p>
        </w:tc>
        <w:tc>
          <w:tcPr>
            <w:tcW w:w="706" w:type="pct"/>
            <w:tcBorders>
              <w:top w:val="single" w:sz="4" w:space="0" w:color="auto"/>
              <w:left w:val="nil"/>
              <w:bottom w:val="single" w:sz="4" w:space="0" w:color="auto"/>
              <w:right w:val="nil"/>
            </w:tcBorders>
            <w:shd w:val="clear" w:color="auto" w:fill="auto"/>
            <w:vAlign w:val="bottom"/>
            <w:hideMark/>
          </w:tcPr>
          <w:p w14:paraId="56724865" w14:textId="77777777" w:rsidR="006220A2" w:rsidRPr="00723F3F" w:rsidRDefault="006220A2" w:rsidP="002B422A">
            <w:pPr>
              <w:keepNext/>
              <w:keepLines/>
              <w:widowControl w:val="0"/>
              <w:jc w:val="center"/>
              <w:rPr>
                <w:rFonts w:eastAsia="Times New Roman"/>
                <w:b/>
                <w:bCs/>
                <w:sz w:val="16"/>
                <w:szCs w:val="16"/>
              </w:rPr>
            </w:pPr>
            <w:r w:rsidRPr="00723F3F">
              <w:rPr>
                <w:rFonts w:eastAsia="Times New Roman"/>
                <w:b/>
                <w:bCs/>
                <w:sz w:val="16"/>
                <w:szCs w:val="16"/>
              </w:rPr>
              <w:t>Importe pendiente de traspasar a resultado</w:t>
            </w:r>
          </w:p>
        </w:tc>
        <w:tc>
          <w:tcPr>
            <w:tcW w:w="569" w:type="pct"/>
            <w:tcBorders>
              <w:top w:val="single" w:sz="4" w:space="0" w:color="auto"/>
              <w:left w:val="nil"/>
              <w:bottom w:val="single" w:sz="4" w:space="0" w:color="auto"/>
              <w:right w:val="nil"/>
            </w:tcBorders>
            <w:shd w:val="clear" w:color="auto" w:fill="auto"/>
            <w:vAlign w:val="bottom"/>
            <w:hideMark/>
          </w:tcPr>
          <w:p w14:paraId="795035B0" w14:textId="77777777" w:rsidR="006220A2" w:rsidRPr="00723F3F" w:rsidRDefault="006220A2" w:rsidP="002B422A">
            <w:pPr>
              <w:keepNext/>
              <w:keepLines/>
              <w:widowControl w:val="0"/>
              <w:jc w:val="center"/>
              <w:rPr>
                <w:rFonts w:eastAsia="Times New Roman"/>
                <w:b/>
                <w:bCs/>
                <w:sz w:val="16"/>
                <w:szCs w:val="16"/>
              </w:rPr>
            </w:pPr>
            <w:r w:rsidRPr="00723F3F">
              <w:rPr>
                <w:rFonts w:eastAsia="Times New Roman"/>
                <w:b/>
                <w:bCs/>
                <w:sz w:val="16"/>
                <w:szCs w:val="16"/>
              </w:rPr>
              <w:t>Pasivo por impuesto diferido</w:t>
            </w:r>
          </w:p>
        </w:tc>
        <w:tc>
          <w:tcPr>
            <w:tcW w:w="1708" w:type="pct"/>
            <w:tcBorders>
              <w:top w:val="single" w:sz="4" w:space="0" w:color="auto"/>
              <w:left w:val="nil"/>
              <w:bottom w:val="single" w:sz="4" w:space="0" w:color="auto"/>
              <w:right w:val="nil"/>
            </w:tcBorders>
            <w:shd w:val="clear" w:color="auto" w:fill="auto"/>
            <w:vAlign w:val="bottom"/>
            <w:hideMark/>
          </w:tcPr>
          <w:p w14:paraId="15288977" w14:textId="77777777" w:rsidR="006220A2" w:rsidRPr="00723F3F" w:rsidRDefault="006220A2" w:rsidP="002B422A">
            <w:pPr>
              <w:keepNext/>
              <w:keepLines/>
              <w:widowControl w:val="0"/>
              <w:jc w:val="center"/>
              <w:rPr>
                <w:rFonts w:eastAsia="Times New Roman"/>
                <w:b/>
                <w:bCs/>
                <w:sz w:val="16"/>
                <w:szCs w:val="16"/>
              </w:rPr>
            </w:pPr>
            <w:r w:rsidRPr="00723F3F">
              <w:rPr>
                <w:rFonts w:eastAsia="Times New Roman"/>
                <w:b/>
                <w:bCs/>
                <w:sz w:val="16"/>
                <w:szCs w:val="16"/>
              </w:rPr>
              <w:t>Finalidad</w:t>
            </w:r>
          </w:p>
        </w:tc>
        <w:tc>
          <w:tcPr>
            <w:tcW w:w="640" w:type="pct"/>
            <w:tcBorders>
              <w:top w:val="single" w:sz="4" w:space="0" w:color="auto"/>
              <w:left w:val="nil"/>
              <w:bottom w:val="single" w:sz="4" w:space="0" w:color="auto"/>
              <w:right w:val="nil"/>
            </w:tcBorders>
            <w:shd w:val="clear" w:color="auto" w:fill="auto"/>
            <w:vAlign w:val="bottom"/>
            <w:hideMark/>
          </w:tcPr>
          <w:p w14:paraId="4F2E5CB1" w14:textId="77777777" w:rsidR="006220A2" w:rsidRPr="00723F3F" w:rsidRDefault="006220A2" w:rsidP="002B422A">
            <w:pPr>
              <w:keepNext/>
              <w:keepLines/>
              <w:widowControl w:val="0"/>
              <w:jc w:val="center"/>
              <w:rPr>
                <w:rFonts w:eastAsia="Times New Roman"/>
                <w:b/>
                <w:bCs/>
                <w:sz w:val="16"/>
                <w:szCs w:val="16"/>
              </w:rPr>
            </w:pPr>
            <w:r w:rsidRPr="00723F3F">
              <w:rPr>
                <w:rFonts w:eastAsia="Times New Roman"/>
                <w:b/>
                <w:bCs/>
                <w:sz w:val="16"/>
                <w:szCs w:val="16"/>
              </w:rPr>
              <w:t>Fecha de concesión</w:t>
            </w:r>
          </w:p>
        </w:tc>
      </w:tr>
      <w:tr w:rsidR="00C15BD4" w:rsidRPr="00723F3F" w14:paraId="433AF9D3" w14:textId="77777777" w:rsidTr="0042745B">
        <w:trPr>
          <w:trHeight w:val="1417"/>
          <w:jc w:val="center"/>
        </w:trPr>
        <w:tc>
          <w:tcPr>
            <w:tcW w:w="834" w:type="pct"/>
            <w:tcBorders>
              <w:top w:val="nil"/>
              <w:left w:val="nil"/>
              <w:bottom w:val="single" w:sz="4" w:space="0" w:color="auto"/>
              <w:right w:val="nil"/>
            </w:tcBorders>
            <w:shd w:val="clear" w:color="auto" w:fill="auto"/>
            <w:vAlign w:val="center"/>
            <w:hideMark/>
          </w:tcPr>
          <w:p w14:paraId="5A9BEB1E" w14:textId="77777777" w:rsidR="00C15BD4" w:rsidRPr="00723F3F" w:rsidRDefault="00C15BD4" w:rsidP="00C15BD4">
            <w:pPr>
              <w:rPr>
                <w:rFonts w:eastAsia="Times New Roman"/>
                <w:sz w:val="16"/>
                <w:szCs w:val="16"/>
              </w:rPr>
            </w:pPr>
            <w:r w:rsidRPr="00723F3F">
              <w:rPr>
                <w:rFonts w:eastAsia="Times New Roman"/>
                <w:sz w:val="16"/>
                <w:szCs w:val="16"/>
              </w:rPr>
              <w:t>Consejería de Turismo del Gobierno de Canarias</w:t>
            </w:r>
          </w:p>
        </w:tc>
        <w:tc>
          <w:tcPr>
            <w:tcW w:w="543" w:type="pct"/>
            <w:tcBorders>
              <w:top w:val="nil"/>
              <w:left w:val="nil"/>
              <w:bottom w:val="single" w:sz="4" w:space="0" w:color="auto"/>
              <w:right w:val="nil"/>
            </w:tcBorders>
            <w:shd w:val="clear" w:color="auto" w:fill="auto"/>
            <w:vAlign w:val="center"/>
            <w:hideMark/>
          </w:tcPr>
          <w:p w14:paraId="2A97D0B1" w14:textId="77777777" w:rsidR="00C15BD4" w:rsidRPr="00723F3F" w:rsidRDefault="00C15BD4" w:rsidP="00C15BD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3F3F">
              <w:rPr>
                <w:sz w:val="16"/>
                <w:szCs w:val="16"/>
              </w:rPr>
              <w:t>82.201,43</w:t>
            </w:r>
          </w:p>
        </w:tc>
        <w:tc>
          <w:tcPr>
            <w:tcW w:w="706" w:type="pct"/>
            <w:tcBorders>
              <w:top w:val="nil"/>
              <w:left w:val="nil"/>
              <w:bottom w:val="single" w:sz="4" w:space="0" w:color="auto"/>
              <w:right w:val="nil"/>
            </w:tcBorders>
            <w:shd w:val="clear" w:color="auto" w:fill="auto"/>
            <w:vAlign w:val="center"/>
            <w:hideMark/>
          </w:tcPr>
          <w:p w14:paraId="1D2DD445" w14:textId="0C73DD75" w:rsidR="00C15BD4" w:rsidRPr="00723F3F" w:rsidRDefault="00C15BD4" w:rsidP="00C15BD4">
            <w:pPr>
              <w:jc w:val="right"/>
              <w:rPr>
                <w:sz w:val="16"/>
                <w:szCs w:val="16"/>
              </w:rPr>
            </w:pPr>
            <w:r>
              <w:rPr>
                <w:sz w:val="16"/>
                <w:szCs w:val="16"/>
              </w:rPr>
              <w:t>31.662,30</w:t>
            </w:r>
          </w:p>
        </w:tc>
        <w:tc>
          <w:tcPr>
            <w:tcW w:w="569" w:type="pct"/>
            <w:tcBorders>
              <w:top w:val="nil"/>
              <w:left w:val="nil"/>
              <w:bottom w:val="single" w:sz="4" w:space="0" w:color="auto"/>
              <w:right w:val="nil"/>
            </w:tcBorders>
            <w:shd w:val="clear" w:color="auto" w:fill="auto"/>
            <w:vAlign w:val="center"/>
          </w:tcPr>
          <w:p w14:paraId="023516DD" w14:textId="43ED8413" w:rsidR="00C15BD4" w:rsidRPr="00F569D5" w:rsidRDefault="00C15BD4" w:rsidP="00C15BD4">
            <w:pPr>
              <w:jc w:val="right"/>
              <w:rPr>
                <w:sz w:val="16"/>
                <w:szCs w:val="16"/>
                <w:highlight w:val="yellow"/>
              </w:rPr>
            </w:pPr>
            <w:r>
              <w:rPr>
                <w:sz w:val="16"/>
                <w:szCs w:val="16"/>
              </w:rPr>
              <w:t>10.650,10</w:t>
            </w:r>
          </w:p>
        </w:tc>
        <w:tc>
          <w:tcPr>
            <w:tcW w:w="1708" w:type="pct"/>
            <w:tcBorders>
              <w:top w:val="nil"/>
              <w:left w:val="nil"/>
              <w:bottom w:val="single" w:sz="4" w:space="0" w:color="auto"/>
              <w:right w:val="nil"/>
            </w:tcBorders>
            <w:shd w:val="clear" w:color="auto" w:fill="auto"/>
            <w:vAlign w:val="center"/>
            <w:hideMark/>
          </w:tcPr>
          <w:p w14:paraId="49BACDD0" w14:textId="77777777" w:rsidR="00C15BD4" w:rsidRPr="00723F3F" w:rsidRDefault="00C15BD4" w:rsidP="00C15BD4">
            <w:pPr>
              <w:rPr>
                <w:rFonts w:eastAsia="Times New Roman"/>
                <w:sz w:val="16"/>
                <w:szCs w:val="16"/>
              </w:rPr>
            </w:pPr>
            <w:r w:rsidRPr="00723F3F">
              <w:rPr>
                <w:rFonts w:eastAsia="Times New Roman"/>
                <w:sz w:val="16"/>
                <w:szCs w:val="16"/>
              </w:rPr>
              <w:t xml:space="preserve">Dicho importe se corresponde con la contrapartida del Derecho de cesión de uso concedido a la sociedad en el ejercicio 2006 y comentado en la nota 6.a) de la memoria, que al igual que el inmovilizado afecto se aplica al resultado a razón de un 3% anual, importe que corresponde con la amortización de los locales cedidos. </w:t>
            </w:r>
          </w:p>
        </w:tc>
        <w:tc>
          <w:tcPr>
            <w:tcW w:w="640" w:type="pct"/>
            <w:tcBorders>
              <w:top w:val="nil"/>
              <w:left w:val="nil"/>
              <w:bottom w:val="single" w:sz="4" w:space="0" w:color="auto"/>
              <w:right w:val="nil"/>
            </w:tcBorders>
            <w:shd w:val="clear" w:color="auto" w:fill="auto"/>
            <w:vAlign w:val="center"/>
            <w:hideMark/>
          </w:tcPr>
          <w:p w14:paraId="1E7680E1" w14:textId="77777777" w:rsidR="00C15BD4" w:rsidRPr="00723F3F" w:rsidRDefault="00C15BD4" w:rsidP="00C15BD4">
            <w:pPr>
              <w:jc w:val="right"/>
              <w:rPr>
                <w:rFonts w:eastAsia="Times New Roman"/>
                <w:sz w:val="16"/>
                <w:szCs w:val="16"/>
              </w:rPr>
            </w:pPr>
            <w:r w:rsidRPr="00723F3F">
              <w:rPr>
                <w:rFonts w:eastAsia="Times New Roman"/>
                <w:sz w:val="16"/>
                <w:szCs w:val="16"/>
              </w:rPr>
              <w:t>04/08/2006</w:t>
            </w:r>
          </w:p>
        </w:tc>
      </w:tr>
      <w:tr w:rsidR="00C15BD4" w:rsidRPr="00723F3F" w14:paraId="23CF09CC" w14:textId="77777777" w:rsidTr="00723F3F">
        <w:trPr>
          <w:trHeight w:val="964"/>
          <w:jc w:val="center"/>
        </w:trPr>
        <w:tc>
          <w:tcPr>
            <w:tcW w:w="834" w:type="pct"/>
            <w:tcBorders>
              <w:top w:val="nil"/>
              <w:left w:val="nil"/>
              <w:bottom w:val="single" w:sz="4" w:space="0" w:color="auto"/>
              <w:right w:val="nil"/>
            </w:tcBorders>
            <w:shd w:val="clear" w:color="auto" w:fill="auto"/>
            <w:vAlign w:val="center"/>
          </w:tcPr>
          <w:p w14:paraId="488EF56F" w14:textId="77777777" w:rsidR="00C15BD4" w:rsidRPr="00723F3F" w:rsidRDefault="00C15BD4" w:rsidP="00C15BD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sz w:val="16"/>
                <w:szCs w:val="16"/>
              </w:rPr>
              <w:t>Consejería de Turismo, Industria y Comercio</w:t>
            </w:r>
          </w:p>
        </w:tc>
        <w:tc>
          <w:tcPr>
            <w:tcW w:w="543" w:type="pct"/>
            <w:tcBorders>
              <w:top w:val="nil"/>
              <w:left w:val="nil"/>
              <w:bottom w:val="single" w:sz="4" w:space="0" w:color="auto"/>
              <w:right w:val="nil"/>
            </w:tcBorders>
            <w:shd w:val="clear" w:color="auto" w:fill="auto"/>
            <w:vAlign w:val="center"/>
          </w:tcPr>
          <w:p w14:paraId="2F6A7EBD" w14:textId="77777777" w:rsidR="00C15BD4" w:rsidRPr="00723F3F" w:rsidRDefault="00C15BD4" w:rsidP="00C15BD4">
            <w:pPr>
              <w:jc w:val="right"/>
              <w:rPr>
                <w:sz w:val="16"/>
                <w:szCs w:val="16"/>
              </w:rPr>
            </w:pPr>
            <w:r w:rsidRPr="00723F3F">
              <w:rPr>
                <w:sz w:val="16"/>
                <w:szCs w:val="16"/>
              </w:rPr>
              <w:t>300.000,00</w:t>
            </w:r>
          </w:p>
        </w:tc>
        <w:tc>
          <w:tcPr>
            <w:tcW w:w="706" w:type="pct"/>
            <w:tcBorders>
              <w:top w:val="nil"/>
              <w:left w:val="nil"/>
              <w:bottom w:val="single" w:sz="4" w:space="0" w:color="auto"/>
              <w:right w:val="nil"/>
            </w:tcBorders>
            <w:shd w:val="clear" w:color="auto" w:fill="auto"/>
            <w:vAlign w:val="center"/>
          </w:tcPr>
          <w:p w14:paraId="238CE337" w14:textId="26FFF820" w:rsidR="00C15BD4" w:rsidRPr="00723F3F" w:rsidRDefault="00C15BD4" w:rsidP="00C15BD4">
            <w:pPr>
              <w:jc w:val="right"/>
              <w:rPr>
                <w:sz w:val="16"/>
                <w:szCs w:val="16"/>
              </w:rPr>
            </w:pPr>
            <w:r>
              <w:rPr>
                <w:sz w:val="16"/>
                <w:szCs w:val="16"/>
              </w:rPr>
              <w:t>120.528,28</w:t>
            </w:r>
          </w:p>
        </w:tc>
        <w:tc>
          <w:tcPr>
            <w:tcW w:w="569" w:type="pct"/>
            <w:tcBorders>
              <w:top w:val="nil"/>
              <w:left w:val="nil"/>
              <w:bottom w:val="single" w:sz="4" w:space="0" w:color="auto"/>
              <w:right w:val="nil"/>
            </w:tcBorders>
            <w:shd w:val="clear" w:color="auto" w:fill="auto"/>
            <w:vAlign w:val="center"/>
          </w:tcPr>
          <w:p w14:paraId="6EF5848D" w14:textId="70C3927C" w:rsidR="00C15BD4" w:rsidRPr="00F569D5" w:rsidRDefault="00C15BD4" w:rsidP="00C15BD4">
            <w:pPr>
              <w:jc w:val="right"/>
              <w:rPr>
                <w:sz w:val="16"/>
                <w:szCs w:val="16"/>
                <w:highlight w:val="yellow"/>
              </w:rPr>
            </w:pPr>
            <w:r>
              <w:rPr>
                <w:sz w:val="16"/>
                <w:szCs w:val="16"/>
              </w:rPr>
              <w:t>40.176,08</w:t>
            </w:r>
          </w:p>
        </w:tc>
        <w:tc>
          <w:tcPr>
            <w:tcW w:w="1708" w:type="pct"/>
            <w:tcBorders>
              <w:top w:val="nil"/>
              <w:left w:val="nil"/>
              <w:bottom w:val="single" w:sz="4" w:space="0" w:color="auto"/>
              <w:right w:val="nil"/>
            </w:tcBorders>
            <w:shd w:val="clear" w:color="auto" w:fill="auto"/>
            <w:vAlign w:val="center"/>
          </w:tcPr>
          <w:p w14:paraId="5BEB11AD" w14:textId="77777777" w:rsidR="00C15BD4" w:rsidRPr="00723F3F" w:rsidRDefault="00C15BD4" w:rsidP="00C15BD4">
            <w:pPr>
              <w:rPr>
                <w:sz w:val="16"/>
                <w:szCs w:val="16"/>
              </w:rPr>
            </w:pPr>
            <w:r w:rsidRPr="00723F3F">
              <w:rPr>
                <w:sz w:val="16"/>
                <w:szCs w:val="16"/>
              </w:rPr>
              <w:t>Subvención para la mejora de la competitividad del modelo turístico canario y la proyección de la marca Islas Canarias a través del proyecto Centro de Difusión del Conocimiento Turístico</w:t>
            </w:r>
          </w:p>
        </w:tc>
        <w:tc>
          <w:tcPr>
            <w:tcW w:w="640" w:type="pct"/>
            <w:tcBorders>
              <w:top w:val="nil"/>
              <w:left w:val="nil"/>
              <w:bottom w:val="single" w:sz="4" w:space="0" w:color="auto"/>
              <w:right w:val="nil"/>
            </w:tcBorders>
            <w:shd w:val="clear" w:color="auto" w:fill="auto"/>
            <w:vAlign w:val="center"/>
          </w:tcPr>
          <w:p w14:paraId="64120ECF" w14:textId="77777777" w:rsidR="00C15BD4" w:rsidRPr="00723F3F" w:rsidRDefault="00C15BD4" w:rsidP="00C15BD4">
            <w:pPr>
              <w:jc w:val="right"/>
              <w:rPr>
                <w:sz w:val="16"/>
                <w:szCs w:val="16"/>
              </w:rPr>
            </w:pPr>
            <w:r w:rsidRPr="00723F3F">
              <w:rPr>
                <w:sz w:val="16"/>
                <w:szCs w:val="16"/>
              </w:rPr>
              <w:t>08/08/2019</w:t>
            </w:r>
          </w:p>
        </w:tc>
      </w:tr>
      <w:tr w:rsidR="00C15BD4" w:rsidRPr="00723F3F" w14:paraId="7E7E7912" w14:textId="77777777" w:rsidTr="00723F3F">
        <w:trPr>
          <w:trHeight w:val="510"/>
          <w:jc w:val="center"/>
        </w:trPr>
        <w:tc>
          <w:tcPr>
            <w:tcW w:w="834" w:type="pct"/>
            <w:tcBorders>
              <w:top w:val="nil"/>
              <w:left w:val="nil"/>
              <w:bottom w:val="single" w:sz="4" w:space="0" w:color="auto"/>
              <w:right w:val="nil"/>
            </w:tcBorders>
            <w:shd w:val="clear" w:color="auto" w:fill="auto"/>
            <w:vAlign w:val="center"/>
          </w:tcPr>
          <w:p w14:paraId="58B78E7B" w14:textId="77777777" w:rsidR="00C15BD4" w:rsidRPr="00723F3F" w:rsidRDefault="00C15BD4" w:rsidP="00C15BD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3F3F">
              <w:rPr>
                <w:sz w:val="16"/>
                <w:szCs w:val="16"/>
              </w:rPr>
              <w:t>Consejería de Turismo, Industria y Comercio</w:t>
            </w:r>
          </w:p>
        </w:tc>
        <w:tc>
          <w:tcPr>
            <w:tcW w:w="543" w:type="pct"/>
            <w:tcBorders>
              <w:top w:val="nil"/>
              <w:left w:val="nil"/>
              <w:bottom w:val="single" w:sz="4" w:space="0" w:color="auto"/>
              <w:right w:val="nil"/>
            </w:tcBorders>
            <w:shd w:val="clear" w:color="auto" w:fill="auto"/>
            <w:vAlign w:val="center"/>
          </w:tcPr>
          <w:p w14:paraId="14E1E771" w14:textId="77777777" w:rsidR="00C15BD4" w:rsidRPr="00723F3F" w:rsidRDefault="00C15BD4" w:rsidP="00C15BD4">
            <w:pPr>
              <w:jc w:val="right"/>
              <w:rPr>
                <w:sz w:val="16"/>
                <w:szCs w:val="16"/>
              </w:rPr>
            </w:pPr>
            <w:r w:rsidRPr="00723F3F">
              <w:rPr>
                <w:sz w:val="16"/>
                <w:szCs w:val="16"/>
              </w:rPr>
              <w:t>90.600,00</w:t>
            </w:r>
          </w:p>
        </w:tc>
        <w:tc>
          <w:tcPr>
            <w:tcW w:w="706" w:type="pct"/>
            <w:tcBorders>
              <w:top w:val="nil"/>
              <w:left w:val="nil"/>
              <w:bottom w:val="single" w:sz="4" w:space="0" w:color="auto"/>
              <w:right w:val="nil"/>
            </w:tcBorders>
            <w:shd w:val="clear" w:color="auto" w:fill="auto"/>
            <w:vAlign w:val="center"/>
          </w:tcPr>
          <w:p w14:paraId="39789CF6" w14:textId="2AC1ED55" w:rsidR="00C15BD4" w:rsidRPr="00723F3F" w:rsidRDefault="00C15BD4" w:rsidP="00C15BD4">
            <w:pPr>
              <w:jc w:val="right"/>
              <w:rPr>
                <w:sz w:val="16"/>
                <w:szCs w:val="16"/>
              </w:rPr>
            </w:pPr>
            <w:r>
              <w:rPr>
                <w:sz w:val="16"/>
                <w:szCs w:val="16"/>
              </w:rPr>
              <w:t>20.210,53</w:t>
            </w:r>
          </w:p>
        </w:tc>
        <w:tc>
          <w:tcPr>
            <w:tcW w:w="569" w:type="pct"/>
            <w:tcBorders>
              <w:top w:val="nil"/>
              <w:left w:val="nil"/>
              <w:bottom w:val="single" w:sz="4" w:space="0" w:color="auto"/>
              <w:right w:val="nil"/>
            </w:tcBorders>
            <w:shd w:val="clear" w:color="auto" w:fill="auto"/>
            <w:vAlign w:val="center"/>
          </w:tcPr>
          <w:p w14:paraId="632A6B12" w14:textId="7F0DF71E" w:rsidR="00C15BD4" w:rsidRPr="00F569D5" w:rsidRDefault="00C15BD4" w:rsidP="00C15BD4">
            <w:pPr>
              <w:jc w:val="right"/>
              <w:rPr>
                <w:sz w:val="16"/>
                <w:szCs w:val="16"/>
                <w:highlight w:val="yellow"/>
              </w:rPr>
            </w:pPr>
            <w:r>
              <w:rPr>
                <w:sz w:val="16"/>
                <w:szCs w:val="16"/>
              </w:rPr>
              <w:t>6.736,83</w:t>
            </w:r>
          </w:p>
        </w:tc>
        <w:tc>
          <w:tcPr>
            <w:tcW w:w="1708" w:type="pct"/>
            <w:tcBorders>
              <w:top w:val="nil"/>
              <w:left w:val="nil"/>
              <w:bottom w:val="single" w:sz="4" w:space="0" w:color="auto"/>
              <w:right w:val="nil"/>
            </w:tcBorders>
            <w:shd w:val="clear" w:color="auto" w:fill="auto"/>
            <w:vAlign w:val="center"/>
          </w:tcPr>
          <w:p w14:paraId="6D5A8C58" w14:textId="77777777" w:rsidR="00C15BD4" w:rsidRPr="00723F3F" w:rsidRDefault="00C15BD4" w:rsidP="00C15BD4">
            <w:pPr>
              <w:rPr>
                <w:sz w:val="16"/>
                <w:szCs w:val="16"/>
              </w:rPr>
            </w:pPr>
            <w:r w:rsidRPr="00723F3F">
              <w:rPr>
                <w:sz w:val="16"/>
                <w:szCs w:val="16"/>
              </w:rPr>
              <w:t>Subvención para la implementación de medidas para la gestión de "Canarias Fortaleza"</w:t>
            </w:r>
          </w:p>
        </w:tc>
        <w:tc>
          <w:tcPr>
            <w:tcW w:w="640" w:type="pct"/>
            <w:tcBorders>
              <w:top w:val="nil"/>
              <w:left w:val="nil"/>
              <w:bottom w:val="single" w:sz="4" w:space="0" w:color="auto"/>
              <w:right w:val="nil"/>
            </w:tcBorders>
            <w:shd w:val="clear" w:color="auto" w:fill="auto"/>
            <w:vAlign w:val="center"/>
          </w:tcPr>
          <w:p w14:paraId="45C70102" w14:textId="3985CA87" w:rsidR="00C15BD4" w:rsidRPr="00723F3F" w:rsidRDefault="00C15BD4" w:rsidP="00C15BD4">
            <w:pPr>
              <w:jc w:val="right"/>
              <w:rPr>
                <w:sz w:val="16"/>
                <w:szCs w:val="16"/>
              </w:rPr>
            </w:pPr>
            <w:r w:rsidRPr="00723F3F">
              <w:rPr>
                <w:sz w:val="16"/>
                <w:szCs w:val="16"/>
              </w:rPr>
              <w:t>28/12/2020</w:t>
            </w:r>
          </w:p>
        </w:tc>
      </w:tr>
      <w:tr w:rsidR="00C15BD4" w:rsidRPr="00723F3F" w14:paraId="4AA4ABE1" w14:textId="77777777" w:rsidTr="00954AA6">
        <w:trPr>
          <w:trHeight w:val="283"/>
          <w:jc w:val="center"/>
        </w:trPr>
        <w:tc>
          <w:tcPr>
            <w:tcW w:w="834" w:type="pct"/>
            <w:tcBorders>
              <w:top w:val="nil"/>
              <w:left w:val="nil"/>
              <w:bottom w:val="single" w:sz="4" w:space="0" w:color="auto"/>
              <w:right w:val="nil"/>
            </w:tcBorders>
            <w:shd w:val="clear" w:color="auto" w:fill="auto"/>
            <w:vAlign w:val="center"/>
            <w:hideMark/>
          </w:tcPr>
          <w:p w14:paraId="54F7B574" w14:textId="77777777" w:rsidR="00C15BD4" w:rsidRPr="00723F3F" w:rsidRDefault="00C15BD4" w:rsidP="00C15BD4">
            <w:pPr>
              <w:rPr>
                <w:rFonts w:eastAsia="Times New Roman"/>
                <w:b/>
                <w:bCs/>
                <w:sz w:val="16"/>
                <w:szCs w:val="16"/>
              </w:rPr>
            </w:pPr>
            <w:r w:rsidRPr="00723F3F">
              <w:rPr>
                <w:rFonts w:eastAsia="Times New Roman"/>
                <w:b/>
                <w:bCs/>
                <w:sz w:val="16"/>
                <w:szCs w:val="16"/>
              </w:rPr>
              <w:t>Total</w:t>
            </w:r>
          </w:p>
        </w:tc>
        <w:tc>
          <w:tcPr>
            <w:tcW w:w="543" w:type="pct"/>
            <w:tcBorders>
              <w:top w:val="nil"/>
              <w:left w:val="nil"/>
              <w:bottom w:val="single" w:sz="4" w:space="0" w:color="auto"/>
              <w:right w:val="nil"/>
            </w:tcBorders>
            <w:shd w:val="clear" w:color="auto" w:fill="auto"/>
            <w:vAlign w:val="center"/>
            <w:hideMark/>
          </w:tcPr>
          <w:p w14:paraId="3DF8FE2E" w14:textId="77777777" w:rsidR="00C15BD4" w:rsidRPr="00723F3F" w:rsidRDefault="00C15BD4" w:rsidP="00C15BD4">
            <w:pPr>
              <w:jc w:val="right"/>
              <w:rPr>
                <w:b/>
                <w:bCs/>
                <w:sz w:val="16"/>
                <w:szCs w:val="16"/>
              </w:rPr>
            </w:pPr>
            <w:r w:rsidRPr="00723F3F">
              <w:rPr>
                <w:b/>
                <w:bCs/>
                <w:sz w:val="16"/>
                <w:szCs w:val="16"/>
              </w:rPr>
              <w:t>472.801,43</w:t>
            </w:r>
          </w:p>
        </w:tc>
        <w:tc>
          <w:tcPr>
            <w:tcW w:w="706" w:type="pct"/>
            <w:tcBorders>
              <w:top w:val="nil"/>
              <w:left w:val="nil"/>
              <w:bottom w:val="single" w:sz="4" w:space="0" w:color="auto"/>
              <w:right w:val="nil"/>
            </w:tcBorders>
            <w:shd w:val="clear" w:color="auto" w:fill="auto"/>
            <w:vAlign w:val="center"/>
            <w:hideMark/>
          </w:tcPr>
          <w:p w14:paraId="143BF8CA" w14:textId="5108169C" w:rsidR="00C15BD4" w:rsidRPr="00723F3F" w:rsidRDefault="00C15BD4" w:rsidP="00C15BD4">
            <w:pPr>
              <w:jc w:val="right"/>
              <w:rPr>
                <w:b/>
                <w:bCs/>
                <w:sz w:val="16"/>
                <w:szCs w:val="16"/>
              </w:rPr>
            </w:pPr>
            <w:r>
              <w:rPr>
                <w:b/>
                <w:bCs/>
                <w:sz w:val="16"/>
                <w:szCs w:val="16"/>
              </w:rPr>
              <w:t>172.401,11</w:t>
            </w:r>
          </w:p>
        </w:tc>
        <w:tc>
          <w:tcPr>
            <w:tcW w:w="569" w:type="pct"/>
            <w:tcBorders>
              <w:top w:val="nil"/>
              <w:left w:val="nil"/>
              <w:bottom w:val="single" w:sz="4" w:space="0" w:color="auto"/>
              <w:right w:val="nil"/>
            </w:tcBorders>
            <w:shd w:val="clear" w:color="auto" w:fill="auto"/>
            <w:vAlign w:val="center"/>
          </w:tcPr>
          <w:p w14:paraId="5BC41B33" w14:textId="6030D04D" w:rsidR="00C15BD4" w:rsidRPr="00F569D5" w:rsidRDefault="00C15BD4" w:rsidP="00C15BD4">
            <w:pPr>
              <w:jc w:val="right"/>
              <w:rPr>
                <w:b/>
                <w:bCs/>
                <w:sz w:val="16"/>
                <w:szCs w:val="16"/>
                <w:highlight w:val="yellow"/>
              </w:rPr>
            </w:pPr>
            <w:r>
              <w:rPr>
                <w:b/>
                <w:bCs/>
                <w:sz w:val="16"/>
                <w:szCs w:val="16"/>
              </w:rPr>
              <w:t>57.563,01</w:t>
            </w:r>
          </w:p>
        </w:tc>
        <w:tc>
          <w:tcPr>
            <w:tcW w:w="1708" w:type="pct"/>
            <w:tcBorders>
              <w:top w:val="nil"/>
              <w:left w:val="nil"/>
              <w:bottom w:val="single" w:sz="4" w:space="0" w:color="auto"/>
              <w:right w:val="nil"/>
            </w:tcBorders>
            <w:shd w:val="clear" w:color="auto" w:fill="auto"/>
            <w:vAlign w:val="center"/>
            <w:hideMark/>
          </w:tcPr>
          <w:p w14:paraId="0D5447C0" w14:textId="77777777" w:rsidR="00C15BD4" w:rsidRPr="00723F3F" w:rsidRDefault="00C15BD4" w:rsidP="00C15BD4">
            <w:pPr>
              <w:rPr>
                <w:rFonts w:eastAsia="Times New Roman" w:cs="Times"/>
                <w:sz w:val="16"/>
                <w:szCs w:val="16"/>
              </w:rPr>
            </w:pPr>
            <w:r w:rsidRPr="00723F3F">
              <w:rPr>
                <w:rFonts w:eastAsia="Times New Roman" w:cs="Times"/>
                <w:sz w:val="16"/>
                <w:szCs w:val="16"/>
              </w:rPr>
              <w:t> </w:t>
            </w:r>
          </w:p>
        </w:tc>
        <w:tc>
          <w:tcPr>
            <w:tcW w:w="640" w:type="pct"/>
            <w:tcBorders>
              <w:top w:val="nil"/>
              <w:left w:val="nil"/>
              <w:bottom w:val="single" w:sz="4" w:space="0" w:color="auto"/>
              <w:right w:val="nil"/>
            </w:tcBorders>
            <w:shd w:val="clear" w:color="auto" w:fill="auto"/>
            <w:vAlign w:val="center"/>
            <w:hideMark/>
          </w:tcPr>
          <w:p w14:paraId="75514A84" w14:textId="77777777" w:rsidR="00C15BD4" w:rsidRPr="00723F3F" w:rsidRDefault="00C15BD4" w:rsidP="00C15BD4">
            <w:pPr>
              <w:rPr>
                <w:rFonts w:eastAsia="Times New Roman" w:cs="Times"/>
                <w:sz w:val="16"/>
                <w:szCs w:val="16"/>
              </w:rPr>
            </w:pPr>
            <w:r w:rsidRPr="00723F3F">
              <w:rPr>
                <w:rFonts w:eastAsia="Times New Roman" w:cs="Times"/>
                <w:sz w:val="16"/>
                <w:szCs w:val="16"/>
              </w:rPr>
              <w:t> </w:t>
            </w:r>
          </w:p>
        </w:tc>
      </w:tr>
    </w:tbl>
    <w:p w14:paraId="3E9488B8" w14:textId="561E65FC" w:rsidR="004D0B1C" w:rsidRDefault="004D0B1C" w:rsidP="006220A2">
      <w:pPr>
        <w:keepNext/>
        <w:keepLines/>
        <w:widowControl w:val="0"/>
        <w:spacing w:before="200" w:after="120"/>
        <w:jc w:val="both"/>
        <w:rPr>
          <w:snapToGrid w:val="0"/>
          <w:sz w:val="20"/>
          <w:szCs w:val="22"/>
        </w:rPr>
      </w:pPr>
      <w:r>
        <w:rPr>
          <w:snapToGrid w:val="0"/>
          <w:sz w:val="20"/>
          <w:szCs w:val="22"/>
        </w:rPr>
        <w:t>Los importes imputados a la cuenta de pérdidas y ganancias en el ejercicio 202</w:t>
      </w:r>
      <w:r w:rsidR="0042745B">
        <w:rPr>
          <w:snapToGrid w:val="0"/>
          <w:sz w:val="20"/>
          <w:szCs w:val="22"/>
        </w:rPr>
        <w:t>1</w:t>
      </w:r>
      <w:r>
        <w:rPr>
          <w:snapToGrid w:val="0"/>
          <w:sz w:val="20"/>
          <w:szCs w:val="22"/>
        </w:rPr>
        <w:t xml:space="preserve"> son los siguientes:</w:t>
      </w:r>
    </w:p>
    <w:tbl>
      <w:tblPr>
        <w:tblW w:w="5000" w:type="pct"/>
        <w:jc w:val="center"/>
        <w:tblCellMar>
          <w:left w:w="70" w:type="dxa"/>
          <w:right w:w="70" w:type="dxa"/>
        </w:tblCellMar>
        <w:tblLook w:val="04A0" w:firstRow="1" w:lastRow="0" w:firstColumn="1" w:lastColumn="0" w:noHBand="0" w:noVBand="1"/>
      </w:tblPr>
      <w:tblGrid>
        <w:gridCol w:w="2661"/>
        <w:gridCol w:w="1064"/>
        <w:gridCol w:w="1356"/>
        <w:gridCol w:w="1647"/>
        <w:gridCol w:w="1020"/>
        <w:gridCol w:w="1033"/>
      </w:tblGrid>
      <w:tr w:rsidR="004D0B1C" w:rsidRPr="00723F3F" w14:paraId="47AEB801" w14:textId="77777777" w:rsidTr="00954AA6">
        <w:trPr>
          <w:trHeight w:val="288"/>
          <w:jc w:val="center"/>
        </w:trPr>
        <w:tc>
          <w:tcPr>
            <w:tcW w:w="1515" w:type="pct"/>
            <w:tcBorders>
              <w:top w:val="nil"/>
              <w:left w:val="nil"/>
              <w:bottom w:val="nil"/>
              <w:right w:val="nil"/>
            </w:tcBorders>
            <w:shd w:val="clear" w:color="auto" w:fill="auto"/>
            <w:noWrap/>
            <w:vAlign w:val="bottom"/>
            <w:hideMark/>
          </w:tcPr>
          <w:p w14:paraId="52D61DA6" w14:textId="77777777" w:rsidR="004D0B1C" w:rsidRPr="008002D2"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bdr w:val="none" w:sz="0" w:space="0" w:color="auto"/>
                <w:lang w:eastAsia="es-ES"/>
              </w:rPr>
            </w:pPr>
          </w:p>
        </w:tc>
        <w:tc>
          <w:tcPr>
            <w:tcW w:w="606" w:type="pct"/>
            <w:tcBorders>
              <w:top w:val="nil"/>
              <w:left w:val="nil"/>
              <w:bottom w:val="nil"/>
              <w:right w:val="nil"/>
            </w:tcBorders>
            <w:shd w:val="clear" w:color="auto" w:fill="auto"/>
            <w:noWrap/>
            <w:vAlign w:val="bottom"/>
            <w:hideMark/>
          </w:tcPr>
          <w:p w14:paraId="7B3C5C9E" w14:textId="77777777" w:rsidR="004D0B1C" w:rsidRPr="008002D2"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772" w:type="pct"/>
            <w:tcBorders>
              <w:top w:val="nil"/>
              <w:left w:val="nil"/>
              <w:bottom w:val="nil"/>
              <w:right w:val="nil"/>
            </w:tcBorders>
            <w:shd w:val="clear" w:color="auto" w:fill="auto"/>
            <w:noWrap/>
            <w:vAlign w:val="bottom"/>
            <w:hideMark/>
          </w:tcPr>
          <w:p w14:paraId="55BA0824" w14:textId="77777777" w:rsidR="004D0B1C" w:rsidRPr="008002D2"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2107" w:type="pct"/>
            <w:gridSpan w:val="3"/>
            <w:tcBorders>
              <w:top w:val="single" w:sz="4" w:space="0" w:color="auto"/>
              <w:left w:val="nil"/>
              <w:bottom w:val="single" w:sz="4" w:space="0" w:color="auto"/>
              <w:right w:val="nil"/>
            </w:tcBorders>
            <w:shd w:val="clear" w:color="auto" w:fill="auto"/>
            <w:noWrap/>
            <w:vAlign w:val="bottom"/>
            <w:hideMark/>
          </w:tcPr>
          <w:p w14:paraId="5CD738E6" w14:textId="7DE3ED6F" w:rsidR="004D0B1C" w:rsidRPr="008002D2"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002D2">
              <w:rPr>
                <w:rFonts w:eastAsia="Times New Roman"/>
                <w:b/>
                <w:bCs/>
                <w:sz w:val="16"/>
                <w:szCs w:val="16"/>
                <w:bdr w:val="none" w:sz="0" w:space="0" w:color="auto"/>
                <w:lang w:eastAsia="es-ES"/>
              </w:rPr>
              <w:t xml:space="preserve">Traspaso a </w:t>
            </w:r>
            <w:proofErr w:type="spellStart"/>
            <w:r w:rsidRPr="008002D2">
              <w:rPr>
                <w:rFonts w:eastAsia="Times New Roman"/>
                <w:b/>
                <w:bCs/>
                <w:sz w:val="16"/>
                <w:szCs w:val="16"/>
                <w:bdr w:val="none" w:sz="0" w:space="0" w:color="auto"/>
                <w:lang w:eastAsia="es-ES"/>
              </w:rPr>
              <w:t>rtdo</w:t>
            </w:r>
            <w:proofErr w:type="spellEnd"/>
            <w:r w:rsidRPr="008002D2">
              <w:rPr>
                <w:rFonts w:eastAsia="Times New Roman"/>
                <w:b/>
                <w:bCs/>
                <w:sz w:val="16"/>
                <w:szCs w:val="16"/>
                <w:bdr w:val="none" w:sz="0" w:space="0" w:color="auto"/>
                <w:lang w:eastAsia="es-ES"/>
              </w:rPr>
              <w:t xml:space="preserve"> del ejercicio 202</w:t>
            </w:r>
            <w:r w:rsidR="008002D2" w:rsidRPr="008002D2">
              <w:rPr>
                <w:rFonts w:eastAsia="Times New Roman"/>
                <w:b/>
                <w:bCs/>
                <w:sz w:val="16"/>
                <w:szCs w:val="16"/>
                <w:bdr w:val="none" w:sz="0" w:space="0" w:color="auto"/>
                <w:lang w:eastAsia="es-ES"/>
              </w:rPr>
              <w:t>1</w:t>
            </w:r>
          </w:p>
        </w:tc>
      </w:tr>
      <w:tr w:rsidR="004D0B1C" w:rsidRPr="00723F3F" w14:paraId="314745FA" w14:textId="77777777" w:rsidTr="00954AA6">
        <w:trPr>
          <w:trHeight w:val="454"/>
          <w:jc w:val="center"/>
        </w:trPr>
        <w:tc>
          <w:tcPr>
            <w:tcW w:w="1515" w:type="pct"/>
            <w:tcBorders>
              <w:top w:val="single" w:sz="4" w:space="0" w:color="auto"/>
              <w:left w:val="nil"/>
              <w:bottom w:val="single" w:sz="4" w:space="0" w:color="auto"/>
              <w:right w:val="nil"/>
            </w:tcBorders>
            <w:shd w:val="clear" w:color="auto" w:fill="auto"/>
            <w:vAlign w:val="bottom"/>
            <w:hideMark/>
          </w:tcPr>
          <w:p w14:paraId="14D5E026" w14:textId="77777777" w:rsidR="004D0B1C" w:rsidRPr="008002D2"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002D2">
              <w:rPr>
                <w:rFonts w:eastAsia="Times New Roman"/>
                <w:b/>
                <w:bCs/>
                <w:sz w:val="16"/>
                <w:szCs w:val="16"/>
                <w:bdr w:val="none" w:sz="0" w:space="0" w:color="auto"/>
                <w:lang w:eastAsia="es-ES"/>
              </w:rPr>
              <w:t>Entidad concesionaria</w:t>
            </w:r>
          </w:p>
        </w:tc>
        <w:tc>
          <w:tcPr>
            <w:tcW w:w="606" w:type="pct"/>
            <w:tcBorders>
              <w:top w:val="single" w:sz="4" w:space="0" w:color="auto"/>
              <w:left w:val="nil"/>
              <w:bottom w:val="nil"/>
              <w:right w:val="nil"/>
            </w:tcBorders>
            <w:shd w:val="clear" w:color="auto" w:fill="auto"/>
            <w:vAlign w:val="bottom"/>
            <w:hideMark/>
          </w:tcPr>
          <w:p w14:paraId="6C04C6DA" w14:textId="56A9881E" w:rsidR="004D0B1C" w:rsidRPr="008002D2"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002D2">
              <w:rPr>
                <w:rFonts w:eastAsia="Times New Roman"/>
                <w:b/>
                <w:bCs/>
                <w:sz w:val="16"/>
                <w:szCs w:val="16"/>
                <w:bdr w:val="none" w:sz="0" w:space="0" w:color="auto"/>
                <w:lang w:eastAsia="es-ES"/>
              </w:rPr>
              <w:t>Importe concedido 202</w:t>
            </w:r>
            <w:r w:rsidR="00552684" w:rsidRPr="008002D2">
              <w:rPr>
                <w:rFonts w:eastAsia="Times New Roman"/>
                <w:b/>
                <w:bCs/>
                <w:sz w:val="16"/>
                <w:szCs w:val="16"/>
                <w:bdr w:val="none" w:sz="0" w:space="0" w:color="auto"/>
                <w:lang w:eastAsia="es-ES"/>
              </w:rPr>
              <w:t>1</w:t>
            </w:r>
          </w:p>
        </w:tc>
        <w:tc>
          <w:tcPr>
            <w:tcW w:w="772" w:type="pct"/>
            <w:tcBorders>
              <w:top w:val="single" w:sz="4" w:space="0" w:color="auto"/>
              <w:left w:val="nil"/>
              <w:bottom w:val="nil"/>
              <w:right w:val="nil"/>
            </w:tcBorders>
            <w:shd w:val="clear" w:color="auto" w:fill="auto"/>
            <w:vAlign w:val="bottom"/>
            <w:hideMark/>
          </w:tcPr>
          <w:p w14:paraId="0E4D8A1E" w14:textId="32CD0485" w:rsidR="004D0B1C" w:rsidRPr="008002D2"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002D2">
              <w:rPr>
                <w:rFonts w:eastAsia="Times New Roman"/>
                <w:b/>
                <w:bCs/>
                <w:sz w:val="16"/>
                <w:szCs w:val="16"/>
                <w:bdr w:val="none" w:sz="0" w:space="0" w:color="auto"/>
                <w:lang w:eastAsia="es-ES"/>
              </w:rPr>
              <w:t>Efecto impositivo concesión 202</w:t>
            </w:r>
            <w:r w:rsidR="00552684" w:rsidRPr="008002D2">
              <w:rPr>
                <w:rFonts w:eastAsia="Times New Roman"/>
                <w:b/>
                <w:bCs/>
                <w:sz w:val="16"/>
                <w:szCs w:val="16"/>
                <w:bdr w:val="none" w:sz="0" w:space="0" w:color="auto"/>
                <w:lang w:eastAsia="es-ES"/>
              </w:rPr>
              <w:t>1</w:t>
            </w:r>
          </w:p>
        </w:tc>
        <w:tc>
          <w:tcPr>
            <w:tcW w:w="938" w:type="pct"/>
            <w:tcBorders>
              <w:top w:val="nil"/>
              <w:left w:val="nil"/>
              <w:bottom w:val="nil"/>
              <w:right w:val="nil"/>
            </w:tcBorders>
            <w:shd w:val="clear" w:color="auto" w:fill="auto"/>
            <w:vAlign w:val="bottom"/>
            <w:hideMark/>
          </w:tcPr>
          <w:p w14:paraId="4FB84A2F" w14:textId="77777777" w:rsidR="004D0B1C" w:rsidRPr="008002D2"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002D2">
              <w:rPr>
                <w:rFonts w:eastAsia="Times New Roman"/>
                <w:b/>
                <w:bCs/>
                <w:sz w:val="16"/>
                <w:szCs w:val="16"/>
                <w:bdr w:val="none" w:sz="0" w:space="0" w:color="auto"/>
                <w:lang w:eastAsia="es-ES"/>
              </w:rPr>
              <w:t xml:space="preserve">Efecto impositivo traspaso a </w:t>
            </w:r>
            <w:proofErr w:type="spellStart"/>
            <w:r w:rsidRPr="008002D2">
              <w:rPr>
                <w:rFonts w:eastAsia="Times New Roman"/>
                <w:b/>
                <w:bCs/>
                <w:sz w:val="16"/>
                <w:szCs w:val="16"/>
                <w:bdr w:val="none" w:sz="0" w:space="0" w:color="auto"/>
                <w:lang w:eastAsia="es-ES"/>
              </w:rPr>
              <w:t>Rtdo</w:t>
            </w:r>
            <w:proofErr w:type="spellEnd"/>
          </w:p>
        </w:tc>
        <w:tc>
          <w:tcPr>
            <w:tcW w:w="581" w:type="pct"/>
            <w:tcBorders>
              <w:top w:val="nil"/>
              <w:left w:val="nil"/>
              <w:bottom w:val="nil"/>
              <w:right w:val="nil"/>
            </w:tcBorders>
            <w:shd w:val="clear" w:color="auto" w:fill="auto"/>
            <w:vAlign w:val="bottom"/>
            <w:hideMark/>
          </w:tcPr>
          <w:p w14:paraId="6C02CA22" w14:textId="77777777" w:rsidR="004D0B1C" w:rsidRPr="008002D2"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roofErr w:type="spellStart"/>
            <w:r w:rsidRPr="008002D2">
              <w:rPr>
                <w:rFonts w:eastAsia="Times New Roman"/>
                <w:b/>
                <w:bCs/>
                <w:sz w:val="16"/>
                <w:szCs w:val="16"/>
                <w:bdr w:val="none" w:sz="0" w:space="0" w:color="auto"/>
                <w:lang w:eastAsia="es-ES"/>
              </w:rPr>
              <w:t>Subv</w:t>
            </w:r>
            <w:proofErr w:type="spellEnd"/>
            <w:r w:rsidRPr="008002D2">
              <w:rPr>
                <w:rFonts w:eastAsia="Times New Roman"/>
                <w:b/>
                <w:bCs/>
                <w:sz w:val="16"/>
                <w:szCs w:val="16"/>
                <w:bdr w:val="none" w:sz="0" w:space="0" w:color="auto"/>
                <w:lang w:eastAsia="es-ES"/>
              </w:rPr>
              <w:t>. de capital</w:t>
            </w:r>
          </w:p>
        </w:tc>
        <w:tc>
          <w:tcPr>
            <w:tcW w:w="588" w:type="pct"/>
            <w:tcBorders>
              <w:top w:val="nil"/>
              <w:left w:val="nil"/>
              <w:bottom w:val="nil"/>
              <w:right w:val="nil"/>
            </w:tcBorders>
            <w:shd w:val="clear" w:color="auto" w:fill="auto"/>
            <w:vAlign w:val="bottom"/>
            <w:hideMark/>
          </w:tcPr>
          <w:p w14:paraId="42116B1E" w14:textId="77777777" w:rsidR="004D0B1C" w:rsidRPr="008002D2"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8002D2">
              <w:rPr>
                <w:rFonts w:eastAsia="Times New Roman"/>
                <w:b/>
                <w:bCs/>
                <w:sz w:val="16"/>
                <w:szCs w:val="16"/>
                <w:bdr w:val="none" w:sz="0" w:space="0" w:color="auto"/>
                <w:lang w:eastAsia="es-ES"/>
              </w:rPr>
              <w:t xml:space="preserve">Traspaso </w:t>
            </w:r>
            <w:proofErr w:type="spellStart"/>
            <w:r w:rsidRPr="008002D2">
              <w:rPr>
                <w:rFonts w:eastAsia="Times New Roman"/>
                <w:b/>
                <w:bCs/>
                <w:sz w:val="16"/>
                <w:szCs w:val="16"/>
                <w:bdr w:val="none" w:sz="0" w:space="0" w:color="auto"/>
                <w:lang w:eastAsia="es-ES"/>
              </w:rPr>
              <w:t>Rtdos</w:t>
            </w:r>
            <w:proofErr w:type="spellEnd"/>
            <w:r w:rsidRPr="008002D2">
              <w:rPr>
                <w:rFonts w:eastAsia="Times New Roman"/>
                <w:b/>
                <w:bCs/>
                <w:sz w:val="16"/>
                <w:szCs w:val="16"/>
                <w:bdr w:val="none" w:sz="0" w:space="0" w:color="auto"/>
                <w:lang w:eastAsia="es-ES"/>
              </w:rPr>
              <w:t>.</w:t>
            </w:r>
          </w:p>
        </w:tc>
      </w:tr>
      <w:tr w:rsidR="008002D2" w:rsidRPr="00723F3F" w14:paraId="381D6A4D" w14:textId="77777777" w:rsidTr="00954AA6">
        <w:trPr>
          <w:trHeight w:val="288"/>
          <w:jc w:val="center"/>
        </w:trPr>
        <w:tc>
          <w:tcPr>
            <w:tcW w:w="1515" w:type="pct"/>
            <w:tcBorders>
              <w:top w:val="nil"/>
              <w:left w:val="nil"/>
              <w:bottom w:val="single" w:sz="4" w:space="0" w:color="auto"/>
              <w:right w:val="nil"/>
            </w:tcBorders>
            <w:shd w:val="clear" w:color="auto" w:fill="auto"/>
            <w:vAlign w:val="center"/>
            <w:hideMark/>
          </w:tcPr>
          <w:p w14:paraId="165446C3" w14:textId="77777777"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002D2">
              <w:rPr>
                <w:rFonts w:eastAsia="Times New Roman"/>
                <w:sz w:val="16"/>
                <w:szCs w:val="16"/>
                <w:bdr w:val="none" w:sz="0" w:space="0" w:color="auto"/>
                <w:lang w:eastAsia="es-ES"/>
              </w:rPr>
              <w:t>Consejería de Turismo del Gobierno de Canarias</w:t>
            </w:r>
          </w:p>
        </w:tc>
        <w:tc>
          <w:tcPr>
            <w:tcW w:w="606" w:type="pct"/>
            <w:tcBorders>
              <w:top w:val="single" w:sz="4" w:space="0" w:color="auto"/>
              <w:left w:val="nil"/>
              <w:bottom w:val="single" w:sz="4" w:space="0" w:color="auto"/>
              <w:right w:val="nil"/>
            </w:tcBorders>
            <w:shd w:val="clear" w:color="auto" w:fill="auto"/>
            <w:vAlign w:val="center"/>
            <w:hideMark/>
          </w:tcPr>
          <w:p w14:paraId="3A2B707F" w14:textId="77777777"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rFonts w:eastAsia="Times New Roman"/>
                <w:sz w:val="16"/>
                <w:szCs w:val="16"/>
                <w:bdr w:val="none" w:sz="0" w:space="0" w:color="auto"/>
                <w:lang w:eastAsia="es-ES"/>
              </w:rPr>
              <w:t xml:space="preserve"> -</w:t>
            </w:r>
          </w:p>
        </w:tc>
        <w:tc>
          <w:tcPr>
            <w:tcW w:w="772" w:type="pct"/>
            <w:tcBorders>
              <w:top w:val="single" w:sz="4" w:space="0" w:color="auto"/>
              <w:left w:val="nil"/>
              <w:bottom w:val="single" w:sz="4" w:space="0" w:color="auto"/>
              <w:right w:val="nil"/>
            </w:tcBorders>
            <w:shd w:val="clear" w:color="auto" w:fill="auto"/>
            <w:vAlign w:val="center"/>
            <w:hideMark/>
          </w:tcPr>
          <w:p w14:paraId="2F8780D2" w14:textId="77777777"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rFonts w:eastAsia="Times New Roman"/>
                <w:sz w:val="16"/>
                <w:szCs w:val="16"/>
                <w:bdr w:val="none" w:sz="0" w:space="0" w:color="auto"/>
                <w:lang w:eastAsia="es-ES"/>
              </w:rPr>
              <w:t xml:space="preserve"> -</w:t>
            </w:r>
          </w:p>
        </w:tc>
        <w:tc>
          <w:tcPr>
            <w:tcW w:w="938" w:type="pct"/>
            <w:tcBorders>
              <w:top w:val="single" w:sz="4" w:space="0" w:color="auto"/>
              <w:left w:val="nil"/>
              <w:bottom w:val="single" w:sz="4" w:space="0" w:color="auto"/>
              <w:right w:val="nil"/>
            </w:tcBorders>
            <w:shd w:val="clear" w:color="auto" w:fill="auto"/>
            <w:vAlign w:val="center"/>
            <w:hideMark/>
          </w:tcPr>
          <w:p w14:paraId="7C65B31B" w14:textId="71E23DD8"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sz w:val="16"/>
                <w:szCs w:val="16"/>
              </w:rPr>
              <w:t>648,33</w:t>
            </w:r>
          </w:p>
        </w:tc>
        <w:tc>
          <w:tcPr>
            <w:tcW w:w="581" w:type="pct"/>
            <w:tcBorders>
              <w:top w:val="single" w:sz="4" w:space="0" w:color="auto"/>
              <w:left w:val="nil"/>
              <w:bottom w:val="single" w:sz="4" w:space="0" w:color="auto"/>
              <w:right w:val="nil"/>
            </w:tcBorders>
            <w:shd w:val="clear" w:color="auto" w:fill="auto"/>
            <w:vAlign w:val="center"/>
            <w:hideMark/>
          </w:tcPr>
          <w:p w14:paraId="64950333" w14:textId="1C02C0C5"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sz w:val="16"/>
                <w:szCs w:val="16"/>
              </w:rPr>
              <w:t>2.088,98</w:t>
            </w:r>
          </w:p>
        </w:tc>
        <w:tc>
          <w:tcPr>
            <w:tcW w:w="588" w:type="pct"/>
            <w:tcBorders>
              <w:top w:val="single" w:sz="4" w:space="0" w:color="auto"/>
              <w:left w:val="nil"/>
              <w:bottom w:val="single" w:sz="4" w:space="0" w:color="auto"/>
              <w:right w:val="nil"/>
            </w:tcBorders>
            <w:shd w:val="clear" w:color="auto" w:fill="auto"/>
            <w:vAlign w:val="center"/>
            <w:hideMark/>
          </w:tcPr>
          <w:p w14:paraId="43A8A70D" w14:textId="1EB872A8"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sz w:val="16"/>
                <w:szCs w:val="16"/>
              </w:rPr>
              <w:t>2.737,31</w:t>
            </w:r>
          </w:p>
        </w:tc>
      </w:tr>
      <w:tr w:rsidR="008002D2" w:rsidRPr="00723F3F" w14:paraId="6FFF76CA" w14:textId="77777777" w:rsidTr="00954AA6">
        <w:trPr>
          <w:trHeight w:val="288"/>
          <w:jc w:val="center"/>
        </w:trPr>
        <w:tc>
          <w:tcPr>
            <w:tcW w:w="1515" w:type="pct"/>
            <w:tcBorders>
              <w:top w:val="nil"/>
              <w:left w:val="nil"/>
              <w:bottom w:val="single" w:sz="4" w:space="0" w:color="auto"/>
              <w:right w:val="nil"/>
            </w:tcBorders>
            <w:shd w:val="clear" w:color="auto" w:fill="auto"/>
            <w:vAlign w:val="center"/>
            <w:hideMark/>
          </w:tcPr>
          <w:p w14:paraId="5B83D7E0" w14:textId="77777777"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002D2">
              <w:rPr>
                <w:rFonts w:eastAsia="Times New Roman"/>
                <w:sz w:val="16"/>
                <w:szCs w:val="16"/>
                <w:bdr w:val="none" w:sz="0" w:space="0" w:color="auto"/>
                <w:lang w:eastAsia="es-ES"/>
              </w:rPr>
              <w:t>Consejería de Turismo, Industria y Comercio</w:t>
            </w:r>
          </w:p>
        </w:tc>
        <w:tc>
          <w:tcPr>
            <w:tcW w:w="606" w:type="pct"/>
            <w:tcBorders>
              <w:top w:val="nil"/>
              <w:left w:val="nil"/>
              <w:bottom w:val="single" w:sz="4" w:space="0" w:color="auto"/>
              <w:right w:val="nil"/>
            </w:tcBorders>
            <w:shd w:val="clear" w:color="auto" w:fill="auto"/>
            <w:vAlign w:val="center"/>
            <w:hideMark/>
          </w:tcPr>
          <w:p w14:paraId="6BFD8649" w14:textId="77777777"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rFonts w:eastAsia="Times New Roman"/>
                <w:sz w:val="16"/>
                <w:szCs w:val="16"/>
                <w:bdr w:val="none" w:sz="0" w:space="0" w:color="auto"/>
                <w:lang w:eastAsia="es-ES"/>
              </w:rPr>
              <w:t xml:space="preserve"> -</w:t>
            </w:r>
          </w:p>
        </w:tc>
        <w:tc>
          <w:tcPr>
            <w:tcW w:w="772" w:type="pct"/>
            <w:tcBorders>
              <w:top w:val="nil"/>
              <w:left w:val="nil"/>
              <w:bottom w:val="single" w:sz="4" w:space="0" w:color="auto"/>
              <w:right w:val="nil"/>
            </w:tcBorders>
            <w:shd w:val="clear" w:color="auto" w:fill="auto"/>
            <w:vAlign w:val="center"/>
            <w:hideMark/>
          </w:tcPr>
          <w:p w14:paraId="78159D85" w14:textId="77777777"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rFonts w:eastAsia="Times New Roman"/>
                <w:sz w:val="16"/>
                <w:szCs w:val="16"/>
                <w:bdr w:val="none" w:sz="0" w:space="0" w:color="auto"/>
                <w:lang w:eastAsia="es-ES"/>
              </w:rPr>
              <w:t xml:space="preserve"> -</w:t>
            </w:r>
          </w:p>
        </w:tc>
        <w:tc>
          <w:tcPr>
            <w:tcW w:w="938" w:type="pct"/>
            <w:tcBorders>
              <w:top w:val="nil"/>
              <w:left w:val="nil"/>
              <w:bottom w:val="single" w:sz="4" w:space="0" w:color="auto"/>
              <w:right w:val="nil"/>
            </w:tcBorders>
            <w:shd w:val="clear" w:color="auto" w:fill="auto"/>
            <w:vAlign w:val="center"/>
            <w:hideMark/>
          </w:tcPr>
          <w:p w14:paraId="7048F305" w14:textId="28CB1F7B"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sz w:val="16"/>
                <w:szCs w:val="16"/>
              </w:rPr>
              <w:t>15.000,00</w:t>
            </w:r>
          </w:p>
        </w:tc>
        <w:tc>
          <w:tcPr>
            <w:tcW w:w="581" w:type="pct"/>
            <w:tcBorders>
              <w:top w:val="nil"/>
              <w:left w:val="nil"/>
              <w:bottom w:val="single" w:sz="4" w:space="0" w:color="auto"/>
              <w:right w:val="nil"/>
            </w:tcBorders>
            <w:shd w:val="clear" w:color="auto" w:fill="auto"/>
            <w:vAlign w:val="center"/>
            <w:hideMark/>
          </w:tcPr>
          <w:p w14:paraId="39A002D3" w14:textId="072AE57C"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sz w:val="16"/>
                <w:szCs w:val="16"/>
              </w:rPr>
              <w:t>44.999,99</w:t>
            </w:r>
          </w:p>
        </w:tc>
        <w:tc>
          <w:tcPr>
            <w:tcW w:w="588" w:type="pct"/>
            <w:tcBorders>
              <w:top w:val="nil"/>
              <w:left w:val="nil"/>
              <w:bottom w:val="single" w:sz="4" w:space="0" w:color="auto"/>
              <w:right w:val="nil"/>
            </w:tcBorders>
            <w:shd w:val="clear" w:color="auto" w:fill="auto"/>
            <w:vAlign w:val="center"/>
            <w:hideMark/>
          </w:tcPr>
          <w:p w14:paraId="4A9923CE" w14:textId="705A8C2E"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sz w:val="16"/>
                <w:szCs w:val="16"/>
              </w:rPr>
              <w:t>59.999,99</w:t>
            </w:r>
          </w:p>
        </w:tc>
      </w:tr>
      <w:tr w:rsidR="008002D2" w:rsidRPr="00723F3F" w14:paraId="7A589216" w14:textId="77777777" w:rsidTr="00954AA6">
        <w:trPr>
          <w:trHeight w:val="288"/>
          <w:jc w:val="center"/>
        </w:trPr>
        <w:tc>
          <w:tcPr>
            <w:tcW w:w="1515" w:type="pct"/>
            <w:tcBorders>
              <w:top w:val="nil"/>
              <w:left w:val="nil"/>
              <w:bottom w:val="single" w:sz="4" w:space="0" w:color="auto"/>
              <w:right w:val="nil"/>
            </w:tcBorders>
            <w:shd w:val="clear" w:color="auto" w:fill="auto"/>
            <w:vAlign w:val="center"/>
            <w:hideMark/>
          </w:tcPr>
          <w:p w14:paraId="367D253C" w14:textId="77777777"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8002D2">
              <w:rPr>
                <w:rFonts w:eastAsia="Times New Roman"/>
                <w:sz w:val="16"/>
                <w:szCs w:val="16"/>
                <w:bdr w:val="none" w:sz="0" w:space="0" w:color="auto"/>
                <w:lang w:eastAsia="es-ES"/>
              </w:rPr>
              <w:t>Consejería de Turismo, Industria y Comercio</w:t>
            </w:r>
          </w:p>
        </w:tc>
        <w:tc>
          <w:tcPr>
            <w:tcW w:w="606" w:type="pct"/>
            <w:tcBorders>
              <w:top w:val="nil"/>
              <w:left w:val="nil"/>
              <w:bottom w:val="nil"/>
              <w:right w:val="nil"/>
            </w:tcBorders>
            <w:shd w:val="clear" w:color="auto" w:fill="auto"/>
            <w:vAlign w:val="center"/>
            <w:hideMark/>
          </w:tcPr>
          <w:p w14:paraId="7A0A4064" w14:textId="0C13B92D"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rFonts w:eastAsia="Times New Roman"/>
                <w:sz w:val="16"/>
                <w:szCs w:val="16"/>
                <w:bdr w:val="none" w:sz="0" w:space="0" w:color="auto"/>
                <w:lang w:eastAsia="es-ES"/>
              </w:rPr>
              <w:t>-</w:t>
            </w:r>
          </w:p>
        </w:tc>
        <w:tc>
          <w:tcPr>
            <w:tcW w:w="772" w:type="pct"/>
            <w:tcBorders>
              <w:top w:val="nil"/>
              <w:left w:val="nil"/>
              <w:bottom w:val="nil"/>
              <w:right w:val="nil"/>
            </w:tcBorders>
            <w:shd w:val="clear" w:color="auto" w:fill="auto"/>
            <w:vAlign w:val="center"/>
            <w:hideMark/>
          </w:tcPr>
          <w:p w14:paraId="7655351C" w14:textId="32AE46D4"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rFonts w:eastAsia="Times New Roman"/>
                <w:sz w:val="16"/>
                <w:szCs w:val="16"/>
                <w:bdr w:val="none" w:sz="0" w:space="0" w:color="auto"/>
                <w:lang w:eastAsia="es-ES"/>
              </w:rPr>
              <w:t>-</w:t>
            </w:r>
          </w:p>
        </w:tc>
        <w:tc>
          <w:tcPr>
            <w:tcW w:w="938" w:type="pct"/>
            <w:tcBorders>
              <w:top w:val="nil"/>
              <w:left w:val="nil"/>
              <w:bottom w:val="nil"/>
              <w:right w:val="nil"/>
            </w:tcBorders>
            <w:shd w:val="clear" w:color="auto" w:fill="auto"/>
            <w:vAlign w:val="center"/>
            <w:hideMark/>
          </w:tcPr>
          <w:p w14:paraId="3DE36BE2" w14:textId="35C0A58E"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sz w:val="16"/>
                <w:szCs w:val="16"/>
              </w:rPr>
              <w:t>2.453,04</w:t>
            </w:r>
          </w:p>
        </w:tc>
        <w:tc>
          <w:tcPr>
            <w:tcW w:w="581" w:type="pct"/>
            <w:tcBorders>
              <w:top w:val="nil"/>
              <w:left w:val="nil"/>
              <w:bottom w:val="single" w:sz="4" w:space="0" w:color="auto"/>
              <w:right w:val="nil"/>
            </w:tcBorders>
            <w:shd w:val="clear" w:color="auto" w:fill="auto"/>
            <w:vAlign w:val="center"/>
            <w:hideMark/>
          </w:tcPr>
          <w:p w14:paraId="58AE888E" w14:textId="43739E41"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sz w:val="16"/>
                <w:szCs w:val="16"/>
              </w:rPr>
              <w:t>7.359,10</w:t>
            </w:r>
          </w:p>
        </w:tc>
        <w:tc>
          <w:tcPr>
            <w:tcW w:w="588" w:type="pct"/>
            <w:tcBorders>
              <w:top w:val="nil"/>
              <w:left w:val="nil"/>
              <w:bottom w:val="nil"/>
              <w:right w:val="nil"/>
            </w:tcBorders>
            <w:shd w:val="clear" w:color="auto" w:fill="auto"/>
            <w:vAlign w:val="center"/>
            <w:hideMark/>
          </w:tcPr>
          <w:p w14:paraId="3AB9860E" w14:textId="682BD48C"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002D2">
              <w:rPr>
                <w:sz w:val="16"/>
                <w:szCs w:val="16"/>
              </w:rPr>
              <w:t>9.812,14</w:t>
            </w:r>
          </w:p>
        </w:tc>
      </w:tr>
      <w:tr w:rsidR="008002D2" w:rsidRPr="004D0B1C" w14:paraId="1A3EC513" w14:textId="77777777" w:rsidTr="00954AA6">
        <w:trPr>
          <w:trHeight w:val="283"/>
          <w:jc w:val="center"/>
        </w:trPr>
        <w:tc>
          <w:tcPr>
            <w:tcW w:w="1515" w:type="pct"/>
            <w:tcBorders>
              <w:top w:val="nil"/>
              <w:left w:val="nil"/>
              <w:bottom w:val="single" w:sz="4" w:space="0" w:color="auto"/>
              <w:right w:val="nil"/>
            </w:tcBorders>
            <w:shd w:val="clear" w:color="auto" w:fill="auto"/>
            <w:vAlign w:val="center"/>
            <w:hideMark/>
          </w:tcPr>
          <w:p w14:paraId="32E94F61" w14:textId="77777777"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8002D2">
              <w:rPr>
                <w:rFonts w:eastAsia="Times New Roman"/>
                <w:b/>
                <w:bCs/>
                <w:sz w:val="16"/>
                <w:szCs w:val="16"/>
                <w:bdr w:val="none" w:sz="0" w:space="0" w:color="auto"/>
                <w:lang w:eastAsia="es-ES"/>
              </w:rPr>
              <w:t>Total</w:t>
            </w:r>
          </w:p>
        </w:tc>
        <w:tc>
          <w:tcPr>
            <w:tcW w:w="606" w:type="pct"/>
            <w:tcBorders>
              <w:top w:val="single" w:sz="4" w:space="0" w:color="auto"/>
              <w:left w:val="nil"/>
              <w:bottom w:val="single" w:sz="4" w:space="0" w:color="auto"/>
              <w:right w:val="nil"/>
            </w:tcBorders>
            <w:shd w:val="clear" w:color="auto" w:fill="auto"/>
            <w:vAlign w:val="center"/>
          </w:tcPr>
          <w:p w14:paraId="3B96F99B" w14:textId="4107A6B4"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002D2">
              <w:rPr>
                <w:rFonts w:eastAsia="Times New Roman"/>
                <w:b/>
                <w:bCs/>
                <w:sz w:val="16"/>
                <w:szCs w:val="16"/>
                <w:bdr w:val="none" w:sz="0" w:space="0" w:color="auto"/>
                <w:lang w:eastAsia="es-ES"/>
              </w:rPr>
              <w:t>-</w:t>
            </w:r>
          </w:p>
        </w:tc>
        <w:tc>
          <w:tcPr>
            <w:tcW w:w="772" w:type="pct"/>
            <w:tcBorders>
              <w:top w:val="single" w:sz="4" w:space="0" w:color="auto"/>
              <w:left w:val="nil"/>
              <w:bottom w:val="single" w:sz="4" w:space="0" w:color="auto"/>
              <w:right w:val="nil"/>
            </w:tcBorders>
            <w:shd w:val="clear" w:color="auto" w:fill="auto"/>
            <w:vAlign w:val="center"/>
          </w:tcPr>
          <w:p w14:paraId="29F28015" w14:textId="5D930F3F"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002D2">
              <w:rPr>
                <w:rFonts w:eastAsia="Times New Roman"/>
                <w:b/>
                <w:bCs/>
                <w:sz w:val="16"/>
                <w:szCs w:val="16"/>
                <w:bdr w:val="none" w:sz="0" w:space="0" w:color="auto"/>
                <w:lang w:eastAsia="es-ES"/>
              </w:rPr>
              <w:t>-</w:t>
            </w:r>
          </w:p>
        </w:tc>
        <w:tc>
          <w:tcPr>
            <w:tcW w:w="938" w:type="pct"/>
            <w:tcBorders>
              <w:top w:val="single" w:sz="4" w:space="0" w:color="auto"/>
              <w:left w:val="nil"/>
              <w:bottom w:val="single" w:sz="4" w:space="0" w:color="auto"/>
              <w:right w:val="nil"/>
            </w:tcBorders>
            <w:shd w:val="clear" w:color="auto" w:fill="auto"/>
            <w:vAlign w:val="center"/>
            <w:hideMark/>
          </w:tcPr>
          <w:p w14:paraId="57287820" w14:textId="0EF7A2BB"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002D2">
              <w:rPr>
                <w:b/>
                <w:bCs/>
                <w:sz w:val="16"/>
                <w:szCs w:val="16"/>
              </w:rPr>
              <w:t>18.101,37</w:t>
            </w:r>
          </w:p>
        </w:tc>
        <w:tc>
          <w:tcPr>
            <w:tcW w:w="581" w:type="pct"/>
            <w:tcBorders>
              <w:top w:val="nil"/>
              <w:left w:val="nil"/>
              <w:bottom w:val="single" w:sz="4" w:space="0" w:color="auto"/>
              <w:right w:val="nil"/>
            </w:tcBorders>
            <w:shd w:val="clear" w:color="auto" w:fill="auto"/>
            <w:vAlign w:val="center"/>
            <w:hideMark/>
          </w:tcPr>
          <w:p w14:paraId="46953CF0" w14:textId="7F1EC8D6"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002D2">
              <w:rPr>
                <w:b/>
                <w:bCs/>
                <w:sz w:val="16"/>
                <w:szCs w:val="16"/>
              </w:rPr>
              <w:t>54.448,07</w:t>
            </w:r>
          </w:p>
        </w:tc>
        <w:tc>
          <w:tcPr>
            <w:tcW w:w="588" w:type="pct"/>
            <w:tcBorders>
              <w:top w:val="single" w:sz="4" w:space="0" w:color="auto"/>
              <w:left w:val="nil"/>
              <w:bottom w:val="single" w:sz="4" w:space="0" w:color="auto"/>
              <w:right w:val="nil"/>
            </w:tcBorders>
            <w:shd w:val="clear" w:color="auto" w:fill="auto"/>
            <w:vAlign w:val="center"/>
            <w:hideMark/>
          </w:tcPr>
          <w:p w14:paraId="664FB0CE" w14:textId="4E3BB82C" w:rsidR="008002D2" w:rsidRPr="008002D2" w:rsidRDefault="008002D2" w:rsidP="008002D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8002D2">
              <w:rPr>
                <w:b/>
                <w:bCs/>
                <w:sz w:val="16"/>
                <w:szCs w:val="16"/>
              </w:rPr>
              <w:t>72.549,44</w:t>
            </w:r>
          </w:p>
        </w:tc>
      </w:tr>
    </w:tbl>
    <w:p w14:paraId="2A62AF61" w14:textId="4AAC734E" w:rsidR="006220A2" w:rsidRPr="0083433F" w:rsidRDefault="006220A2" w:rsidP="00176BA0">
      <w:pPr>
        <w:widowControl w:val="0"/>
        <w:spacing w:before="120" w:after="120" w:line="260" w:lineRule="exact"/>
        <w:ind w:left="284"/>
        <w:jc w:val="both"/>
        <w:outlineLvl w:val="9"/>
        <w:rPr>
          <w:snapToGrid w:val="0"/>
          <w:sz w:val="20"/>
          <w:szCs w:val="22"/>
        </w:rPr>
      </w:pPr>
      <w:r w:rsidRPr="0083433F">
        <w:rPr>
          <w:snapToGrid w:val="0"/>
          <w:sz w:val="20"/>
          <w:szCs w:val="22"/>
        </w:rPr>
        <w:t>El movimiento de estas subvenciones ha sido el siguiente:</w:t>
      </w:r>
    </w:p>
    <w:tbl>
      <w:tblPr>
        <w:tblW w:w="5000" w:type="pct"/>
        <w:jc w:val="center"/>
        <w:tblCellMar>
          <w:left w:w="70" w:type="dxa"/>
          <w:right w:w="70" w:type="dxa"/>
        </w:tblCellMar>
        <w:tblLook w:val="04A0" w:firstRow="1" w:lastRow="0" w:firstColumn="1" w:lastColumn="0" w:noHBand="0" w:noVBand="1"/>
      </w:tblPr>
      <w:tblGrid>
        <w:gridCol w:w="5077"/>
        <w:gridCol w:w="1853"/>
        <w:gridCol w:w="1851"/>
      </w:tblGrid>
      <w:tr w:rsidR="006220A2" w:rsidRPr="00176BA0" w14:paraId="09454B40" w14:textId="77777777" w:rsidTr="00176BA0">
        <w:trPr>
          <w:trHeight w:val="283"/>
          <w:jc w:val="center"/>
        </w:trPr>
        <w:tc>
          <w:tcPr>
            <w:tcW w:w="2891" w:type="pct"/>
            <w:tcBorders>
              <w:top w:val="single" w:sz="4" w:space="0" w:color="auto"/>
              <w:left w:val="nil"/>
              <w:bottom w:val="nil"/>
              <w:right w:val="nil"/>
            </w:tcBorders>
            <w:shd w:val="clear" w:color="auto" w:fill="auto"/>
            <w:vAlign w:val="bottom"/>
            <w:hideMark/>
          </w:tcPr>
          <w:p w14:paraId="26EEF182" w14:textId="77777777" w:rsidR="006220A2" w:rsidRPr="00176BA0" w:rsidRDefault="006220A2" w:rsidP="00176BA0">
            <w:pPr>
              <w:keepNext/>
              <w:keepLines/>
              <w:ind w:left="215"/>
              <w:jc w:val="center"/>
              <w:rPr>
                <w:rFonts w:eastAsia="Times New Roman" w:cs="Times"/>
                <w:sz w:val="18"/>
                <w:szCs w:val="18"/>
              </w:rPr>
            </w:pPr>
          </w:p>
        </w:tc>
        <w:tc>
          <w:tcPr>
            <w:tcW w:w="2109" w:type="pct"/>
            <w:gridSpan w:val="2"/>
            <w:tcBorders>
              <w:top w:val="single" w:sz="4" w:space="0" w:color="auto"/>
              <w:left w:val="nil"/>
              <w:bottom w:val="single" w:sz="4" w:space="0" w:color="auto"/>
              <w:right w:val="nil"/>
            </w:tcBorders>
            <w:shd w:val="clear" w:color="auto" w:fill="auto"/>
            <w:vAlign w:val="bottom"/>
            <w:hideMark/>
          </w:tcPr>
          <w:p w14:paraId="37B3D6D4" w14:textId="77777777" w:rsidR="006220A2" w:rsidRPr="00176BA0" w:rsidRDefault="006220A2" w:rsidP="00852114">
            <w:pPr>
              <w:keepNext/>
              <w:keepLines/>
              <w:jc w:val="center"/>
              <w:rPr>
                <w:rFonts w:eastAsia="Times New Roman"/>
                <w:b/>
                <w:bCs/>
                <w:sz w:val="18"/>
                <w:szCs w:val="18"/>
              </w:rPr>
            </w:pPr>
            <w:r w:rsidRPr="00176BA0">
              <w:rPr>
                <w:rFonts w:eastAsia="Times New Roman"/>
                <w:b/>
                <w:bCs/>
                <w:sz w:val="18"/>
                <w:szCs w:val="18"/>
              </w:rPr>
              <w:t>Euros</w:t>
            </w:r>
          </w:p>
        </w:tc>
      </w:tr>
      <w:tr w:rsidR="00640101" w:rsidRPr="00176BA0" w14:paraId="158B86C8" w14:textId="77777777" w:rsidTr="00176BA0">
        <w:trPr>
          <w:trHeight w:val="283"/>
          <w:jc w:val="center"/>
        </w:trPr>
        <w:tc>
          <w:tcPr>
            <w:tcW w:w="2891" w:type="pct"/>
            <w:tcBorders>
              <w:top w:val="nil"/>
              <w:left w:val="nil"/>
              <w:bottom w:val="single" w:sz="4" w:space="0" w:color="auto"/>
              <w:right w:val="nil"/>
            </w:tcBorders>
            <w:shd w:val="clear" w:color="auto" w:fill="auto"/>
            <w:vAlign w:val="bottom"/>
            <w:hideMark/>
          </w:tcPr>
          <w:p w14:paraId="42648D9F" w14:textId="77777777" w:rsidR="00640101" w:rsidRPr="00176BA0" w:rsidRDefault="00640101" w:rsidP="00176BA0">
            <w:pPr>
              <w:keepNext/>
              <w:keepLines/>
              <w:ind w:left="215"/>
              <w:jc w:val="center"/>
              <w:rPr>
                <w:rFonts w:eastAsia="Times New Roman" w:cs="Times"/>
                <w:sz w:val="18"/>
                <w:szCs w:val="18"/>
              </w:rPr>
            </w:pPr>
          </w:p>
        </w:tc>
        <w:tc>
          <w:tcPr>
            <w:tcW w:w="1055" w:type="pct"/>
            <w:tcBorders>
              <w:top w:val="nil"/>
              <w:left w:val="nil"/>
              <w:bottom w:val="single" w:sz="4" w:space="0" w:color="auto"/>
              <w:right w:val="nil"/>
            </w:tcBorders>
            <w:shd w:val="clear" w:color="auto" w:fill="auto"/>
            <w:vAlign w:val="bottom"/>
            <w:hideMark/>
          </w:tcPr>
          <w:p w14:paraId="2699EF85" w14:textId="014CD222" w:rsidR="00640101" w:rsidRPr="00176BA0" w:rsidRDefault="00113C04" w:rsidP="00640101">
            <w:pPr>
              <w:keepNext/>
              <w:keepLines/>
              <w:jc w:val="center"/>
              <w:rPr>
                <w:rFonts w:eastAsia="Times New Roman"/>
                <w:b/>
                <w:bCs/>
                <w:sz w:val="18"/>
                <w:szCs w:val="18"/>
              </w:rPr>
            </w:pPr>
            <w:r w:rsidRPr="00176BA0">
              <w:rPr>
                <w:rFonts w:eastAsia="Times New Roman"/>
                <w:b/>
                <w:bCs/>
                <w:sz w:val="18"/>
                <w:szCs w:val="18"/>
              </w:rPr>
              <w:t>31/12/202</w:t>
            </w:r>
            <w:r w:rsidR="00F13C6F" w:rsidRPr="00176BA0">
              <w:rPr>
                <w:rFonts w:eastAsia="Times New Roman"/>
                <w:b/>
                <w:bCs/>
                <w:sz w:val="18"/>
                <w:szCs w:val="18"/>
              </w:rPr>
              <w:t>1</w:t>
            </w:r>
          </w:p>
        </w:tc>
        <w:tc>
          <w:tcPr>
            <w:tcW w:w="1054" w:type="pct"/>
            <w:tcBorders>
              <w:top w:val="nil"/>
              <w:left w:val="nil"/>
              <w:bottom w:val="single" w:sz="4" w:space="0" w:color="auto"/>
              <w:right w:val="nil"/>
            </w:tcBorders>
            <w:shd w:val="clear" w:color="auto" w:fill="auto"/>
            <w:vAlign w:val="bottom"/>
            <w:hideMark/>
          </w:tcPr>
          <w:p w14:paraId="7A868439" w14:textId="519169AF" w:rsidR="00640101" w:rsidRPr="00176BA0" w:rsidRDefault="00640101" w:rsidP="00640101">
            <w:pPr>
              <w:keepNext/>
              <w:keepLines/>
              <w:jc w:val="center"/>
              <w:rPr>
                <w:rFonts w:eastAsia="Times New Roman"/>
                <w:b/>
                <w:bCs/>
                <w:sz w:val="18"/>
                <w:szCs w:val="18"/>
              </w:rPr>
            </w:pPr>
            <w:r w:rsidRPr="00176BA0">
              <w:rPr>
                <w:rFonts w:eastAsia="Times New Roman"/>
                <w:b/>
                <w:bCs/>
                <w:sz w:val="18"/>
                <w:szCs w:val="18"/>
              </w:rPr>
              <w:t>31/12/20</w:t>
            </w:r>
            <w:r w:rsidR="00F13C6F" w:rsidRPr="00176BA0">
              <w:rPr>
                <w:rFonts w:eastAsia="Times New Roman"/>
                <w:b/>
                <w:bCs/>
                <w:sz w:val="18"/>
                <w:szCs w:val="18"/>
              </w:rPr>
              <w:t>20</w:t>
            </w:r>
          </w:p>
        </w:tc>
      </w:tr>
      <w:tr w:rsidR="00C20837" w:rsidRPr="00176BA0" w14:paraId="38DEFFAA" w14:textId="77777777" w:rsidTr="00176BA0">
        <w:trPr>
          <w:trHeight w:val="283"/>
          <w:jc w:val="center"/>
        </w:trPr>
        <w:tc>
          <w:tcPr>
            <w:tcW w:w="2891" w:type="pct"/>
            <w:tcBorders>
              <w:top w:val="nil"/>
              <w:left w:val="nil"/>
              <w:bottom w:val="nil"/>
              <w:right w:val="nil"/>
            </w:tcBorders>
            <w:shd w:val="clear" w:color="auto" w:fill="auto"/>
            <w:vAlign w:val="center"/>
            <w:hideMark/>
          </w:tcPr>
          <w:p w14:paraId="24BE54BD" w14:textId="77777777" w:rsidR="00C20837" w:rsidRPr="00176BA0" w:rsidRDefault="00C20837" w:rsidP="00176BA0">
            <w:pPr>
              <w:keepNext/>
              <w:keepLines/>
              <w:ind w:left="215"/>
              <w:rPr>
                <w:rFonts w:eastAsia="Times New Roman"/>
                <w:b/>
                <w:bCs/>
                <w:sz w:val="18"/>
                <w:szCs w:val="18"/>
              </w:rPr>
            </w:pPr>
            <w:r w:rsidRPr="00176BA0">
              <w:rPr>
                <w:rFonts w:eastAsia="Times New Roman"/>
                <w:b/>
                <w:bCs/>
                <w:sz w:val="18"/>
                <w:szCs w:val="18"/>
              </w:rPr>
              <w:t>Saldo inicial</w:t>
            </w:r>
          </w:p>
        </w:tc>
        <w:tc>
          <w:tcPr>
            <w:tcW w:w="1055" w:type="pct"/>
            <w:tcBorders>
              <w:top w:val="nil"/>
              <w:left w:val="nil"/>
              <w:bottom w:val="nil"/>
              <w:right w:val="nil"/>
            </w:tcBorders>
            <w:shd w:val="clear" w:color="auto" w:fill="auto"/>
            <w:vAlign w:val="center"/>
          </w:tcPr>
          <w:p w14:paraId="34C5A556" w14:textId="0D68D1C3" w:rsidR="00C20837" w:rsidRPr="00176BA0" w:rsidRDefault="00C20837" w:rsidP="00C208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226.849,18</w:t>
            </w:r>
          </w:p>
        </w:tc>
        <w:tc>
          <w:tcPr>
            <w:tcW w:w="1054" w:type="pct"/>
            <w:tcBorders>
              <w:top w:val="nil"/>
              <w:left w:val="nil"/>
              <w:bottom w:val="nil"/>
              <w:right w:val="nil"/>
            </w:tcBorders>
            <w:shd w:val="clear" w:color="auto" w:fill="auto"/>
            <w:vAlign w:val="center"/>
            <w:hideMark/>
          </w:tcPr>
          <w:p w14:paraId="1D64A372" w14:textId="0F9C4308" w:rsidR="00C20837" w:rsidRPr="00176BA0" w:rsidRDefault="00C20837" w:rsidP="00C208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246.368,52</w:t>
            </w:r>
          </w:p>
        </w:tc>
      </w:tr>
      <w:tr w:rsidR="00C20837" w:rsidRPr="00176BA0" w14:paraId="01F56DBC" w14:textId="77777777" w:rsidTr="00176BA0">
        <w:trPr>
          <w:trHeight w:val="283"/>
          <w:jc w:val="center"/>
        </w:trPr>
        <w:tc>
          <w:tcPr>
            <w:tcW w:w="2891" w:type="pct"/>
            <w:tcBorders>
              <w:top w:val="nil"/>
              <w:left w:val="nil"/>
              <w:bottom w:val="nil"/>
              <w:right w:val="nil"/>
            </w:tcBorders>
            <w:shd w:val="clear" w:color="auto" w:fill="auto"/>
            <w:vAlign w:val="center"/>
          </w:tcPr>
          <w:p w14:paraId="5E02FFE3" w14:textId="0792DB3D" w:rsidR="00C20837" w:rsidRPr="00176BA0" w:rsidRDefault="00C20837" w:rsidP="00176BA0">
            <w:pPr>
              <w:pBdr>
                <w:top w:val="none" w:sz="0" w:space="0" w:color="auto"/>
                <w:left w:val="none" w:sz="0" w:space="0" w:color="auto"/>
                <w:bottom w:val="none" w:sz="0" w:space="0" w:color="auto"/>
                <w:right w:val="none" w:sz="0" w:space="0" w:color="auto"/>
                <w:between w:val="none" w:sz="0" w:space="0" w:color="auto"/>
                <w:bar w:val="none" w:sz="0" w:color="auto"/>
              </w:pBdr>
              <w:ind w:left="215"/>
              <w:outlineLvl w:val="9"/>
              <w:rPr>
                <w:rFonts w:eastAsia="Times New Roman"/>
                <w:sz w:val="18"/>
                <w:szCs w:val="18"/>
                <w:bdr w:val="none" w:sz="0" w:space="0" w:color="auto"/>
                <w:lang w:eastAsia="es-ES"/>
              </w:rPr>
            </w:pPr>
            <w:r w:rsidRPr="00176BA0">
              <w:rPr>
                <w:sz w:val="18"/>
                <w:szCs w:val="18"/>
              </w:rPr>
              <w:t>Altas del ejercicio</w:t>
            </w:r>
          </w:p>
        </w:tc>
        <w:tc>
          <w:tcPr>
            <w:tcW w:w="1055" w:type="pct"/>
            <w:tcBorders>
              <w:top w:val="nil"/>
              <w:left w:val="nil"/>
              <w:bottom w:val="nil"/>
              <w:right w:val="nil"/>
            </w:tcBorders>
            <w:shd w:val="clear" w:color="auto" w:fill="auto"/>
            <w:vAlign w:val="center"/>
          </w:tcPr>
          <w:p w14:paraId="341F8D38" w14:textId="0943CE01" w:rsidR="00C20837" w:rsidRPr="00176BA0" w:rsidRDefault="00C20837" w:rsidP="00C20837">
            <w:pPr>
              <w:jc w:val="right"/>
              <w:rPr>
                <w:sz w:val="18"/>
                <w:szCs w:val="18"/>
              </w:rPr>
            </w:pPr>
            <w:r w:rsidRPr="00176BA0">
              <w:rPr>
                <w:sz w:val="18"/>
                <w:szCs w:val="18"/>
              </w:rPr>
              <w:t xml:space="preserve"> -</w:t>
            </w:r>
          </w:p>
        </w:tc>
        <w:tc>
          <w:tcPr>
            <w:tcW w:w="1054" w:type="pct"/>
            <w:tcBorders>
              <w:top w:val="nil"/>
              <w:left w:val="nil"/>
              <w:bottom w:val="nil"/>
              <w:right w:val="nil"/>
            </w:tcBorders>
            <w:shd w:val="clear" w:color="auto" w:fill="auto"/>
            <w:vAlign w:val="center"/>
          </w:tcPr>
          <w:p w14:paraId="39796A72" w14:textId="1E8A26B6" w:rsidR="00C20837" w:rsidRPr="00176BA0" w:rsidRDefault="00C20837" w:rsidP="00C20837">
            <w:pPr>
              <w:jc w:val="right"/>
              <w:rPr>
                <w:sz w:val="18"/>
                <w:szCs w:val="18"/>
              </w:rPr>
            </w:pPr>
            <w:r w:rsidRPr="00176BA0">
              <w:rPr>
                <w:sz w:val="18"/>
                <w:szCs w:val="18"/>
              </w:rPr>
              <w:t>90.600,00</w:t>
            </w:r>
          </w:p>
        </w:tc>
      </w:tr>
      <w:tr w:rsidR="00C20837" w:rsidRPr="00176BA0" w14:paraId="6957797F" w14:textId="77777777" w:rsidTr="00176BA0">
        <w:trPr>
          <w:trHeight w:val="283"/>
          <w:jc w:val="center"/>
        </w:trPr>
        <w:tc>
          <w:tcPr>
            <w:tcW w:w="2891" w:type="pct"/>
            <w:tcBorders>
              <w:top w:val="nil"/>
              <w:left w:val="nil"/>
              <w:bottom w:val="nil"/>
              <w:right w:val="nil"/>
            </w:tcBorders>
            <w:shd w:val="clear" w:color="auto" w:fill="auto"/>
            <w:vAlign w:val="center"/>
          </w:tcPr>
          <w:p w14:paraId="0CCA0FA0" w14:textId="27F15DB9" w:rsidR="00C20837" w:rsidRPr="00176BA0" w:rsidRDefault="00C20837" w:rsidP="00176BA0">
            <w:pPr>
              <w:pBdr>
                <w:top w:val="none" w:sz="0" w:space="0" w:color="auto"/>
                <w:left w:val="none" w:sz="0" w:space="0" w:color="auto"/>
                <w:bottom w:val="none" w:sz="0" w:space="0" w:color="auto"/>
                <w:right w:val="none" w:sz="0" w:space="0" w:color="auto"/>
                <w:between w:val="none" w:sz="0" w:space="0" w:color="auto"/>
                <w:bar w:val="none" w:sz="0" w:color="auto"/>
              </w:pBdr>
              <w:ind w:left="215"/>
              <w:outlineLvl w:val="9"/>
              <w:rPr>
                <w:sz w:val="18"/>
                <w:szCs w:val="18"/>
              </w:rPr>
            </w:pPr>
            <w:r w:rsidRPr="00176BA0">
              <w:rPr>
                <w:sz w:val="18"/>
                <w:szCs w:val="18"/>
              </w:rPr>
              <w:t>Efecto impositivo de las altas</w:t>
            </w:r>
          </w:p>
        </w:tc>
        <w:tc>
          <w:tcPr>
            <w:tcW w:w="1055" w:type="pct"/>
            <w:tcBorders>
              <w:top w:val="nil"/>
              <w:left w:val="nil"/>
              <w:bottom w:val="nil"/>
              <w:right w:val="nil"/>
            </w:tcBorders>
            <w:shd w:val="clear" w:color="auto" w:fill="auto"/>
            <w:vAlign w:val="center"/>
          </w:tcPr>
          <w:p w14:paraId="3EC62BC4" w14:textId="0942BDA1" w:rsidR="00C20837" w:rsidRPr="00176BA0" w:rsidRDefault="00C20837" w:rsidP="00C20837">
            <w:pPr>
              <w:jc w:val="right"/>
              <w:rPr>
                <w:sz w:val="18"/>
                <w:szCs w:val="18"/>
              </w:rPr>
            </w:pPr>
            <w:r w:rsidRPr="00176BA0">
              <w:rPr>
                <w:sz w:val="18"/>
                <w:szCs w:val="18"/>
              </w:rPr>
              <w:t xml:space="preserve"> -</w:t>
            </w:r>
          </w:p>
        </w:tc>
        <w:tc>
          <w:tcPr>
            <w:tcW w:w="1054" w:type="pct"/>
            <w:tcBorders>
              <w:top w:val="nil"/>
              <w:left w:val="nil"/>
              <w:bottom w:val="nil"/>
              <w:right w:val="nil"/>
            </w:tcBorders>
            <w:shd w:val="clear" w:color="auto" w:fill="auto"/>
            <w:vAlign w:val="center"/>
          </w:tcPr>
          <w:p w14:paraId="5389D259" w14:textId="3CBA0625" w:rsidR="00C20837" w:rsidRPr="00176BA0" w:rsidRDefault="00C20837" w:rsidP="00C20837">
            <w:pPr>
              <w:jc w:val="right"/>
              <w:rPr>
                <w:sz w:val="18"/>
                <w:szCs w:val="18"/>
              </w:rPr>
            </w:pPr>
            <w:r w:rsidRPr="00176BA0">
              <w:rPr>
                <w:sz w:val="18"/>
                <w:szCs w:val="18"/>
              </w:rPr>
              <w:t>(22.650,00)</w:t>
            </w:r>
          </w:p>
        </w:tc>
      </w:tr>
      <w:tr w:rsidR="00C20837" w:rsidRPr="00176BA0" w14:paraId="26D1D9B8" w14:textId="77777777" w:rsidTr="00176BA0">
        <w:trPr>
          <w:trHeight w:val="283"/>
          <w:jc w:val="center"/>
        </w:trPr>
        <w:tc>
          <w:tcPr>
            <w:tcW w:w="2891" w:type="pct"/>
            <w:tcBorders>
              <w:top w:val="nil"/>
              <w:left w:val="nil"/>
              <w:bottom w:val="nil"/>
              <w:right w:val="nil"/>
            </w:tcBorders>
            <w:shd w:val="clear" w:color="auto" w:fill="auto"/>
            <w:vAlign w:val="center"/>
          </w:tcPr>
          <w:p w14:paraId="3F7F825D" w14:textId="6B0640DD" w:rsidR="00C20837" w:rsidRPr="00176BA0" w:rsidRDefault="00C20837" w:rsidP="00176BA0">
            <w:pPr>
              <w:ind w:left="215"/>
              <w:rPr>
                <w:sz w:val="18"/>
                <w:szCs w:val="18"/>
              </w:rPr>
            </w:pPr>
            <w:r w:rsidRPr="00176BA0">
              <w:rPr>
                <w:sz w:val="18"/>
                <w:szCs w:val="18"/>
              </w:rPr>
              <w:t>Bajas del ejercicio</w:t>
            </w:r>
          </w:p>
        </w:tc>
        <w:tc>
          <w:tcPr>
            <w:tcW w:w="1055" w:type="pct"/>
            <w:tcBorders>
              <w:top w:val="nil"/>
              <w:left w:val="nil"/>
              <w:bottom w:val="nil"/>
              <w:right w:val="nil"/>
            </w:tcBorders>
            <w:shd w:val="clear" w:color="auto" w:fill="auto"/>
            <w:vAlign w:val="center"/>
          </w:tcPr>
          <w:p w14:paraId="19B9050E" w14:textId="607184FB" w:rsidR="00C20837" w:rsidRPr="00176BA0" w:rsidRDefault="00C20837" w:rsidP="00C20837">
            <w:pPr>
              <w:jc w:val="right"/>
              <w:rPr>
                <w:sz w:val="18"/>
                <w:szCs w:val="18"/>
              </w:rPr>
            </w:pPr>
            <w:r w:rsidRPr="00176BA0">
              <w:rPr>
                <w:sz w:val="18"/>
                <w:szCs w:val="18"/>
              </w:rPr>
              <w:t xml:space="preserve"> -</w:t>
            </w:r>
          </w:p>
        </w:tc>
        <w:tc>
          <w:tcPr>
            <w:tcW w:w="1054" w:type="pct"/>
            <w:tcBorders>
              <w:top w:val="nil"/>
              <w:left w:val="nil"/>
              <w:bottom w:val="nil"/>
              <w:right w:val="nil"/>
            </w:tcBorders>
            <w:shd w:val="clear" w:color="auto" w:fill="auto"/>
            <w:vAlign w:val="center"/>
          </w:tcPr>
          <w:p w14:paraId="6A039757" w14:textId="2BDEF035" w:rsidR="00C20837" w:rsidRPr="00176BA0" w:rsidRDefault="00C20837" w:rsidP="00C20837">
            <w:pPr>
              <w:jc w:val="right"/>
              <w:rPr>
                <w:sz w:val="18"/>
                <w:szCs w:val="18"/>
              </w:rPr>
            </w:pPr>
            <w:r w:rsidRPr="00176BA0">
              <w:rPr>
                <w:sz w:val="18"/>
                <w:szCs w:val="18"/>
              </w:rPr>
              <w:t xml:space="preserve"> -</w:t>
            </w:r>
          </w:p>
        </w:tc>
      </w:tr>
      <w:tr w:rsidR="00C20837" w:rsidRPr="00176BA0" w14:paraId="5922E215" w14:textId="77777777" w:rsidTr="00176BA0">
        <w:trPr>
          <w:trHeight w:val="283"/>
          <w:jc w:val="center"/>
        </w:trPr>
        <w:tc>
          <w:tcPr>
            <w:tcW w:w="2891" w:type="pct"/>
            <w:tcBorders>
              <w:top w:val="nil"/>
              <w:left w:val="nil"/>
              <w:bottom w:val="nil"/>
              <w:right w:val="nil"/>
            </w:tcBorders>
            <w:shd w:val="clear" w:color="auto" w:fill="auto"/>
            <w:vAlign w:val="center"/>
            <w:hideMark/>
          </w:tcPr>
          <w:p w14:paraId="5B9A3E03" w14:textId="35D651AE" w:rsidR="00C20837" w:rsidRPr="00176BA0" w:rsidRDefault="00C20837" w:rsidP="00176BA0">
            <w:pPr>
              <w:keepNext/>
              <w:keepLines/>
              <w:ind w:left="215"/>
              <w:rPr>
                <w:rFonts w:eastAsia="Times New Roman"/>
                <w:sz w:val="18"/>
                <w:szCs w:val="18"/>
              </w:rPr>
            </w:pPr>
            <w:r w:rsidRPr="00176BA0">
              <w:rPr>
                <w:sz w:val="18"/>
                <w:szCs w:val="18"/>
              </w:rPr>
              <w:t>Imputación al resultado</w:t>
            </w:r>
          </w:p>
        </w:tc>
        <w:tc>
          <w:tcPr>
            <w:tcW w:w="1055" w:type="pct"/>
            <w:tcBorders>
              <w:top w:val="nil"/>
              <w:left w:val="nil"/>
              <w:bottom w:val="nil"/>
              <w:right w:val="nil"/>
            </w:tcBorders>
            <w:shd w:val="clear" w:color="auto" w:fill="auto"/>
            <w:vAlign w:val="center"/>
          </w:tcPr>
          <w:p w14:paraId="4749CE95" w14:textId="7E077390" w:rsidR="00C20837" w:rsidRPr="00176BA0" w:rsidRDefault="00C20837" w:rsidP="00C20837">
            <w:pPr>
              <w:jc w:val="right"/>
              <w:rPr>
                <w:sz w:val="18"/>
                <w:szCs w:val="18"/>
              </w:rPr>
            </w:pPr>
            <w:r w:rsidRPr="00176BA0">
              <w:rPr>
                <w:sz w:val="18"/>
                <w:szCs w:val="18"/>
              </w:rPr>
              <w:t>(72.549,44)</w:t>
            </w:r>
          </w:p>
        </w:tc>
        <w:tc>
          <w:tcPr>
            <w:tcW w:w="1054" w:type="pct"/>
            <w:tcBorders>
              <w:top w:val="nil"/>
              <w:left w:val="nil"/>
              <w:bottom w:val="nil"/>
              <w:right w:val="nil"/>
            </w:tcBorders>
            <w:shd w:val="clear" w:color="auto" w:fill="auto"/>
            <w:vAlign w:val="center"/>
            <w:hideMark/>
          </w:tcPr>
          <w:p w14:paraId="75870DA1" w14:textId="1E377935" w:rsidR="00C20837" w:rsidRPr="00176BA0" w:rsidRDefault="00C20837" w:rsidP="00C20837">
            <w:pPr>
              <w:jc w:val="right"/>
              <w:rPr>
                <w:sz w:val="18"/>
                <w:szCs w:val="18"/>
              </w:rPr>
            </w:pPr>
            <w:r w:rsidRPr="00176BA0">
              <w:rPr>
                <w:sz w:val="18"/>
                <w:szCs w:val="18"/>
              </w:rPr>
              <w:t>(116.577,80)</w:t>
            </w:r>
          </w:p>
        </w:tc>
      </w:tr>
      <w:tr w:rsidR="00C20837" w:rsidRPr="00176BA0" w14:paraId="7BA8C8BB" w14:textId="77777777" w:rsidTr="00176BA0">
        <w:trPr>
          <w:trHeight w:val="283"/>
          <w:jc w:val="center"/>
        </w:trPr>
        <w:tc>
          <w:tcPr>
            <w:tcW w:w="2891" w:type="pct"/>
            <w:tcBorders>
              <w:top w:val="nil"/>
              <w:left w:val="nil"/>
              <w:bottom w:val="single" w:sz="4" w:space="0" w:color="auto"/>
              <w:right w:val="nil"/>
            </w:tcBorders>
            <w:shd w:val="clear" w:color="auto" w:fill="auto"/>
            <w:vAlign w:val="center"/>
            <w:hideMark/>
          </w:tcPr>
          <w:p w14:paraId="2A481E91" w14:textId="2AB33615" w:rsidR="00C20837" w:rsidRPr="00176BA0" w:rsidRDefault="00C20837" w:rsidP="00176BA0">
            <w:pPr>
              <w:ind w:left="215"/>
              <w:rPr>
                <w:rFonts w:eastAsia="Times New Roman"/>
                <w:sz w:val="18"/>
                <w:szCs w:val="18"/>
              </w:rPr>
            </w:pPr>
            <w:r w:rsidRPr="00176BA0">
              <w:rPr>
                <w:sz w:val="18"/>
                <w:szCs w:val="18"/>
              </w:rPr>
              <w:t xml:space="preserve">Efecto impositivo por imputación a </w:t>
            </w:r>
            <w:proofErr w:type="spellStart"/>
            <w:r w:rsidRPr="00176BA0">
              <w:rPr>
                <w:sz w:val="18"/>
                <w:szCs w:val="18"/>
              </w:rPr>
              <w:t>rdtos</w:t>
            </w:r>
            <w:proofErr w:type="spellEnd"/>
            <w:r w:rsidRPr="00176BA0">
              <w:rPr>
                <w:sz w:val="18"/>
                <w:szCs w:val="18"/>
              </w:rPr>
              <w:t>.</w:t>
            </w:r>
          </w:p>
        </w:tc>
        <w:tc>
          <w:tcPr>
            <w:tcW w:w="1055" w:type="pct"/>
            <w:tcBorders>
              <w:top w:val="nil"/>
              <w:left w:val="nil"/>
              <w:bottom w:val="single" w:sz="4" w:space="0" w:color="auto"/>
              <w:right w:val="nil"/>
            </w:tcBorders>
            <w:shd w:val="clear" w:color="auto" w:fill="auto"/>
            <w:vAlign w:val="center"/>
          </w:tcPr>
          <w:p w14:paraId="2BC95979" w14:textId="7EE9481B" w:rsidR="00C20837" w:rsidRPr="00176BA0" w:rsidRDefault="00C20837" w:rsidP="00C20837">
            <w:pPr>
              <w:jc w:val="right"/>
              <w:rPr>
                <w:sz w:val="18"/>
                <w:szCs w:val="18"/>
              </w:rPr>
            </w:pPr>
            <w:r w:rsidRPr="00176BA0">
              <w:rPr>
                <w:sz w:val="18"/>
                <w:szCs w:val="18"/>
              </w:rPr>
              <w:t>18.101,37</w:t>
            </w:r>
          </w:p>
        </w:tc>
        <w:tc>
          <w:tcPr>
            <w:tcW w:w="1054" w:type="pct"/>
            <w:tcBorders>
              <w:top w:val="nil"/>
              <w:left w:val="nil"/>
              <w:bottom w:val="single" w:sz="4" w:space="0" w:color="auto"/>
              <w:right w:val="nil"/>
            </w:tcBorders>
            <w:shd w:val="clear" w:color="auto" w:fill="auto"/>
            <w:vAlign w:val="center"/>
            <w:hideMark/>
          </w:tcPr>
          <w:p w14:paraId="667A44A8" w14:textId="7944D12F" w:rsidR="00C20837" w:rsidRPr="00176BA0" w:rsidRDefault="00C20837" w:rsidP="00C20837">
            <w:pPr>
              <w:jc w:val="right"/>
              <w:rPr>
                <w:sz w:val="18"/>
                <w:szCs w:val="18"/>
              </w:rPr>
            </w:pPr>
            <w:r w:rsidRPr="00176BA0">
              <w:rPr>
                <w:sz w:val="18"/>
                <w:szCs w:val="18"/>
              </w:rPr>
              <w:t>29.108,46</w:t>
            </w:r>
          </w:p>
        </w:tc>
      </w:tr>
      <w:tr w:rsidR="00C20837" w:rsidRPr="00176BA0" w14:paraId="6426A50F" w14:textId="77777777" w:rsidTr="00176BA0">
        <w:trPr>
          <w:trHeight w:val="283"/>
          <w:jc w:val="center"/>
        </w:trPr>
        <w:tc>
          <w:tcPr>
            <w:tcW w:w="2891" w:type="pct"/>
            <w:tcBorders>
              <w:top w:val="nil"/>
              <w:left w:val="nil"/>
              <w:bottom w:val="single" w:sz="4" w:space="0" w:color="auto"/>
              <w:right w:val="nil"/>
            </w:tcBorders>
            <w:shd w:val="clear" w:color="auto" w:fill="auto"/>
            <w:vAlign w:val="center"/>
            <w:hideMark/>
          </w:tcPr>
          <w:p w14:paraId="152996C3" w14:textId="77777777" w:rsidR="00C20837" w:rsidRPr="00176BA0" w:rsidRDefault="00C20837" w:rsidP="00176BA0">
            <w:pPr>
              <w:ind w:left="215"/>
              <w:rPr>
                <w:rFonts w:eastAsia="Times New Roman"/>
                <w:b/>
                <w:bCs/>
                <w:sz w:val="18"/>
                <w:szCs w:val="18"/>
              </w:rPr>
            </w:pPr>
            <w:r w:rsidRPr="00176BA0">
              <w:rPr>
                <w:rFonts w:eastAsia="Times New Roman"/>
                <w:b/>
                <w:bCs/>
                <w:sz w:val="18"/>
                <w:szCs w:val="18"/>
              </w:rPr>
              <w:t>Saldo final</w:t>
            </w:r>
          </w:p>
        </w:tc>
        <w:tc>
          <w:tcPr>
            <w:tcW w:w="1055" w:type="pct"/>
            <w:tcBorders>
              <w:top w:val="nil"/>
              <w:left w:val="nil"/>
              <w:bottom w:val="single" w:sz="4" w:space="0" w:color="auto"/>
              <w:right w:val="nil"/>
            </w:tcBorders>
            <w:shd w:val="clear" w:color="auto" w:fill="auto"/>
            <w:vAlign w:val="center"/>
          </w:tcPr>
          <w:p w14:paraId="77896ECF" w14:textId="56802A1F" w:rsidR="00C20837" w:rsidRPr="00176BA0" w:rsidRDefault="00C20837" w:rsidP="00C20837">
            <w:pPr>
              <w:jc w:val="right"/>
              <w:rPr>
                <w:b/>
                <w:bCs/>
                <w:sz w:val="18"/>
                <w:szCs w:val="18"/>
              </w:rPr>
            </w:pPr>
            <w:r w:rsidRPr="00176BA0">
              <w:rPr>
                <w:b/>
                <w:bCs/>
                <w:sz w:val="18"/>
                <w:szCs w:val="18"/>
              </w:rPr>
              <w:t>172.401,11</w:t>
            </w:r>
          </w:p>
        </w:tc>
        <w:tc>
          <w:tcPr>
            <w:tcW w:w="1054" w:type="pct"/>
            <w:tcBorders>
              <w:top w:val="nil"/>
              <w:left w:val="nil"/>
              <w:bottom w:val="single" w:sz="4" w:space="0" w:color="auto"/>
              <w:right w:val="nil"/>
            </w:tcBorders>
            <w:shd w:val="clear" w:color="auto" w:fill="auto"/>
            <w:vAlign w:val="center"/>
            <w:hideMark/>
          </w:tcPr>
          <w:p w14:paraId="6E6CEF56" w14:textId="6092BF50" w:rsidR="00C20837" w:rsidRPr="00176BA0" w:rsidRDefault="00C20837" w:rsidP="00C20837">
            <w:pPr>
              <w:jc w:val="right"/>
              <w:rPr>
                <w:b/>
                <w:bCs/>
                <w:sz w:val="18"/>
                <w:szCs w:val="18"/>
              </w:rPr>
            </w:pPr>
            <w:r w:rsidRPr="00176BA0">
              <w:rPr>
                <w:b/>
                <w:bCs/>
                <w:sz w:val="18"/>
                <w:szCs w:val="18"/>
              </w:rPr>
              <w:t>226.849,18</w:t>
            </w:r>
          </w:p>
        </w:tc>
      </w:tr>
    </w:tbl>
    <w:p w14:paraId="3997232A" w14:textId="354A40C3" w:rsidR="00113C04" w:rsidRPr="00176BA0" w:rsidRDefault="00113C04" w:rsidP="00954AA6">
      <w:pPr>
        <w:keepNext/>
        <w:keepLines/>
        <w:widowControl w:val="0"/>
        <w:spacing w:before="120" w:after="120" w:line="260" w:lineRule="exact"/>
        <w:ind w:left="284"/>
        <w:jc w:val="both"/>
        <w:outlineLvl w:val="9"/>
        <w:rPr>
          <w:snapToGrid w:val="0"/>
          <w:sz w:val="20"/>
          <w:szCs w:val="22"/>
        </w:rPr>
      </w:pPr>
      <w:r w:rsidRPr="00176BA0">
        <w:rPr>
          <w:snapToGrid w:val="0"/>
          <w:sz w:val="20"/>
          <w:szCs w:val="22"/>
        </w:rPr>
        <w:lastRenderedPageBreak/>
        <w:t>En el ejercicio 2020 la Consejería de Turismo, Industria y Comercio concedi</w:t>
      </w:r>
      <w:r w:rsidR="00C15BD4" w:rsidRPr="00176BA0">
        <w:rPr>
          <w:snapToGrid w:val="0"/>
          <w:sz w:val="20"/>
          <w:szCs w:val="22"/>
        </w:rPr>
        <w:t>ó</w:t>
      </w:r>
      <w:r w:rsidRPr="00176BA0">
        <w:rPr>
          <w:snapToGrid w:val="0"/>
          <w:sz w:val="20"/>
          <w:szCs w:val="22"/>
        </w:rPr>
        <w:t xml:space="preserve"> una subvención por importe de 90.600 euros, reconociendo 67.950 euros en Patrimonio y 22.650 euros en pasivos diferidos.</w:t>
      </w:r>
    </w:p>
    <w:p w14:paraId="762CDF9E" w14:textId="0E514928" w:rsidR="00831BAC" w:rsidRPr="00176BA0" w:rsidRDefault="00831BAC" w:rsidP="00176BA0">
      <w:pPr>
        <w:widowControl w:val="0"/>
        <w:spacing w:before="120" w:after="120" w:line="260" w:lineRule="exact"/>
        <w:ind w:left="284"/>
        <w:jc w:val="both"/>
        <w:outlineLvl w:val="9"/>
        <w:rPr>
          <w:snapToGrid w:val="0"/>
          <w:sz w:val="20"/>
          <w:szCs w:val="22"/>
        </w:rPr>
      </w:pPr>
      <w:r w:rsidRPr="00176BA0">
        <w:rPr>
          <w:snapToGrid w:val="0"/>
          <w:sz w:val="20"/>
          <w:szCs w:val="22"/>
        </w:rPr>
        <w:t xml:space="preserve">En el ejercicio 2019 la Consejería de Turismo, Industria y Comercio </w:t>
      </w:r>
      <w:r w:rsidR="00E6315F" w:rsidRPr="00176BA0">
        <w:rPr>
          <w:snapToGrid w:val="0"/>
          <w:sz w:val="20"/>
          <w:szCs w:val="22"/>
        </w:rPr>
        <w:t>concedió</w:t>
      </w:r>
      <w:r w:rsidRPr="00176BA0">
        <w:rPr>
          <w:snapToGrid w:val="0"/>
          <w:sz w:val="20"/>
          <w:szCs w:val="22"/>
        </w:rPr>
        <w:t xml:space="preserve"> una subvención por importe de 300.000 euros</w:t>
      </w:r>
      <w:r w:rsidR="0058330F" w:rsidRPr="00176BA0">
        <w:rPr>
          <w:snapToGrid w:val="0"/>
          <w:sz w:val="20"/>
          <w:szCs w:val="22"/>
        </w:rPr>
        <w:t xml:space="preserve">, </w:t>
      </w:r>
      <w:r w:rsidR="00E6315F" w:rsidRPr="00176BA0">
        <w:rPr>
          <w:snapToGrid w:val="0"/>
          <w:sz w:val="20"/>
          <w:szCs w:val="22"/>
        </w:rPr>
        <w:t>reconoció</w:t>
      </w:r>
      <w:r w:rsidR="0058330F" w:rsidRPr="00176BA0">
        <w:rPr>
          <w:snapToGrid w:val="0"/>
          <w:sz w:val="20"/>
          <w:szCs w:val="22"/>
        </w:rPr>
        <w:t xml:space="preserve"> 225.000 euros en Patrimonio y 75.000 euros en pasivos diferidos.</w:t>
      </w:r>
    </w:p>
    <w:p w14:paraId="328B96AD" w14:textId="3372208D" w:rsidR="003A0588" w:rsidRPr="00176BA0" w:rsidRDefault="00710A40" w:rsidP="00176BA0">
      <w:pPr>
        <w:widowControl w:val="0"/>
        <w:spacing w:before="120" w:after="120" w:line="260" w:lineRule="exact"/>
        <w:ind w:left="284"/>
        <w:jc w:val="both"/>
        <w:outlineLvl w:val="9"/>
        <w:rPr>
          <w:snapToGrid w:val="0"/>
          <w:sz w:val="20"/>
          <w:szCs w:val="22"/>
        </w:rPr>
      </w:pPr>
      <w:r w:rsidRPr="00176BA0">
        <w:rPr>
          <w:snapToGrid w:val="0"/>
          <w:sz w:val="20"/>
          <w:szCs w:val="22"/>
        </w:rPr>
        <w:t xml:space="preserve">En el ejercicio 2019 se </w:t>
      </w:r>
      <w:r w:rsidR="00E6315F" w:rsidRPr="00176BA0">
        <w:rPr>
          <w:snapToGrid w:val="0"/>
          <w:sz w:val="20"/>
          <w:szCs w:val="22"/>
        </w:rPr>
        <w:t>di</w:t>
      </w:r>
      <w:r w:rsidR="00723F3F" w:rsidRPr="00176BA0">
        <w:rPr>
          <w:snapToGrid w:val="0"/>
          <w:sz w:val="20"/>
          <w:szCs w:val="22"/>
        </w:rPr>
        <w:t>o</w:t>
      </w:r>
      <w:r w:rsidRPr="00176BA0">
        <w:rPr>
          <w:snapToGrid w:val="0"/>
          <w:sz w:val="20"/>
          <w:szCs w:val="22"/>
        </w:rPr>
        <w:t xml:space="preserve"> de baja el importe pendiente correspondiente al derecho de ocupa</w:t>
      </w:r>
      <w:r w:rsidR="00497BBB" w:rsidRPr="00176BA0">
        <w:rPr>
          <w:snapToGrid w:val="0"/>
          <w:sz w:val="20"/>
          <w:szCs w:val="22"/>
        </w:rPr>
        <w:t>ción de las oficinas y del 50%</w:t>
      </w:r>
      <w:r w:rsidRPr="00176BA0">
        <w:rPr>
          <w:snapToGrid w:val="0"/>
          <w:sz w:val="20"/>
          <w:szCs w:val="22"/>
        </w:rPr>
        <w:t xml:space="preserve"> del almacén del anterior domicilio social (Notas 1 y 6) </w:t>
      </w:r>
      <w:r w:rsidR="0073325C" w:rsidRPr="00176BA0">
        <w:rPr>
          <w:snapToGrid w:val="0"/>
          <w:sz w:val="20"/>
          <w:szCs w:val="22"/>
        </w:rPr>
        <w:t xml:space="preserve">vinculado a una subvención de capital </w:t>
      </w:r>
      <w:r w:rsidRPr="00176BA0">
        <w:rPr>
          <w:snapToGrid w:val="0"/>
          <w:sz w:val="20"/>
          <w:szCs w:val="22"/>
        </w:rPr>
        <w:t xml:space="preserve">por importe de </w:t>
      </w:r>
      <w:r w:rsidR="0058330F" w:rsidRPr="00176BA0">
        <w:rPr>
          <w:snapToGrid w:val="0"/>
          <w:sz w:val="20"/>
          <w:szCs w:val="22"/>
        </w:rPr>
        <w:t>251.852,77 euros</w:t>
      </w:r>
      <w:r w:rsidR="0073325C" w:rsidRPr="00176BA0">
        <w:rPr>
          <w:snapToGrid w:val="0"/>
          <w:sz w:val="20"/>
          <w:szCs w:val="22"/>
        </w:rPr>
        <w:t>, minorando en</w:t>
      </w:r>
      <w:r w:rsidR="0058330F" w:rsidRPr="00176BA0">
        <w:rPr>
          <w:snapToGrid w:val="0"/>
          <w:sz w:val="20"/>
          <w:szCs w:val="22"/>
        </w:rPr>
        <w:t xml:space="preserve"> (</w:t>
      </w:r>
      <w:r w:rsidRPr="00176BA0">
        <w:rPr>
          <w:snapToGrid w:val="0"/>
          <w:sz w:val="20"/>
          <w:szCs w:val="22"/>
        </w:rPr>
        <w:t>188.889,59</w:t>
      </w:r>
      <w:r w:rsidR="0058330F" w:rsidRPr="00176BA0">
        <w:rPr>
          <w:snapToGrid w:val="0"/>
          <w:sz w:val="20"/>
          <w:szCs w:val="22"/>
        </w:rPr>
        <w:t>)</w:t>
      </w:r>
      <w:r w:rsidRPr="00176BA0">
        <w:rPr>
          <w:snapToGrid w:val="0"/>
          <w:sz w:val="20"/>
          <w:szCs w:val="22"/>
        </w:rPr>
        <w:t xml:space="preserve"> euros</w:t>
      </w:r>
      <w:r w:rsidR="0058330F" w:rsidRPr="00176BA0">
        <w:rPr>
          <w:snapToGrid w:val="0"/>
          <w:sz w:val="20"/>
          <w:szCs w:val="22"/>
        </w:rPr>
        <w:t xml:space="preserve"> </w:t>
      </w:r>
      <w:r w:rsidR="0073325C" w:rsidRPr="00176BA0">
        <w:rPr>
          <w:snapToGrid w:val="0"/>
          <w:sz w:val="20"/>
          <w:szCs w:val="22"/>
        </w:rPr>
        <w:t>el epígrafe de subvenciones de capital</w:t>
      </w:r>
      <w:r w:rsidR="0058330F" w:rsidRPr="00176BA0">
        <w:rPr>
          <w:snapToGrid w:val="0"/>
          <w:sz w:val="20"/>
          <w:szCs w:val="22"/>
        </w:rPr>
        <w:t xml:space="preserve"> y (62.963,18)</w:t>
      </w:r>
      <w:r w:rsidR="0073325C" w:rsidRPr="00176BA0">
        <w:rPr>
          <w:snapToGrid w:val="0"/>
          <w:sz w:val="20"/>
          <w:szCs w:val="22"/>
        </w:rPr>
        <w:t xml:space="preserve"> euros</w:t>
      </w:r>
      <w:r w:rsidR="0058330F" w:rsidRPr="00176BA0">
        <w:rPr>
          <w:snapToGrid w:val="0"/>
          <w:sz w:val="20"/>
          <w:szCs w:val="22"/>
        </w:rPr>
        <w:t xml:space="preserve"> en pasivos diferidos.</w:t>
      </w:r>
    </w:p>
    <w:p w14:paraId="60A1A97D" w14:textId="091A0CE8" w:rsidR="006220A2" w:rsidRPr="0083433F" w:rsidRDefault="006220A2" w:rsidP="00497BBB">
      <w:pPr>
        <w:keepNext/>
        <w:keepLines/>
        <w:widowControl w:val="0"/>
        <w:tabs>
          <w:tab w:val="center" w:pos="4390"/>
        </w:tabs>
        <w:spacing w:before="200"/>
        <w:rPr>
          <w:b/>
          <w:sz w:val="20"/>
          <w:szCs w:val="22"/>
        </w:rPr>
      </w:pPr>
      <w:r w:rsidRPr="008C0170">
        <w:rPr>
          <w:b/>
          <w:sz w:val="20"/>
          <w:szCs w:val="22"/>
        </w:rPr>
        <w:t>15.2 Subvenciones de Explotación</w:t>
      </w:r>
    </w:p>
    <w:p w14:paraId="34F00258" w14:textId="0FB36D1B"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El detalle de las subvenciones de explotación incorporadas al resultado</w:t>
      </w:r>
      <w:r w:rsidR="00176BA0">
        <w:rPr>
          <w:snapToGrid w:val="0"/>
          <w:sz w:val="20"/>
          <w:szCs w:val="22"/>
        </w:rPr>
        <w:t xml:space="preserve"> del ejercicio</w:t>
      </w:r>
      <w:r w:rsidRPr="00176BA0">
        <w:rPr>
          <w:snapToGrid w:val="0"/>
          <w:sz w:val="20"/>
          <w:szCs w:val="22"/>
        </w:rPr>
        <w:t xml:space="preserve"> es </w:t>
      </w:r>
      <w:r w:rsidR="00176BA0">
        <w:rPr>
          <w:snapToGrid w:val="0"/>
          <w:sz w:val="20"/>
          <w:szCs w:val="22"/>
        </w:rPr>
        <w:t>el siguiente</w:t>
      </w:r>
      <w:r w:rsidRPr="00176BA0">
        <w:rPr>
          <w:snapToGrid w:val="0"/>
          <w:sz w:val="20"/>
          <w:szCs w:val="22"/>
        </w:rPr>
        <w:t>:</w:t>
      </w:r>
    </w:p>
    <w:tbl>
      <w:tblPr>
        <w:tblW w:w="5000" w:type="pct"/>
        <w:tblLayout w:type="fixed"/>
        <w:tblCellMar>
          <w:left w:w="70" w:type="dxa"/>
          <w:right w:w="70" w:type="dxa"/>
        </w:tblCellMar>
        <w:tblLook w:val="04A0" w:firstRow="1" w:lastRow="0" w:firstColumn="1" w:lastColumn="0" w:noHBand="0" w:noVBand="1"/>
      </w:tblPr>
      <w:tblGrid>
        <w:gridCol w:w="6236"/>
        <w:gridCol w:w="1277"/>
        <w:gridCol w:w="1268"/>
      </w:tblGrid>
      <w:tr w:rsidR="00173DFA" w:rsidRPr="000E486B" w14:paraId="19CD18AC" w14:textId="77777777" w:rsidTr="00A4210A">
        <w:trPr>
          <w:trHeight w:val="227"/>
          <w:tblHeader/>
        </w:trPr>
        <w:tc>
          <w:tcPr>
            <w:tcW w:w="3551" w:type="pct"/>
            <w:tcBorders>
              <w:top w:val="single" w:sz="4" w:space="0" w:color="auto"/>
              <w:left w:val="nil"/>
              <w:bottom w:val="nil"/>
              <w:right w:val="nil"/>
            </w:tcBorders>
            <w:shd w:val="clear" w:color="auto" w:fill="auto"/>
            <w:noWrap/>
            <w:vAlign w:val="center"/>
            <w:hideMark/>
          </w:tcPr>
          <w:p w14:paraId="0D75F552" w14:textId="77777777" w:rsidR="00A304AB" w:rsidRPr="000E486B"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449" w:type="pct"/>
            <w:gridSpan w:val="2"/>
            <w:tcBorders>
              <w:top w:val="single" w:sz="4" w:space="0" w:color="auto"/>
              <w:left w:val="nil"/>
              <w:bottom w:val="single" w:sz="4" w:space="0" w:color="auto"/>
              <w:right w:val="nil"/>
            </w:tcBorders>
            <w:shd w:val="clear" w:color="auto" w:fill="auto"/>
            <w:vAlign w:val="bottom"/>
            <w:hideMark/>
          </w:tcPr>
          <w:p w14:paraId="0150F4D4" w14:textId="77777777" w:rsidR="00A304AB" w:rsidRPr="000E486B" w:rsidRDefault="00A304AB" w:rsidP="00A4210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0E486B">
              <w:rPr>
                <w:rFonts w:eastAsia="Times New Roman"/>
                <w:b/>
                <w:bCs/>
                <w:sz w:val="16"/>
                <w:szCs w:val="16"/>
                <w:bdr w:val="none" w:sz="0" w:space="0" w:color="auto"/>
                <w:lang w:eastAsia="es-ES"/>
              </w:rPr>
              <w:t>Euros</w:t>
            </w:r>
          </w:p>
        </w:tc>
      </w:tr>
      <w:tr w:rsidR="00E6315F" w:rsidRPr="000E486B" w14:paraId="232E49E7" w14:textId="77777777" w:rsidTr="00A4210A">
        <w:trPr>
          <w:trHeight w:val="227"/>
          <w:tblHeader/>
        </w:trPr>
        <w:tc>
          <w:tcPr>
            <w:tcW w:w="3551" w:type="pct"/>
            <w:tcBorders>
              <w:top w:val="nil"/>
              <w:left w:val="nil"/>
              <w:bottom w:val="single" w:sz="4" w:space="0" w:color="auto"/>
              <w:right w:val="nil"/>
            </w:tcBorders>
            <w:shd w:val="clear" w:color="auto" w:fill="auto"/>
            <w:noWrap/>
            <w:vAlign w:val="center"/>
            <w:hideMark/>
          </w:tcPr>
          <w:p w14:paraId="6C38460A" w14:textId="77777777" w:rsidR="00E6315F" w:rsidRPr="00940461" w:rsidRDefault="00E6315F" w:rsidP="00E6315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940461">
              <w:rPr>
                <w:rFonts w:eastAsia="Times New Roman"/>
                <w:sz w:val="16"/>
                <w:szCs w:val="16"/>
                <w:bdr w:val="none" w:sz="0" w:space="0" w:color="auto"/>
                <w:lang w:eastAsia="es-ES"/>
              </w:rPr>
              <w:t> </w:t>
            </w:r>
          </w:p>
        </w:tc>
        <w:tc>
          <w:tcPr>
            <w:tcW w:w="727" w:type="pct"/>
            <w:tcBorders>
              <w:top w:val="nil"/>
              <w:left w:val="nil"/>
              <w:bottom w:val="single" w:sz="4" w:space="0" w:color="auto"/>
              <w:right w:val="nil"/>
            </w:tcBorders>
            <w:shd w:val="clear" w:color="auto" w:fill="auto"/>
            <w:vAlign w:val="bottom"/>
            <w:hideMark/>
          </w:tcPr>
          <w:p w14:paraId="45E3E4E2" w14:textId="652805A3" w:rsidR="00E6315F" w:rsidRPr="00940461" w:rsidRDefault="00E6315F" w:rsidP="00A4210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940461">
              <w:rPr>
                <w:rFonts w:eastAsia="Times New Roman"/>
                <w:b/>
                <w:bCs/>
                <w:sz w:val="16"/>
                <w:szCs w:val="16"/>
                <w:bdr w:val="none" w:sz="0" w:space="0" w:color="auto"/>
                <w:lang w:eastAsia="es-ES"/>
              </w:rPr>
              <w:t>202</w:t>
            </w:r>
            <w:r w:rsidR="00E256FC" w:rsidRPr="00940461">
              <w:rPr>
                <w:rFonts w:eastAsia="Times New Roman"/>
                <w:b/>
                <w:bCs/>
                <w:sz w:val="16"/>
                <w:szCs w:val="16"/>
                <w:bdr w:val="none" w:sz="0" w:space="0" w:color="auto"/>
                <w:lang w:eastAsia="es-ES"/>
              </w:rPr>
              <w:t>1</w:t>
            </w:r>
          </w:p>
        </w:tc>
        <w:tc>
          <w:tcPr>
            <w:tcW w:w="722" w:type="pct"/>
            <w:tcBorders>
              <w:top w:val="nil"/>
              <w:left w:val="nil"/>
              <w:bottom w:val="single" w:sz="4" w:space="0" w:color="auto"/>
              <w:right w:val="nil"/>
            </w:tcBorders>
            <w:shd w:val="clear" w:color="auto" w:fill="auto"/>
            <w:vAlign w:val="bottom"/>
            <w:hideMark/>
          </w:tcPr>
          <w:p w14:paraId="52D07BE8" w14:textId="39A26C94" w:rsidR="00E6315F" w:rsidRPr="00940461" w:rsidRDefault="00E6315F" w:rsidP="00A4210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940461">
              <w:rPr>
                <w:rFonts w:eastAsia="Times New Roman"/>
                <w:b/>
                <w:bCs/>
                <w:sz w:val="16"/>
                <w:szCs w:val="16"/>
                <w:bdr w:val="none" w:sz="0" w:space="0" w:color="auto"/>
                <w:lang w:eastAsia="es-ES"/>
              </w:rPr>
              <w:t>20</w:t>
            </w:r>
            <w:r w:rsidR="00E256FC" w:rsidRPr="00940461">
              <w:rPr>
                <w:rFonts w:eastAsia="Times New Roman"/>
                <w:b/>
                <w:bCs/>
                <w:sz w:val="16"/>
                <w:szCs w:val="16"/>
                <w:bdr w:val="none" w:sz="0" w:space="0" w:color="auto"/>
                <w:lang w:eastAsia="es-ES"/>
              </w:rPr>
              <w:t>20</w:t>
            </w:r>
          </w:p>
        </w:tc>
      </w:tr>
      <w:tr w:rsidR="000C37FA" w:rsidRPr="000E486B" w14:paraId="78849123" w14:textId="77777777" w:rsidTr="00A4210A">
        <w:trPr>
          <w:trHeight w:val="283"/>
        </w:trPr>
        <w:tc>
          <w:tcPr>
            <w:tcW w:w="3551" w:type="pct"/>
            <w:tcBorders>
              <w:top w:val="single" w:sz="4" w:space="0" w:color="auto"/>
              <w:left w:val="nil"/>
              <w:bottom w:val="single" w:sz="4" w:space="0" w:color="auto"/>
              <w:right w:val="nil"/>
            </w:tcBorders>
            <w:shd w:val="clear" w:color="auto" w:fill="auto"/>
            <w:noWrap/>
            <w:vAlign w:val="center"/>
          </w:tcPr>
          <w:p w14:paraId="6670F89C" w14:textId="77777777" w:rsidR="000C37FA" w:rsidRPr="00940461" w:rsidRDefault="000C37FA" w:rsidP="00A4210A">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sz w:val="16"/>
                <w:szCs w:val="16"/>
              </w:rPr>
            </w:pPr>
            <w:r w:rsidRPr="00940461">
              <w:rPr>
                <w:sz w:val="16"/>
                <w:szCs w:val="16"/>
              </w:rPr>
              <w:t xml:space="preserve">Consejería de Turismo, Industria y Comercio: </w:t>
            </w:r>
          </w:p>
          <w:p w14:paraId="41D5D57F" w14:textId="685076CB" w:rsidR="000C37FA" w:rsidRPr="00940461" w:rsidRDefault="000C37FA" w:rsidP="00A4210A">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rFonts w:eastAsia="Times New Roman"/>
                <w:sz w:val="16"/>
                <w:szCs w:val="16"/>
                <w:bdr w:val="none" w:sz="0" w:space="0" w:color="auto"/>
                <w:lang w:eastAsia="es-ES"/>
              </w:rPr>
            </w:pPr>
            <w:r w:rsidRPr="00940461">
              <w:rPr>
                <w:sz w:val="16"/>
                <w:szCs w:val="16"/>
              </w:rPr>
              <w:t>Desarrollo de actividad promocional (FEDER)</w:t>
            </w:r>
          </w:p>
        </w:tc>
        <w:tc>
          <w:tcPr>
            <w:tcW w:w="727" w:type="pct"/>
            <w:tcBorders>
              <w:top w:val="single" w:sz="4" w:space="0" w:color="auto"/>
              <w:left w:val="nil"/>
              <w:bottom w:val="single" w:sz="4" w:space="0" w:color="auto"/>
              <w:right w:val="nil"/>
            </w:tcBorders>
            <w:shd w:val="clear" w:color="auto" w:fill="auto"/>
            <w:vAlign w:val="center"/>
          </w:tcPr>
          <w:p w14:paraId="436C33EA" w14:textId="7B06F9D1" w:rsidR="000C37FA" w:rsidRPr="00940461" w:rsidRDefault="000C37FA" w:rsidP="000C37F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940461">
              <w:rPr>
                <w:sz w:val="16"/>
                <w:szCs w:val="16"/>
              </w:rPr>
              <w:t>12.500.000,00</w:t>
            </w:r>
          </w:p>
        </w:tc>
        <w:tc>
          <w:tcPr>
            <w:tcW w:w="722" w:type="pct"/>
            <w:tcBorders>
              <w:top w:val="single" w:sz="4" w:space="0" w:color="auto"/>
              <w:left w:val="nil"/>
              <w:bottom w:val="single" w:sz="4" w:space="0" w:color="auto"/>
              <w:right w:val="nil"/>
            </w:tcBorders>
            <w:shd w:val="clear" w:color="auto" w:fill="auto"/>
            <w:vAlign w:val="center"/>
          </w:tcPr>
          <w:p w14:paraId="29107C7D" w14:textId="0FB6D98E" w:rsidR="000C37FA" w:rsidRPr="00940461" w:rsidRDefault="000C37FA" w:rsidP="000C37FA">
            <w:pPr>
              <w:jc w:val="right"/>
              <w:rPr>
                <w:sz w:val="16"/>
                <w:szCs w:val="16"/>
              </w:rPr>
            </w:pPr>
            <w:r w:rsidRPr="00940461">
              <w:rPr>
                <w:sz w:val="16"/>
                <w:szCs w:val="16"/>
              </w:rPr>
              <w:t>9.000.000,00</w:t>
            </w:r>
          </w:p>
        </w:tc>
      </w:tr>
      <w:tr w:rsidR="000C37FA" w:rsidRPr="000E486B" w14:paraId="06AE3D82" w14:textId="77777777" w:rsidTr="00A4210A">
        <w:trPr>
          <w:trHeight w:val="283"/>
        </w:trPr>
        <w:tc>
          <w:tcPr>
            <w:tcW w:w="3551" w:type="pct"/>
            <w:tcBorders>
              <w:top w:val="single" w:sz="4" w:space="0" w:color="auto"/>
              <w:left w:val="nil"/>
              <w:bottom w:val="single" w:sz="4" w:space="0" w:color="auto"/>
              <w:right w:val="nil"/>
            </w:tcBorders>
            <w:shd w:val="clear" w:color="auto" w:fill="auto"/>
            <w:noWrap/>
            <w:vAlign w:val="center"/>
          </w:tcPr>
          <w:p w14:paraId="03FACED7" w14:textId="77777777" w:rsidR="000C37FA" w:rsidRPr="00940461" w:rsidRDefault="000C37FA" w:rsidP="00A4210A">
            <w:pPr>
              <w:spacing w:before="40"/>
              <w:rPr>
                <w:sz w:val="16"/>
                <w:szCs w:val="16"/>
              </w:rPr>
            </w:pPr>
            <w:r w:rsidRPr="00940461">
              <w:rPr>
                <w:sz w:val="16"/>
                <w:szCs w:val="16"/>
              </w:rPr>
              <w:t xml:space="preserve">Consejería de Turismo, Industria y Comercio: </w:t>
            </w:r>
          </w:p>
          <w:p w14:paraId="10C0E1BB" w14:textId="3F8F4F98" w:rsidR="000C37FA" w:rsidRPr="00940461" w:rsidRDefault="000C37FA" w:rsidP="00A4210A">
            <w:pPr>
              <w:spacing w:before="40"/>
              <w:rPr>
                <w:sz w:val="16"/>
                <w:szCs w:val="16"/>
              </w:rPr>
            </w:pPr>
            <w:r w:rsidRPr="00940461">
              <w:rPr>
                <w:sz w:val="16"/>
                <w:szCs w:val="16"/>
              </w:rPr>
              <w:t>Desarrollo de actividad promocional (NO FEDER)</w:t>
            </w:r>
          </w:p>
        </w:tc>
        <w:tc>
          <w:tcPr>
            <w:tcW w:w="727" w:type="pct"/>
            <w:tcBorders>
              <w:top w:val="single" w:sz="4" w:space="0" w:color="auto"/>
              <w:left w:val="nil"/>
              <w:bottom w:val="single" w:sz="4" w:space="0" w:color="auto"/>
              <w:right w:val="nil"/>
            </w:tcBorders>
            <w:shd w:val="clear" w:color="auto" w:fill="auto"/>
            <w:vAlign w:val="center"/>
          </w:tcPr>
          <w:p w14:paraId="52A079B5" w14:textId="55AAD06B" w:rsidR="000C37FA" w:rsidRPr="00940461" w:rsidRDefault="000C37FA" w:rsidP="000C37FA">
            <w:pPr>
              <w:jc w:val="right"/>
              <w:rPr>
                <w:sz w:val="16"/>
                <w:szCs w:val="16"/>
              </w:rPr>
            </w:pPr>
            <w:r w:rsidRPr="00940461">
              <w:rPr>
                <w:sz w:val="16"/>
                <w:szCs w:val="16"/>
              </w:rPr>
              <w:t>9.425.421,05</w:t>
            </w:r>
          </w:p>
        </w:tc>
        <w:tc>
          <w:tcPr>
            <w:tcW w:w="722" w:type="pct"/>
            <w:tcBorders>
              <w:top w:val="single" w:sz="4" w:space="0" w:color="auto"/>
              <w:left w:val="nil"/>
              <w:bottom w:val="single" w:sz="4" w:space="0" w:color="auto"/>
              <w:right w:val="nil"/>
            </w:tcBorders>
            <w:shd w:val="clear" w:color="auto" w:fill="auto"/>
            <w:vAlign w:val="center"/>
          </w:tcPr>
          <w:p w14:paraId="7169E620" w14:textId="41069E1A" w:rsidR="000C37FA" w:rsidRPr="00940461" w:rsidRDefault="000C37FA" w:rsidP="000C37FA">
            <w:pPr>
              <w:jc w:val="right"/>
              <w:rPr>
                <w:sz w:val="16"/>
                <w:szCs w:val="16"/>
              </w:rPr>
            </w:pPr>
            <w:r w:rsidRPr="00940461">
              <w:rPr>
                <w:sz w:val="16"/>
                <w:szCs w:val="16"/>
              </w:rPr>
              <w:t>6.792.868,38</w:t>
            </w:r>
          </w:p>
        </w:tc>
      </w:tr>
      <w:tr w:rsidR="000C37FA" w:rsidRPr="000E486B" w14:paraId="791E3F7F" w14:textId="77777777" w:rsidTr="00A4210A">
        <w:trPr>
          <w:trHeight w:val="283"/>
        </w:trPr>
        <w:tc>
          <w:tcPr>
            <w:tcW w:w="3551" w:type="pct"/>
            <w:tcBorders>
              <w:top w:val="single" w:sz="4" w:space="0" w:color="auto"/>
              <w:left w:val="nil"/>
              <w:bottom w:val="single" w:sz="4" w:space="0" w:color="auto"/>
              <w:right w:val="nil"/>
            </w:tcBorders>
            <w:shd w:val="clear" w:color="auto" w:fill="auto"/>
            <w:noWrap/>
            <w:vAlign w:val="center"/>
          </w:tcPr>
          <w:p w14:paraId="25327EC6" w14:textId="77777777" w:rsidR="000C37FA" w:rsidRPr="00940461" w:rsidRDefault="000C37FA" w:rsidP="00A4210A">
            <w:pPr>
              <w:spacing w:before="40"/>
              <w:rPr>
                <w:sz w:val="16"/>
                <w:szCs w:val="16"/>
              </w:rPr>
            </w:pPr>
            <w:r w:rsidRPr="00940461">
              <w:rPr>
                <w:sz w:val="16"/>
                <w:szCs w:val="16"/>
              </w:rPr>
              <w:t xml:space="preserve">Consejería de Turismo, Industria y Comercio: </w:t>
            </w:r>
          </w:p>
          <w:p w14:paraId="657A5CA5" w14:textId="1D364421" w:rsidR="000C37FA" w:rsidRPr="00940461" w:rsidRDefault="000C37FA" w:rsidP="00A4210A">
            <w:pPr>
              <w:spacing w:before="40"/>
              <w:rPr>
                <w:sz w:val="16"/>
                <w:szCs w:val="16"/>
              </w:rPr>
            </w:pPr>
            <w:r w:rsidRPr="00940461">
              <w:rPr>
                <w:sz w:val="16"/>
                <w:szCs w:val="16"/>
              </w:rPr>
              <w:t>Fomento de la conectividad aérea de las islas Canarias</w:t>
            </w:r>
          </w:p>
        </w:tc>
        <w:tc>
          <w:tcPr>
            <w:tcW w:w="727" w:type="pct"/>
            <w:tcBorders>
              <w:top w:val="single" w:sz="4" w:space="0" w:color="auto"/>
              <w:left w:val="nil"/>
              <w:bottom w:val="single" w:sz="4" w:space="0" w:color="auto"/>
              <w:right w:val="nil"/>
            </w:tcBorders>
            <w:shd w:val="clear" w:color="auto" w:fill="auto"/>
            <w:vAlign w:val="center"/>
          </w:tcPr>
          <w:p w14:paraId="22411D87" w14:textId="45E0636E" w:rsidR="000C37FA" w:rsidRPr="00940461" w:rsidRDefault="000C37FA" w:rsidP="000C37FA">
            <w:pPr>
              <w:jc w:val="right"/>
              <w:rPr>
                <w:sz w:val="16"/>
                <w:szCs w:val="16"/>
              </w:rPr>
            </w:pPr>
            <w:r w:rsidRPr="00940461">
              <w:rPr>
                <w:sz w:val="16"/>
                <w:szCs w:val="16"/>
              </w:rPr>
              <w:t>-</w:t>
            </w:r>
          </w:p>
        </w:tc>
        <w:tc>
          <w:tcPr>
            <w:tcW w:w="722" w:type="pct"/>
            <w:tcBorders>
              <w:top w:val="single" w:sz="4" w:space="0" w:color="auto"/>
              <w:left w:val="nil"/>
              <w:bottom w:val="single" w:sz="4" w:space="0" w:color="auto"/>
              <w:right w:val="nil"/>
            </w:tcBorders>
            <w:shd w:val="clear" w:color="auto" w:fill="auto"/>
            <w:vAlign w:val="center"/>
          </w:tcPr>
          <w:p w14:paraId="371699FD" w14:textId="3265A9C4" w:rsidR="000C37FA" w:rsidRPr="00940461" w:rsidRDefault="000C37FA" w:rsidP="000C37FA">
            <w:pPr>
              <w:jc w:val="right"/>
              <w:rPr>
                <w:sz w:val="16"/>
                <w:szCs w:val="16"/>
              </w:rPr>
            </w:pPr>
            <w:r w:rsidRPr="00940461">
              <w:rPr>
                <w:sz w:val="16"/>
                <w:szCs w:val="16"/>
              </w:rPr>
              <w:t>250.000,00</w:t>
            </w:r>
          </w:p>
        </w:tc>
      </w:tr>
      <w:tr w:rsidR="000C37FA" w:rsidRPr="000E486B" w14:paraId="645AE9FC" w14:textId="77777777" w:rsidTr="00A4210A">
        <w:trPr>
          <w:trHeight w:val="283"/>
        </w:trPr>
        <w:tc>
          <w:tcPr>
            <w:tcW w:w="3551" w:type="pct"/>
            <w:tcBorders>
              <w:top w:val="single" w:sz="4" w:space="0" w:color="auto"/>
              <w:left w:val="nil"/>
              <w:bottom w:val="single" w:sz="4" w:space="0" w:color="auto"/>
              <w:right w:val="nil"/>
            </w:tcBorders>
            <w:shd w:val="clear" w:color="auto" w:fill="auto"/>
            <w:noWrap/>
            <w:vAlign w:val="center"/>
          </w:tcPr>
          <w:p w14:paraId="58F9E370" w14:textId="77777777" w:rsidR="000C37FA" w:rsidRPr="00940461" w:rsidRDefault="000C37FA" w:rsidP="00A4210A">
            <w:pPr>
              <w:spacing w:before="40"/>
              <w:rPr>
                <w:sz w:val="16"/>
                <w:szCs w:val="16"/>
              </w:rPr>
            </w:pPr>
            <w:r w:rsidRPr="00940461">
              <w:rPr>
                <w:sz w:val="16"/>
                <w:szCs w:val="16"/>
              </w:rPr>
              <w:t xml:space="preserve">Consejería de Turismo, Industria y Comercio: </w:t>
            </w:r>
          </w:p>
          <w:p w14:paraId="1876DB02" w14:textId="0597249F" w:rsidR="000C37FA" w:rsidRPr="00940461" w:rsidRDefault="000C37FA" w:rsidP="00A4210A">
            <w:pPr>
              <w:spacing w:before="40"/>
              <w:rPr>
                <w:sz w:val="16"/>
                <w:szCs w:val="16"/>
              </w:rPr>
            </w:pPr>
            <w:r w:rsidRPr="00940461">
              <w:rPr>
                <w:sz w:val="16"/>
                <w:szCs w:val="16"/>
              </w:rPr>
              <w:t xml:space="preserve">Promoción turística de las artes, cultura y sociedad </w:t>
            </w:r>
          </w:p>
        </w:tc>
        <w:tc>
          <w:tcPr>
            <w:tcW w:w="727" w:type="pct"/>
            <w:tcBorders>
              <w:top w:val="single" w:sz="4" w:space="0" w:color="auto"/>
              <w:left w:val="nil"/>
              <w:bottom w:val="single" w:sz="4" w:space="0" w:color="auto"/>
              <w:right w:val="nil"/>
            </w:tcBorders>
            <w:shd w:val="clear" w:color="auto" w:fill="auto"/>
            <w:vAlign w:val="center"/>
          </w:tcPr>
          <w:p w14:paraId="22BC968C" w14:textId="12648E94" w:rsidR="000C37FA" w:rsidRPr="00940461" w:rsidRDefault="000C37FA" w:rsidP="000C37FA">
            <w:pPr>
              <w:jc w:val="right"/>
              <w:rPr>
                <w:sz w:val="16"/>
                <w:szCs w:val="16"/>
              </w:rPr>
            </w:pPr>
            <w:r w:rsidRPr="00940461">
              <w:rPr>
                <w:sz w:val="16"/>
                <w:szCs w:val="16"/>
              </w:rPr>
              <w:t>137.237,97</w:t>
            </w:r>
          </w:p>
        </w:tc>
        <w:tc>
          <w:tcPr>
            <w:tcW w:w="722" w:type="pct"/>
            <w:tcBorders>
              <w:top w:val="single" w:sz="4" w:space="0" w:color="auto"/>
              <w:left w:val="nil"/>
              <w:bottom w:val="single" w:sz="4" w:space="0" w:color="auto"/>
              <w:right w:val="nil"/>
            </w:tcBorders>
            <w:shd w:val="clear" w:color="auto" w:fill="auto"/>
            <w:vAlign w:val="center"/>
          </w:tcPr>
          <w:p w14:paraId="37E842E4" w14:textId="36BE7AB0" w:rsidR="000C37FA" w:rsidRPr="00940461" w:rsidRDefault="000C37FA" w:rsidP="000C37FA">
            <w:pPr>
              <w:jc w:val="right"/>
              <w:rPr>
                <w:sz w:val="16"/>
                <w:szCs w:val="16"/>
              </w:rPr>
            </w:pPr>
            <w:r w:rsidRPr="00940461">
              <w:rPr>
                <w:sz w:val="16"/>
                <w:szCs w:val="16"/>
              </w:rPr>
              <w:t>162.762,03</w:t>
            </w:r>
          </w:p>
        </w:tc>
      </w:tr>
      <w:tr w:rsidR="000C37FA" w:rsidRPr="000E486B" w14:paraId="388CD376" w14:textId="77777777" w:rsidTr="00A4210A">
        <w:trPr>
          <w:trHeight w:val="283"/>
        </w:trPr>
        <w:tc>
          <w:tcPr>
            <w:tcW w:w="3551" w:type="pct"/>
            <w:tcBorders>
              <w:top w:val="single" w:sz="4" w:space="0" w:color="auto"/>
              <w:left w:val="nil"/>
              <w:bottom w:val="single" w:sz="4" w:space="0" w:color="auto"/>
              <w:right w:val="nil"/>
            </w:tcBorders>
            <w:shd w:val="clear" w:color="auto" w:fill="auto"/>
            <w:noWrap/>
            <w:vAlign w:val="center"/>
          </w:tcPr>
          <w:p w14:paraId="4475913F" w14:textId="77777777" w:rsidR="000C37FA" w:rsidRPr="00940461" w:rsidRDefault="000C37FA" w:rsidP="00A4210A">
            <w:pPr>
              <w:spacing w:before="40"/>
              <w:rPr>
                <w:sz w:val="16"/>
                <w:szCs w:val="16"/>
              </w:rPr>
            </w:pPr>
            <w:r w:rsidRPr="00940461">
              <w:rPr>
                <w:sz w:val="16"/>
                <w:szCs w:val="16"/>
              </w:rPr>
              <w:t xml:space="preserve">Consejería de Turismo, Industria y Comercio: </w:t>
            </w:r>
          </w:p>
          <w:p w14:paraId="0ECF5B7D" w14:textId="6D51F986" w:rsidR="000C37FA" w:rsidRPr="00940461" w:rsidRDefault="000C37FA" w:rsidP="00A4210A">
            <w:pPr>
              <w:spacing w:before="40"/>
              <w:rPr>
                <w:sz w:val="16"/>
                <w:szCs w:val="16"/>
              </w:rPr>
            </w:pPr>
            <w:r w:rsidRPr="00940461">
              <w:rPr>
                <w:sz w:val="16"/>
                <w:szCs w:val="16"/>
              </w:rPr>
              <w:t>Laboratorio de protocolos turísticos frente al Covid-19</w:t>
            </w:r>
          </w:p>
        </w:tc>
        <w:tc>
          <w:tcPr>
            <w:tcW w:w="727" w:type="pct"/>
            <w:tcBorders>
              <w:top w:val="single" w:sz="4" w:space="0" w:color="auto"/>
              <w:left w:val="nil"/>
              <w:bottom w:val="single" w:sz="4" w:space="0" w:color="auto"/>
              <w:right w:val="nil"/>
            </w:tcBorders>
            <w:shd w:val="clear" w:color="auto" w:fill="auto"/>
            <w:vAlign w:val="center"/>
          </w:tcPr>
          <w:p w14:paraId="43F59650" w14:textId="7CDE6923" w:rsidR="000C37FA" w:rsidRPr="00940461" w:rsidRDefault="000C37FA" w:rsidP="000C37FA">
            <w:pPr>
              <w:jc w:val="right"/>
              <w:rPr>
                <w:sz w:val="16"/>
                <w:szCs w:val="16"/>
              </w:rPr>
            </w:pPr>
            <w:r w:rsidRPr="00940461">
              <w:rPr>
                <w:sz w:val="16"/>
                <w:szCs w:val="16"/>
              </w:rPr>
              <w:t>-</w:t>
            </w:r>
          </w:p>
        </w:tc>
        <w:tc>
          <w:tcPr>
            <w:tcW w:w="722" w:type="pct"/>
            <w:tcBorders>
              <w:top w:val="single" w:sz="4" w:space="0" w:color="auto"/>
              <w:left w:val="nil"/>
              <w:bottom w:val="single" w:sz="4" w:space="0" w:color="auto"/>
              <w:right w:val="nil"/>
            </w:tcBorders>
            <w:shd w:val="clear" w:color="auto" w:fill="auto"/>
            <w:vAlign w:val="center"/>
          </w:tcPr>
          <w:p w14:paraId="3F9454FA" w14:textId="37CBA6EB" w:rsidR="000C37FA" w:rsidRPr="00940461" w:rsidRDefault="000C37FA" w:rsidP="000C37FA">
            <w:pPr>
              <w:jc w:val="right"/>
              <w:rPr>
                <w:sz w:val="16"/>
                <w:szCs w:val="16"/>
              </w:rPr>
            </w:pPr>
            <w:r w:rsidRPr="00940461">
              <w:rPr>
                <w:sz w:val="16"/>
                <w:szCs w:val="16"/>
              </w:rPr>
              <w:t>800.000,00</w:t>
            </w:r>
          </w:p>
        </w:tc>
      </w:tr>
      <w:tr w:rsidR="000C37FA" w:rsidRPr="000E486B" w14:paraId="4C7075C4" w14:textId="77777777" w:rsidTr="00A4210A">
        <w:trPr>
          <w:trHeight w:val="283"/>
        </w:trPr>
        <w:tc>
          <w:tcPr>
            <w:tcW w:w="3551" w:type="pct"/>
            <w:tcBorders>
              <w:top w:val="single" w:sz="4" w:space="0" w:color="auto"/>
              <w:left w:val="nil"/>
              <w:bottom w:val="single" w:sz="4" w:space="0" w:color="auto"/>
              <w:right w:val="nil"/>
            </w:tcBorders>
            <w:shd w:val="clear" w:color="auto" w:fill="auto"/>
            <w:noWrap/>
            <w:vAlign w:val="center"/>
          </w:tcPr>
          <w:p w14:paraId="1D0F1420" w14:textId="77777777" w:rsidR="000C37FA" w:rsidRPr="00940461" w:rsidRDefault="000C37FA" w:rsidP="00A4210A">
            <w:pPr>
              <w:spacing w:before="40"/>
              <w:rPr>
                <w:sz w:val="16"/>
                <w:szCs w:val="16"/>
              </w:rPr>
            </w:pPr>
            <w:r w:rsidRPr="00940461">
              <w:rPr>
                <w:sz w:val="16"/>
                <w:szCs w:val="16"/>
              </w:rPr>
              <w:t xml:space="preserve">Consejería de Turismo, Industria y Comercio: </w:t>
            </w:r>
          </w:p>
          <w:p w14:paraId="0D992B24" w14:textId="6683C5F2" w:rsidR="000C37FA" w:rsidRPr="00940461" w:rsidRDefault="000C37FA" w:rsidP="00A4210A">
            <w:pPr>
              <w:spacing w:before="40"/>
              <w:rPr>
                <w:sz w:val="16"/>
                <w:szCs w:val="16"/>
              </w:rPr>
            </w:pPr>
            <w:r w:rsidRPr="00940461">
              <w:rPr>
                <w:sz w:val="16"/>
                <w:szCs w:val="16"/>
              </w:rPr>
              <w:t>Laboratorio de protocolos turísticos frente al Covid-19 - Ampliación</w:t>
            </w:r>
          </w:p>
        </w:tc>
        <w:tc>
          <w:tcPr>
            <w:tcW w:w="727" w:type="pct"/>
            <w:tcBorders>
              <w:top w:val="single" w:sz="4" w:space="0" w:color="auto"/>
              <w:left w:val="nil"/>
              <w:bottom w:val="single" w:sz="4" w:space="0" w:color="auto"/>
              <w:right w:val="nil"/>
            </w:tcBorders>
            <w:shd w:val="clear" w:color="auto" w:fill="auto"/>
            <w:vAlign w:val="center"/>
          </w:tcPr>
          <w:p w14:paraId="4818AC51" w14:textId="0B2CA623" w:rsidR="000C37FA" w:rsidRPr="00940461" w:rsidRDefault="000C37FA" w:rsidP="000C37F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940461">
              <w:rPr>
                <w:sz w:val="16"/>
                <w:szCs w:val="16"/>
              </w:rPr>
              <w:t>-</w:t>
            </w:r>
          </w:p>
        </w:tc>
        <w:tc>
          <w:tcPr>
            <w:tcW w:w="722" w:type="pct"/>
            <w:tcBorders>
              <w:top w:val="single" w:sz="4" w:space="0" w:color="auto"/>
              <w:left w:val="nil"/>
              <w:bottom w:val="single" w:sz="4" w:space="0" w:color="auto"/>
              <w:right w:val="nil"/>
            </w:tcBorders>
            <w:shd w:val="clear" w:color="auto" w:fill="auto"/>
            <w:vAlign w:val="center"/>
          </w:tcPr>
          <w:p w14:paraId="759767A7" w14:textId="318604F3" w:rsidR="000C37FA" w:rsidRPr="00940461" w:rsidRDefault="000C37FA" w:rsidP="000C37FA">
            <w:pPr>
              <w:jc w:val="right"/>
              <w:rPr>
                <w:sz w:val="16"/>
                <w:szCs w:val="16"/>
              </w:rPr>
            </w:pPr>
            <w:r w:rsidRPr="00940461">
              <w:rPr>
                <w:sz w:val="16"/>
                <w:szCs w:val="16"/>
              </w:rPr>
              <w:t>100.000,00</w:t>
            </w:r>
          </w:p>
        </w:tc>
      </w:tr>
      <w:tr w:rsidR="000C37FA" w:rsidRPr="000E486B" w14:paraId="354A0E26" w14:textId="77777777" w:rsidTr="00A4210A">
        <w:trPr>
          <w:trHeight w:val="283"/>
        </w:trPr>
        <w:tc>
          <w:tcPr>
            <w:tcW w:w="3551" w:type="pct"/>
            <w:tcBorders>
              <w:top w:val="single" w:sz="4" w:space="0" w:color="auto"/>
              <w:left w:val="nil"/>
              <w:bottom w:val="single" w:sz="4" w:space="0" w:color="auto"/>
              <w:right w:val="nil"/>
            </w:tcBorders>
            <w:shd w:val="clear" w:color="auto" w:fill="auto"/>
            <w:noWrap/>
            <w:vAlign w:val="center"/>
          </w:tcPr>
          <w:p w14:paraId="16CCBBA8" w14:textId="77777777" w:rsidR="000C37FA" w:rsidRPr="00940461" w:rsidRDefault="000C37FA" w:rsidP="00A4210A">
            <w:pPr>
              <w:spacing w:before="40"/>
              <w:rPr>
                <w:sz w:val="16"/>
                <w:szCs w:val="16"/>
              </w:rPr>
            </w:pPr>
            <w:r w:rsidRPr="00940461">
              <w:rPr>
                <w:sz w:val="16"/>
                <w:szCs w:val="16"/>
              </w:rPr>
              <w:t xml:space="preserve">Consejería de Turismo, Industria y Comercio: </w:t>
            </w:r>
          </w:p>
          <w:p w14:paraId="1162C309" w14:textId="4747DFB1" w:rsidR="000C37FA" w:rsidRPr="00940461" w:rsidRDefault="000C37FA" w:rsidP="00A4210A">
            <w:pPr>
              <w:spacing w:before="40"/>
              <w:rPr>
                <w:sz w:val="16"/>
                <w:szCs w:val="16"/>
              </w:rPr>
            </w:pPr>
            <w:r w:rsidRPr="00940461">
              <w:rPr>
                <w:sz w:val="16"/>
                <w:szCs w:val="16"/>
              </w:rPr>
              <w:t>Fomento de la conectividad aérea de las islas Canarias - Ampliación</w:t>
            </w:r>
          </w:p>
        </w:tc>
        <w:tc>
          <w:tcPr>
            <w:tcW w:w="727" w:type="pct"/>
            <w:tcBorders>
              <w:top w:val="single" w:sz="4" w:space="0" w:color="auto"/>
              <w:left w:val="nil"/>
              <w:bottom w:val="single" w:sz="4" w:space="0" w:color="auto"/>
              <w:right w:val="nil"/>
            </w:tcBorders>
            <w:shd w:val="clear" w:color="auto" w:fill="auto"/>
            <w:vAlign w:val="center"/>
          </w:tcPr>
          <w:p w14:paraId="14E0FA27" w14:textId="38D0CC54" w:rsidR="000C37FA" w:rsidRPr="00940461" w:rsidRDefault="000C37FA" w:rsidP="000C37FA">
            <w:pPr>
              <w:jc w:val="right"/>
              <w:rPr>
                <w:sz w:val="16"/>
                <w:szCs w:val="16"/>
              </w:rPr>
            </w:pPr>
            <w:r w:rsidRPr="00940461">
              <w:rPr>
                <w:sz w:val="16"/>
                <w:szCs w:val="16"/>
              </w:rPr>
              <w:t>601.380,36</w:t>
            </w:r>
          </w:p>
        </w:tc>
        <w:tc>
          <w:tcPr>
            <w:tcW w:w="722" w:type="pct"/>
            <w:tcBorders>
              <w:top w:val="single" w:sz="4" w:space="0" w:color="auto"/>
              <w:left w:val="nil"/>
              <w:bottom w:val="single" w:sz="4" w:space="0" w:color="auto"/>
              <w:right w:val="nil"/>
            </w:tcBorders>
            <w:shd w:val="clear" w:color="auto" w:fill="auto"/>
            <w:vAlign w:val="center"/>
          </w:tcPr>
          <w:p w14:paraId="15E96165" w14:textId="2F67BD89" w:rsidR="000C37FA" w:rsidRPr="00940461" w:rsidRDefault="000C37FA" w:rsidP="000C37FA">
            <w:pPr>
              <w:jc w:val="right"/>
              <w:rPr>
                <w:sz w:val="16"/>
                <w:szCs w:val="16"/>
              </w:rPr>
            </w:pPr>
            <w:r w:rsidRPr="00940461">
              <w:rPr>
                <w:sz w:val="16"/>
                <w:szCs w:val="16"/>
              </w:rPr>
              <w:t>313.619,64</w:t>
            </w:r>
          </w:p>
        </w:tc>
      </w:tr>
      <w:tr w:rsidR="000C37FA" w:rsidRPr="000E486B" w14:paraId="3651A3D3"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3A7C0D4E" w14:textId="77777777" w:rsidR="000C37FA" w:rsidRPr="00940461" w:rsidRDefault="000C37FA" w:rsidP="000C37FA">
            <w:pPr>
              <w:spacing w:before="40"/>
              <w:rPr>
                <w:sz w:val="16"/>
                <w:szCs w:val="16"/>
              </w:rPr>
            </w:pPr>
            <w:r w:rsidRPr="00940461">
              <w:rPr>
                <w:sz w:val="16"/>
                <w:szCs w:val="16"/>
              </w:rPr>
              <w:t xml:space="preserve">Consejería de Turismo, Industria y Comercio: </w:t>
            </w:r>
          </w:p>
          <w:p w14:paraId="750D92F4" w14:textId="44173876" w:rsidR="000C37FA" w:rsidRPr="00940461" w:rsidRDefault="000C37FA" w:rsidP="000C37FA">
            <w:pPr>
              <w:spacing w:before="40"/>
              <w:rPr>
                <w:sz w:val="16"/>
                <w:szCs w:val="16"/>
              </w:rPr>
            </w:pPr>
            <w:r w:rsidRPr="00940461">
              <w:rPr>
                <w:sz w:val="16"/>
                <w:szCs w:val="16"/>
              </w:rPr>
              <w:t>Plan de digitalización (para paliar los efectos de la quiebra de Thomas Cook)</w:t>
            </w:r>
          </w:p>
        </w:tc>
        <w:tc>
          <w:tcPr>
            <w:tcW w:w="727" w:type="pct"/>
            <w:tcBorders>
              <w:top w:val="single" w:sz="4" w:space="0" w:color="auto"/>
              <w:left w:val="nil"/>
              <w:bottom w:val="single" w:sz="4" w:space="0" w:color="auto"/>
              <w:right w:val="nil"/>
            </w:tcBorders>
            <w:shd w:val="clear" w:color="auto" w:fill="auto"/>
            <w:vAlign w:val="center"/>
          </w:tcPr>
          <w:p w14:paraId="24CBA1F7" w14:textId="5EEE5DD7" w:rsidR="000C37FA" w:rsidRPr="00940461" w:rsidRDefault="000C37FA" w:rsidP="000C37FA">
            <w:pPr>
              <w:jc w:val="right"/>
              <w:rPr>
                <w:sz w:val="16"/>
                <w:szCs w:val="16"/>
              </w:rPr>
            </w:pPr>
            <w:r w:rsidRPr="00940461">
              <w:rPr>
                <w:sz w:val="16"/>
                <w:szCs w:val="16"/>
              </w:rPr>
              <w:t>-</w:t>
            </w:r>
          </w:p>
        </w:tc>
        <w:tc>
          <w:tcPr>
            <w:tcW w:w="722" w:type="pct"/>
            <w:tcBorders>
              <w:top w:val="single" w:sz="4" w:space="0" w:color="auto"/>
              <w:left w:val="nil"/>
              <w:bottom w:val="single" w:sz="4" w:space="0" w:color="auto"/>
              <w:right w:val="nil"/>
            </w:tcBorders>
            <w:shd w:val="clear" w:color="auto" w:fill="auto"/>
            <w:vAlign w:val="center"/>
          </w:tcPr>
          <w:p w14:paraId="33113601" w14:textId="13A0F3AC" w:rsidR="000C37FA" w:rsidRPr="00940461" w:rsidRDefault="000C37FA" w:rsidP="000C37FA">
            <w:pPr>
              <w:jc w:val="right"/>
              <w:rPr>
                <w:sz w:val="16"/>
                <w:szCs w:val="16"/>
              </w:rPr>
            </w:pPr>
            <w:r w:rsidRPr="00940461">
              <w:rPr>
                <w:sz w:val="16"/>
                <w:szCs w:val="16"/>
              </w:rPr>
              <w:t>81.577,88</w:t>
            </w:r>
          </w:p>
        </w:tc>
      </w:tr>
      <w:tr w:rsidR="000C37FA" w:rsidRPr="000E486B" w14:paraId="013C7BD4"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3A76D18E" w14:textId="77777777" w:rsidR="000C37FA" w:rsidRPr="00940461" w:rsidRDefault="000C37FA" w:rsidP="000C37FA">
            <w:pPr>
              <w:spacing w:before="40"/>
              <w:rPr>
                <w:sz w:val="16"/>
                <w:szCs w:val="16"/>
              </w:rPr>
            </w:pPr>
            <w:r w:rsidRPr="00940461">
              <w:rPr>
                <w:sz w:val="16"/>
                <w:szCs w:val="16"/>
              </w:rPr>
              <w:t xml:space="preserve">Consejería de Turismo, Industria y Comercio: </w:t>
            </w:r>
          </w:p>
          <w:p w14:paraId="750698DC" w14:textId="7B51FB17" w:rsidR="000C37FA" w:rsidRPr="00940461" w:rsidRDefault="000C37FA" w:rsidP="000C37FA">
            <w:pPr>
              <w:spacing w:before="40"/>
              <w:rPr>
                <w:sz w:val="16"/>
                <w:szCs w:val="16"/>
              </w:rPr>
            </w:pPr>
            <w:r w:rsidRPr="00940461">
              <w:rPr>
                <w:sz w:val="16"/>
                <w:szCs w:val="16"/>
              </w:rPr>
              <w:t>Desarrollo de acciones para paliar los efectos de la quiebra de Thomas Cook</w:t>
            </w:r>
          </w:p>
        </w:tc>
        <w:tc>
          <w:tcPr>
            <w:tcW w:w="727" w:type="pct"/>
            <w:tcBorders>
              <w:top w:val="single" w:sz="4" w:space="0" w:color="auto"/>
              <w:left w:val="nil"/>
              <w:bottom w:val="single" w:sz="4" w:space="0" w:color="auto"/>
              <w:right w:val="nil"/>
            </w:tcBorders>
            <w:shd w:val="clear" w:color="auto" w:fill="auto"/>
            <w:vAlign w:val="center"/>
          </w:tcPr>
          <w:p w14:paraId="19232D81" w14:textId="7F44A1A9" w:rsidR="000C37FA" w:rsidRPr="00940461" w:rsidRDefault="000C37FA" w:rsidP="000C37F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940461">
              <w:rPr>
                <w:sz w:val="16"/>
                <w:szCs w:val="16"/>
              </w:rPr>
              <w:t>2.998.677,12</w:t>
            </w:r>
          </w:p>
        </w:tc>
        <w:tc>
          <w:tcPr>
            <w:tcW w:w="722" w:type="pct"/>
            <w:tcBorders>
              <w:top w:val="single" w:sz="4" w:space="0" w:color="auto"/>
              <w:left w:val="nil"/>
              <w:bottom w:val="single" w:sz="4" w:space="0" w:color="auto"/>
              <w:right w:val="nil"/>
            </w:tcBorders>
            <w:shd w:val="clear" w:color="auto" w:fill="auto"/>
            <w:vAlign w:val="center"/>
          </w:tcPr>
          <w:p w14:paraId="759571D2" w14:textId="6026E3A2" w:rsidR="000C37FA" w:rsidRPr="00940461" w:rsidRDefault="000C37FA" w:rsidP="000C37FA">
            <w:pPr>
              <w:jc w:val="right"/>
              <w:rPr>
                <w:sz w:val="16"/>
                <w:szCs w:val="16"/>
              </w:rPr>
            </w:pPr>
            <w:r w:rsidRPr="00940461">
              <w:rPr>
                <w:sz w:val="16"/>
                <w:szCs w:val="16"/>
              </w:rPr>
              <w:t>797.741,92</w:t>
            </w:r>
          </w:p>
        </w:tc>
      </w:tr>
      <w:tr w:rsidR="000C37FA" w:rsidRPr="000E486B" w14:paraId="6C7852A1"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385D9E24" w14:textId="77777777" w:rsidR="00954AA6" w:rsidRDefault="000C37FA"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sz w:val="16"/>
                <w:szCs w:val="16"/>
              </w:rPr>
            </w:pPr>
            <w:r w:rsidRPr="00940461">
              <w:rPr>
                <w:sz w:val="16"/>
                <w:szCs w:val="16"/>
              </w:rPr>
              <w:t xml:space="preserve">Consejería de Turismo, Industria y Comercio: </w:t>
            </w:r>
          </w:p>
          <w:p w14:paraId="08673548" w14:textId="6C37EBCA" w:rsidR="000C37FA" w:rsidRPr="00940461" w:rsidRDefault="000C37FA"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sz w:val="16"/>
                <w:szCs w:val="16"/>
              </w:rPr>
            </w:pPr>
            <w:r w:rsidRPr="00940461">
              <w:rPr>
                <w:sz w:val="16"/>
                <w:szCs w:val="16"/>
              </w:rPr>
              <w:t>Plan de dinamización turística del norte de La Gomera</w:t>
            </w:r>
          </w:p>
        </w:tc>
        <w:tc>
          <w:tcPr>
            <w:tcW w:w="727" w:type="pct"/>
            <w:tcBorders>
              <w:top w:val="single" w:sz="4" w:space="0" w:color="auto"/>
              <w:left w:val="nil"/>
              <w:bottom w:val="single" w:sz="4" w:space="0" w:color="auto"/>
              <w:right w:val="nil"/>
            </w:tcBorders>
            <w:shd w:val="clear" w:color="auto" w:fill="auto"/>
            <w:vAlign w:val="center"/>
          </w:tcPr>
          <w:p w14:paraId="7A73C6A6" w14:textId="40778B0E" w:rsidR="000C37FA" w:rsidRPr="00940461" w:rsidRDefault="000C37FA" w:rsidP="000C37FA">
            <w:pPr>
              <w:jc w:val="right"/>
              <w:rPr>
                <w:sz w:val="16"/>
                <w:szCs w:val="16"/>
              </w:rPr>
            </w:pPr>
            <w:r w:rsidRPr="00940461">
              <w:rPr>
                <w:sz w:val="16"/>
                <w:szCs w:val="16"/>
              </w:rPr>
              <w:t>-</w:t>
            </w:r>
          </w:p>
        </w:tc>
        <w:tc>
          <w:tcPr>
            <w:tcW w:w="722" w:type="pct"/>
            <w:tcBorders>
              <w:top w:val="single" w:sz="4" w:space="0" w:color="auto"/>
              <w:left w:val="nil"/>
              <w:bottom w:val="single" w:sz="4" w:space="0" w:color="auto"/>
              <w:right w:val="nil"/>
            </w:tcBorders>
            <w:shd w:val="clear" w:color="auto" w:fill="auto"/>
            <w:vAlign w:val="center"/>
          </w:tcPr>
          <w:p w14:paraId="4698BC30" w14:textId="3D24D5D6" w:rsidR="000C37FA" w:rsidRPr="00940461" w:rsidRDefault="000C37FA" w:rsidP="000C37FA">
            <w:pPr>
              <w:jc w:val="right"/>
              <w:rPr>
                <w:sz w:val="16"/>
                <w:szCs w:val="16"/>
              </w:rPr>
            </w:pPr>
            <w:r w:rsidRPr="00940461">
              <w:rPr>
                <w:sz w:val="16"/>
                <w:szCs w:val="16"/>
              </w:rPr>
              <w:t>160.038,50</w:t>
            </w:r>
          </w:p>
        </w:tc>
      </w:tr>
      <w:tr w:rsidR="000C37FA" w:rsidRPr="000E486B" w14:paraId="703C422A" w14:textId="77777777" w:rsidTr="00940461">
        <w:trPr>
          <w:trHeight w:val="170"/>
        </w:trPr>
        <w:tc>
          <w:tcPr>
            <w:tcW w:w="3551" w:type="pct"/>
            <w:tcBorders>
              <w:top w:val="single" w:sz="4" w:space="0" w:color="auto"/>
              <w:left w:val="nil"/>
              <w:bottom w:val="single" w:sz="4" w:space="0" w:color="auto"/>
              <w:right w:val="nil"/>
            </w:tcBorders>
            <w:shd w:val="clear" w:color="auto" w:fill="auto"/>
            <w:noWrap/>
            <w:vAlign w:val="center"/>
          </w:tcPr>
          <w:p w14:paraId="6822D1EB" w14:textId="77777777" w:rsidR="00954AA6" w:rsidRDefault="000C37FA" w:rsidP="00940461">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sidRPr="00940461">
              <w:rPr>
                <w:sz w:val="16"/>
                <w:szCs w:val="16"/>
              </w:rPr>
              <w:t xml:space="preserve">Consejería de Turismo, Cultura y Deportes: </w:t>
            </w:r>
          </w:p>
          <w:p w14:paraId="74876481" w14:textId="7A88AB5C" w:rsidR="000C37FA" w:rsidRPr="00940461" w:rsidRDefault="000C37FA" w:rsidP="0094046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940461">
              <w:rPr>
                <w:sz w:val="16"/>
                <w:szCs w:val="16"/>
              </w:rPr>
              <w:t>para un plan de dinamización turística del norte de La Gomera - Ampliación</w:t>
            </w:r>
          </w:p>
        </w:tc>
        <w:tc>
          <w:tcPr>
            <w:tcW w:w="727" w:type="pct"/>
            <w:tcBorders>
              <w:top w:val="single" w:sz="4" w:space="0" w:color="auto"/>
              <w:left w:val="nil"/>
              <w:bottom w:val="single" w:sz="4" w:space="0" w:color="auto"/>
              <w:right w:val="nil"/>
            </w:tcBorders>
            <w:shd w:val="clear" w:color="auto" w:fill="auto"/>
            <w:vAlign w:val="center"/>
          </w:tcPr>
          <w:p w14:paraId="092798A9" w14:textId="781C1F54" w:rsidR="000C37FA" w:rsidRPr="00940461" w:rsidRDefault="000C37FA" w:rsidP="000C37FA">
            <w:pPr>
              <w:jc w:val="right"/>
              <w:rPr>
                <w:sz w:val="16"/>
                <w:szCs w:val="16"/>
              </w:rPr>
            </w:pPr>
            <w:r w:rsidRPr="00940461">
              <w:rPr>
                <w:sz w:val="16"/>
                <w:szCs w:val="16"/>
              </w:rPr>
              <w:t>206.989,68</w:t>
            </w:r>
          </w:p>
        </w:tc>
        <w:tc>
          <w:tcPr>
            <w:tcW w:w="722" w:type="pct"/>
            <w:tcBorders>
              <w:top w:val="single" w:sz="4" w:space="0" w:color="auto"/>
              <w:left w:val="nil"/>
              <w:bottom w:val="single" w:sz="4" w:space="0" w:color="auto"/>
              <w:right w:val="nil"/>
            </w:tcBorders>
            <w:shd w:val="clear" w:color="auto" w:fill="auto"/>
            <w:vAlign w:val="center"/>
          </w:tcPr>
          <w:p w14:paraId="4F183F2B" w14:textId="69EAD9CA" w:rsidR="000C37FA" w:rsidRPr="00940461" w:rsidRDefault="000C37FA" w:rsidP="000C37FA">
            <w:pPr>
              <w:jc w:val="right"/>
              <w:rPr>
                <w:sz w:val="16"/>
                <w:szCs w:val="16"/>
              </w:rPr>
            </w:pPr>
            <w:r w:rsidRPr="00940461">
              <w:rPr>
                <w:sz w:val="16"/>
                <w:szCs w:val="16"/>
              </w:rPr>
              <w:t xml:space="preserve"> -</w:t>
            </w:r>
          </w:p>
        </w:tc>
      </w:tr>
      <w:tr w:rsidR="000C37FA" w:rsidRPr="000E486B" w14:paraId="331CF7C9" w14:textId="77777777" w:rsidTr="00940461">
        <w:trPr>
          <w:trHeight w:val="170"/>
        </w:trPr>
        <w:tc>
          <w:tcPr>
            <w:tcW w:w="3551" w:type="pct"/>
            <w:tcBorders>
              <w:top w:val="single" w:sz="4" w:space="0" w:color="auto"/>
              <w:left w:val="nil"/>
              <w:bottom w:val="single" w:sz="4" w:space="0" w:color="auto"/>
              <w:right w:val="nil"/>
            </w:tcBorders>
            <w:shd w:val="clear" w:color="auto" w:fill="auto"/>
            <w:noWrap/>
            <w:vAlign w:val="center"/>
          </w:tcPr>
          <w:p w14:paraId="0903FDA2" w14:textId="77777777" w:rsidR="00954AA6" w:rsidRDefault="000C37FA" w:rsidP="000C37FA">
            <w:pPr>
              <w:spacing w:before="40"/>
              <w:rPr>
                <w:sz w:val="16"/>
                <w:szCs w:val="16"/>
              </w:rPr>
            </w:pPr>
            <w:r w:rsidRPr="00940461">
              <w:rPr>
                <w:sz w:val="16"/>
                <w:szCs w:val="16"/>
              </w:rPr>
              <w:t xml:space="preserve">Consejería de Turismo, Industria y Comercio: </w:t>
            </w:r>
          </w:p>
          <w:p w14:paraId="5F06D87B" w14:textId="1ADC1AFC" w:rsidR="000C37FA" w:rsidRPr="00940461" w:rsidRDefault="000C37FA" w:rsidP="000C37FA">
            <w:pPr>
              <w:spacing w:before="40"/>
              <w:rPr>
                <w:sz w:val="16"/>
                <w:szCs w:val="16"/>
              </w:rPr>
            </w:pPr>
            <w:r w:rsidRPr="00940461">
              <w:rPr>
                <w:sz w:val="16"/>
                <w:szCs w:val="16"/>
              </w:rPr>
              <w:t>Contratación del personal necesario para actuar como entidad colaboradora en el cumplimiento de los objetivos del proyecto Canarias Fortaleza</w:t>
            </w:r>
          </w:p>
        </w:tc>
        <w:tc>
          <w:tcPr>
            <w:tcW w:w="727" w:type="pct"/>
            <w:tcBorders>
              <w:top w:val="single" w:sz="4" w:space="0" w:color="auto"/>
              <w:left w:val="nil"/>
              <w:bottom w:val="single" w:sz="4" w:space="0" w:color="auto"/>
              <w:right w:val="nil"/>
            </w:tcBorders>
            <w:shd w:val="clear" w:color="auto" w:fill="auto"/>
            <w:vAlign w:val="center"/>
          </w:tcPr>
          <w:p w14:paraId="24ABD967" w14:textId="4898C7D6" w:rsidR="000C37FA" w:rsidRPr="00940461" w:rsidRDefault="000C37FA" w:rsidP="000C37F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940461">
              <w:rPr>
                <w:sz w:val="16"/>
                <w:szCs w:val="16"/>
              </w:rPr>
              <w:t>-</w:t>
            </w:r>
          </w:p>
        </w:tc>
        <w:tc>
          <w:tcPr>
            <w:tcW w:w="722" w:type="pct"/>
            <w:tcBorders>
              <w:top w:val="single" w:sz="4" w:space="0" w:color="auto"/>
              <w:left w:val="nil"/>
              <w:bottom w:val="single" w:sz="4" w:space="0" w:color="auto"/>
              <w:right w:val="nil"/>
            </w:tcBorders>
            <w:shd w:val="clear" w:color="auto" w:fill="auto"/>
            <w:vAlign w:val="center"/>
          </w:tcPr>
          <w:p w14:paraId="6FBFFB6A" w14:textId="68FF2641" w:rsidR="000C37FA" w:rsidRPr="00940461" w:rsidRDefault="000C37FA" w:rsidP="000C37FA">
            <w:pPr>
              <w:jc w:val="right"/>
              <w:rPr>
                <w:sz w:val="16"/>
                <w:szCs w:val="16"/>
              </w:rPr>
            </w:pPr>
            <w:r w:rsidRPr="00940461">
              <w:rPr>
                <w:sz w:val="16"/>
                <w:szCs w:val="16"/>
              </w:rPr>
              <w:t>21.893,89</w:t>
            </w:r>
          </w:p>
        </w:tc>
      </w:tr>
      <w:tr w:rsidR="000C37FA" w:rsidRPr="000E486B" w14:paraId="3CD938D1" w14:textId="77777777" w:rsidTr="00940461">
        <w:trPr>
          <w:trHeight w:val="170"/>
        </w:trPr>
        <w:tc>
          <w:tcPr>
            <w:tcW w:w="3551" w:type="pct"/>
            <w:tcBorders>
              <w:top w:val="single" w:sz="4" w:space="0" w:color="auto"/>
              <w:left w:val="nil"/>
              <w:bottom w:val="single" w:sz="4" w:space="0" w:color="auto"/>
              <w:right w:val="nil"/>
            </w:tcBorders>
            <w:shd w:val="clear" w:color="auto" w:fill="auto"/>
            <w:noWrap/>
            <w:vAlign w:val="center"/>
          </w:tcPr>
          <w:p w14:paraId="3C0DB085" w14:textId="77777777" w:rsidR="00954AA6" w:rsidRDefault="000C37FA" w:rsidP="00940461">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sidRPr="00940461">
              <w:rPr>
                <w:sz w:val="16"/>
                <w:szCs w:val="16"/>
              </w:rPr>
              <w:t xml:space="preserve">Consejería de Turismo, Cultura y Deportes: </w:t>
            </w:r>
          </w:p>
          <w:p w14:paraId="795AB19C" w14:textId="7925D949" w:rsidR="000C37FA" w:rsidRPr="00940461" w:rsidRDefault="000C37FA" w:rsidP="0094046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940461">
              <w:rPr>
                <w:sz w:val="16"/>
                <w:szCs w:val="16"/>
              </w:rPr>
              <w:t>para el fomento de la conectividad aérea y paliar los efectos del caso Thomas Cook</w:t>
            </w:r>
          </w:p>
        </w:tc>
        <w:tc>
          <w:tcPr>
            <w:tcW w:w="727" w:type="pct"/>
            <w:tcBorders>
              <w:top w:val="single" w:sz="4" w:space="0" w:color="auto"/>
              <w:left w:val="nil"/>
              <w:bottom w:val="single" w:sz="4" w:space="0" w:color="auto"/>
              <w:right w:val="nil"/>
            </w:tcBorders>
            <w:shd w:val="clear" w:color="auto" w:fill="auto"/>
            <w:vAlign w:val="center"/>
          </w:tcPr>
          <w:p w14:paraId="275C947A" w14:textId="02545916" w:rsidR="000C37FA" w:rsidRPr="00940461" w:rsidRDefault="000C37FA" w:rsidP="000C37FA">
            <w:pPr>
              <w:jc w:val="right"/>
              <w:rPr>
                <w:sz w:val="16"/>
                <w:szCs w:val="16"/>
              </w:rPr>
            </w:pPr>
            <w:r w:rsidRPr="00940461">
              <w:rPr>
                <w:sz w:val="16"/>
                <w:szCs w:val="16"/>
              </w:rPr>
              <w:t>74.814,40</w:t>
            </w:r>
          </w:p>
        </w:tc>
        <w:tc>
          <w:tcPr>
            <w:tcW w:w="722" w:type="pct"/>
            <w:tcBorders>
              <w:top w:val="single" w:sz="4" w:space="0" w:color="auto"/>
              <w:left w:val="nil"/>
              <w:bottom w:val="single" w:sz="4" w:space="0" w:color="auto"/>
              <w:right w:val="nil"/>
            </w:tcBorders>
            <w:shd w:val="clear" w:color="auto" w:fill="auto"/>
            <w:vAlign w:val="center"/>
          </w:tcPr>
          <w:p w14:paraId="25B8C7E4" w14:textId="78EA4D6C" w:rsidR="000C37FA" w:rsidRPr="00940461" w:rsidRDefault="000C37FA" w:rsidP="000C37FA">
            <w:pPr>
              <w:jc w:val="right"/>
              <w:rPr>
                <w:sz w:val="16"/>
                <w:szCs w:val="16"/>
              </w:rPr>
            </w:pPr>
            <w:r w:rsidRPr="00940461">
              <w:rPr>
                <w:sz w:val="16"/>
                <w:szCs w:val="16"/>
              </w:rPr>
              <w:t xml:space="preserve"> -</w:t>
            </w:r>
          </w:p>
        </w:tc>
      </w:tr>
      <w:tr w:rsidR="000C37FA" w:rsidRPr="000E486B" w14:paraId="19C2C4B4" w14:textId="77777777" w:rsidTr="00940461">
        <w:trPr>
          <w:trHeight w:val="170"/>
        </w:trPr>
        <w:tc>
          <w:tcPr>
            <w:tcW w:w="3551" w:type="pct"/>
            <w:tcBorders>
              <w:top w:val="single" w:sz="4" w:space="0" w:color="auto"/>
              <w:left w:val="nil"/>
              <w:bottom w:val="single" w:sz="4" w:space="0" w:color="auto"/>
              <w:right w:val="nil"/>
            </w:tcBorders>
            <w:shd w:val="clear" w:color="auto" w:fill="auto"/>
            <w:noWrap/>
            <w:vAlign w:val="center"/>
          </w:tcPr>
          <w:p w14:paraId="61CE5111" w14:textId="77777777" w:rsidR="00954AA6" w:rsidRDefault="000C37FA" w:rsidP="00940461">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sidRPr="00940461">
              <w:rPr>
                <w:sz w:val="16"/>
                <w:szCs w:val="16"/>
              </w:rPr>
              <w:t xml:space="preserve">Consejería de Turismo, Cultura y Deportes: </w:t>
            </w:r>
          </w:p>
          <w:p w14:paraId="4B982E48" w14:textId="7439A07A" w:rsidR="000C37FA" w:rsidRPr="00940461" w:rsidRDefault="000C37FA" w:rsidP="0094046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940461">
              <w:rPr>
                <w:sz w:val="16"/>
                <w:szCs w:val="16"/>
              </w:rPr>
              <w:t>Patrocinio de eventos (para paliar los efectos del caso Thomas Cook)</w:t>
            </w:r>
          </w:p>
        </w:tc>
        <w:tc>
          <w:tcPr>
            <w:tcW w:w="727" w:type="pct"/>
            <w:tcBorders>
              <w:top w:val="single" w:sz="4" w:space="0" w:color="auto"/>
              <w:left w:val="nil"/>
              <w:bottom w:val="single" w:sz="4" w:space="0" w:color="auto"/>
              <w:right w:val="nil"/>
            </w:tcBorders>
            <w:shd w:val="clear" w:color="auto" w:fill="auto"/>
            <w:vAlign w:val="center"/>
          </w:tcPr>
          <w:p w14:paraId="2834611E" w14:textId="52C1C759" w:rsidR="000C37FA" w:rsidRPr="00940461" w:rsidRDefault="000C37FA" w:rsidP="000C37FA">
            <w:pPr>
              <w:jc w:val="right"/>
              <w:rPr>
                <w:sz w:val="16"/>
                <w:szCs w:val="16"/>
              </w:rPr>
            </w:pPr>
            <w:r w:rsidRPr="00940461">
              <w:rPr>
                <w:sz w:val="16"/>
                <w:szCs w:val="16"/>
              </w:rPr>
              <w:t>589.098,31</w:t>
            </w:r>
          </w:p>
        </w:tc>
        <w:tc>
          <w:tcPr>
            <w:tcW w:w="722" w:type="pct"/>
            <w:tcBorders>
              <w:top w:val="single" w:sz="4" w:space="0" w:color="auto"/>
              <w:left w:val="nil"/>
              <w:bottom w:val="single" w:sz="4" w:space="0" w:color="auto"/>
              <w:right w:val="nil"/>
            </w:tcBorders>
            <w:shd w:val="clear" w:color="auto" w:fill="auto"/>
            <w:vAlign w:val="center"/>
          </w:tcPr>
          <w:p w14:paraId="7C7E7105" w14:textId="6F09733A" w:rsidR="000C37FA" w:rsidRPr="00940461" w:rsidRDefault="000C37FA" w:rsidP="000C37FA">
            <w:pPr>
              <w:jc w:val="right"/>
              <w:rPr>
                <w:sz w:val="16"/>
                <w:szCs w:val="16"/>
              </w:rPr>
            </w:pPr>
            <w:r w:rsidRPr="00940461">
              <w:rPr>
                <w:sz w:val="16"/>
                <w:szCs w:val="16"/>
              </w:rPr>
              <w:t xml:space="preserve"> -</w:t>
            </w:r>
          </w:p>
        </w:tc>
      </w:tr>
      <w:tr w:rsidR="00940461" w:rsidRPr="000E486B" w14:paraId="2208C0EC" w14:textId="77777777" w:rsidTr="00940461">
        <w:trPr>
          <w:trHeight w:val="170"/>
        </w:trPr>
        <w:tc>
          <w:tcPr>
            <w:tcW w:w="3551" w:type="pct"/>
            <w:tcBorders>
              <w:top w:val="single" w:sz="4" w:space="0" w:color="auto"/>
              <w:left w:val="nil"/>
              <w:bottom w:val="single" w:sz="4" w:space="0" w:color="auto"/>
              <w:right w:val="nil"/>
            </w:tcBorders>
            <w:shd w:val="clear" w:color="auto" w:fill="auto"/>
            <w:noWrap/>
            <w:vAlign w:val="center"/>
          </w:tcPr>
          <w:p w14:paraId="49F7D40C" w14:textId="77777777" w:rsidR="00954AA6"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sz w:val="16"/>
                <w:szCs w:val="16"/>
              </w:rPr>
            </w:pPr>
            <w:r w:rsidRPr="00940461">
              <w:rPr>
                <w:sz w:val="16"/>
                <w:szCs w:val="16"/>
              </w:rPr>
              <w:t xml:space="preserve">Consejería de Turismo, Cultura y Deportes: </w:t>
            </w:r>
          </w:p>
          <w:p w14:paraId="566D548E" w14:textId="4308F6FB" w:rsidR="00940461" w:rsidRPr="00940461"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rFonts w:eastAsia="Times New Roman"/>
                <w:sz w:val="16"/>
                <w:szCs w:val="16"/>
                <w:bdr w:val="none" w:sz="0" w:space="0" w:color="auto"/>
                <w:lang w:eastAsia="es-ES"/>
              </w:rPr>
            </w:pPr>
            <w:r w:rsidRPr="00940461">
              <w:rPr>
                <w:sz w:val="16"/>
                <w:szCs w:val="16"/>
              </w:rPr>
              <w:t>para la promoción de la red museística de Canarias</w:t>
            </w:r>
          </w:p>
        </w:tc>
        <w:tc>
          <w:tcPr>
            <w:tcW w:w="727" w:type="pct"/>
            <w:tcBorders>
              <w:top w:val="single" w:sz="4" w:space="0" w:color="auto"/>
              <w:left w:val="nil"/>
              <w:bottom w:val="single" w:sz="4" w:space="0" w:color="auto"/>
              <w:right w:val="nil"/>
            </w:tcBorders>
            <w:shd w:val="clear" w:color="auto" w:fill="auto"/>
            <w:vAlign w:val="center"/>
          </w:tcPr>
          <w:p w14:paraId="3B519CE2" w14:textId="2FB5A851" w:rsidR="00940461" w:rsidRPr="00940461" w:rsidRDefault="00940461" w:rsidP="00940461">
            <w:pPr>
              <w:jc w:val="right"/>
              <w:rPr>
                <w:sz w:val="16"/>
                <w:szCs w:val="16"/>
              </w:rPr>
            </w:pPr>
            <w:r w:rsidRPr="00940461">
              <w:rPr>
                <w:sz w:val="16"/>
                <w:szCs w:val="16"/>
              </w:rPr>
              <w:t>89.045,47</w:t>
            </w:r>
          </w:p>
        </w:tc>
        <w:tc>
          <w:tcPr>
            <w:tcW w:w="722" w:type="pct"/>
            <w:tcBorders>
              <w:top w:val="single" w:sz="4" w:space="0" w:color="auto"/>
              <w:left w:val="nil"/>
              <w:bottom w:val="single" w:sz="4" w:space="0" w:color="auto"/>
              <w:right w:val="nil"/>
            </w:tcBorders>
            <w:shd w:val="clear" w:color="auto" w:fill="auto"/>
            <w:vAlign w:val="center"/>
          </w:tcPr>
          <w:p w14:paraId="44FC6703" w14:textId="77777777" w:rsidR="00940461" w:rsidRPr="00940461" w:rsidRDefault="00940461" w:rsidP="00940461">
            <w:pPr>
              <w:jc w:val="right"/>
              <w:rPr>
                <w:sz w:val="16"/>
                <w:szCs w:val="16"/>
              </w:rPr>
            </w:pPr>
          </w:p>
        </w:tc>
      </w:tr>
      <w:tr w:rsidR="00940461" w:rsidRPr="000E486B" w14:paraId="191244C1" w14:textId="77777777" w:rsidTr="00940461">
        <w:trPr>
          <w:trHeight w:val="170"/>
        </w:trPr>
        <w:tc>
          <w:tcPr>
            <w:tcW w:w="3551" w:type="pct"/>
            <w:tcBorders>
              <w:top w:val="single" w:sz="4" w:space="0" w:color="auto"/>
              <w:left w:val="nil"/>
              <w:bottom w:val="single" w:sz="4" w:space="0" w:color="auto"/>
              <w:right w:val="nil"/>
            </w:tcBorders>
            <w:shd w:val="clear" w:color="auto" w:fill="auto"/>
            <w:noWrap/>
            <w:vAlign w:val="center"/>
          </w:tcPr>
          <w:p w14:paraId="5596DC01" w14:textId="77777777" w:rsidR="00954AA6"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sz w:val="16"/>
                <w:szCs w:val="16"/>
              </w:rPr>
            </w:pPr>
            <w:r w:rsidRPr="00940461">
              <w:rPr>
                <w:sz w:val="16"/>
                <w:szCs w:val="16"/>
              </w:rPr>
              <w:t xml:space="preserve">Consejería de Turismo, Industria y Comercio: </w:t>
            </w:r>
          </w:p>
          <w:p w14:paraId="5E3984BB" w14:textId="438EBA88" w:rsidR="00940461" w:rsidRPr="00940461"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rFonts w:eastAsia="Times New Roman"/>
                <w:sz w:val="16"/>
                <w:szCs w:val="16"/>
                <w:bdr w:val="none" w:sz="0" w:space="0" w:color="auto"/>
                <w:lang w:eastAsia="es-ES"/>
              </w:rPr>
            </w:pPr>
            <w:r w:rsidRPr="00940461">
              <w:rPr>
                <w:sz w:val="16"/>
                <w:szCs w:val="16"/>
              </w:rPr>
              <w:t>para plan de digitalización turística del sector</w:t>
            </w:r>
          </w:p>
        </w:tc>
        <w:tc>
          <w:tcPr>
            <w:tcW w:w="727" w:type="pct"/>
            <w:tcBorders>
              <w:top w:val="single" w:sz="4" w:space="0" w:color="auto"/>
              <w:left w:val="nil"/>
              <w:bottom w:val="single" w:sz="4" w:space="0" w:color="auto"/>
              <w:right w:val="nil"/>
            </w:tcBorders>
            <w:shd w:val="clear" w:color="auto" w:fill="auto"/>
            <w:vAlign w:val="center"/>
          </w:tcPr>
          <w:p w14:paraId="5FA5EA1A" w14:textId="6706F874" w:rsidR="00940461" w:rsidRPr="00940461" w:rsidRDefault="00940461" w:rsidP="00940461">
            <w:pPr>
              <w:jc w:val="right"/>
              <w:rPr>
                <w:sz w:val="16"/>
                <w:szCs w:val="16"/>
              </w:rPr>
            </w:pPr>
            <w:r w:rsidRPr="00940461">
              <w:rPr>
                <w:sz w:val="16"/>
                <w:szCs w:val="16"/>
              </w:rPr>
              <w:t>450.000,00</w:t>
            </w:r>
          </w:p>
        </w:tc>
        <w:tc>
          <w:tcPr>
            <w:tcW w:w="722" w:type="pct"/>
            <w:tcBorders>
              <w:top w:val="single" w:sz="4" w:space="0" w:color="auto"/>
              <w:left w:val="nil"/>
              <w:bottom w:val="single" w:sz="4" w:space="0" w:color="auto"/>
              <w:right w:val="nil"/>
            </w:tcBorders>
            <w:shd w:val="clear" w:color="auto" w:fill="auto"/>
            <w:vAlign w:val="center"/>
          </w:tcPr>
          <w:p w14:paraId="7B12BE0F" w14:textId="77777777" w:rsidR="00940461" w:rsidRPr="00940461" w:rsidRDefault="00940461" w:rsidP="00940461">
            <w:pPr>
              <w:jc w:val="right"/>
              <w:rPr>
                <w:sz w:val="16"/>
                <w:szCs w:val="16"/>
              </w:rPr>
            </w:pPr>
          </w:p>
        </w:tc>
      </w:tr>
      <w:tr w:rsidR="00940461" w:rsidRPr="000E486B" w14:paraId="3F8480A0" w14:textId="77777777" w:rsidTr="00940461">
        <w:trPr>
          <w:trHeight w:val="170"/>
        </w:trPr>
        <w:tc>
          <w:tcPr>
            <w:tcW w:w="3551" w:type="pct"/>
            <w:tcBorders>
              <w:top w:val="single" w:sz="4" w:space="0" w:color="auto"/>
              <w:left w:val="nil"/>
              <w:bottom w:val="single" w:sz="4" w:space="0" w:color="auto"/>
              <w:right w:val="nil"/>
            </w:tcBorders>
            <w:shd w:val="clear" w:color="auto" w:fill="auto"/>
            <w:noWrap/>
            <w:vAlign w:val="center"/>
          </w:tcPr>
          <w:p w14:paraId="17F3B2CD" w14:textId="77777777" w:rsidR="00954AA6"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sz w:val="16"/>
                <w:szCs w:val="16"/>
              </w:rPr>
            </w:pPr>
            <w:r w:rsidRPr="00940461">
              <w:rPr>
                <w:sz w:val="16"/>
                <w:szCs w:val="16"/>
              </w:rPr>
              <w:t xml:space="preserve">Consejería de Turismo, Cultura y Deportes: </w:t>
            </w:r>
          </w:p>
          <w:p w14:paraId="5CA6C616" w14:textId="17830216" w:rsidR="00940461" w:rsidRPr="00940461"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rFonts w:eastAsia="Times New Roman"/>
                <w:sz w:val="16"/>
                <w:szCs w:val="16"/>
                <w:bdr w:val="none" w:sz="0" w:space="0" w:color="auto"/>
                <w:lang w:eastAsia="es-ES"/>
              </w:rPr>
            </w:pPr>
            <w:r w:rsidRPr="00940461">
              <w:rPr>
                <w:sz w:val="16"/>
                <w:szCs w:val="16"/>
              </w:rPr>
              <w:t>para el seguimiento de la conectividad aérea</w:t>
            </w:r>
          </w:p>
        </w:tc>
        <w:tc>
          <w:tcPr>
            <w:tcW w:w="727" w:type="pct"/>
            <w:tcBorders>
              <w:top w:val="single" w:sz="4" w:space="0" w:color="auto"/>
              <w:left w:val="nil"/>
              <w:bottom w:val="single" w:sz="4" w:space="0" w:color="auto"/>
              <w:right w:val="nil"/>
            </w:tcBorders>
            <w:shd w:val="clear" w:color="auto" w:fill="auto"/>
            <w:vAlign w:val="center"/>
          </w:tcPr>
          <w:p w14:paraId="050A296A" w14:textId="1176607F" w:rsidR="00940461" w:rsidRPr="00940461" w:rsidRDefault="00940461" w:rsidP="00940461">
            <w:pPr>
              <w:jc w:val="right"/>
              <w:rPr>
                <w:sz w:val="16"/>
                <w:szCs w:val="16"/>
              </w:rPr>
            </w:pPr>
            <w:r w:rsidRPr="00940461">
              <w:rPr>
                <w:sz w:val="16"/>
                <w:szCs w:val="16"/>
              </w:rPr>
              <w:t>150.000,00</w:t>
            </w:r>
          </w:p>
        </w:tc>
        <w:tc>
          <w:tcPr>
            <w:tcW w:w="722" w:type="pct"/>
            <w:tcBorders>
              <w:top w:val="single" w:sz="4" w:space="0" w:color="auto"/>
              <w:left w:val="nil"/>
              <w:bottom w:val="single" w:sz="4" w:space="0" w:color="auto"/>
              <w:right w:val="nil"/>
            </w:tcBorders>
            <w:shd w:val="clear" w:color="auto" w:fill="auto"/>
            <w:vAlign w:val="center"/>
          </w:tcPr>
          <w:p w14:paraId="71E37ECD" w14:textId="0560A043" w:rsidR="00940461" w:rsidRPr="00940461" w:rsidRDefault="00940461" w:rsidP="00940461">
            <w:pPr>
              <w:jc w:val="right"/>
              <w:rPr>
                <w:sz w:val="16"/>
                <w:szCs w:val="16"/>
              </w:rPr>
            </w:pPr>
            <w:r w:rsidRPr="00940461">
              <w:rPr>
                <w:sz w:val="16"/>
                <w:szCs w:val="16"/>
              </w:rPr>
              <w:t xml:space="preserve"> -</w:t>
            </w:r>
          </w:p>
        </w:tc>
      </w:tr>
      <w:tr w:rsidR="00940461" w:rsidRPr="000E486B" w14:paraId="6627BD74" w14:textId="77777777" w:rsidTr="00940461">
        <w:trPr>
          <w:trHeight w:val="170"/>
        </w:trPr>
        <w:tc>
          <w:tcPr>
            <w:tcW w:w="3551" w:type="pct"/>
            <w:tcBorders>
              <w:top w:val="single" w:sz="4" w:space="0" w:color="auto"/>
              <w:left w:val="nil"/>
              <w:bottom w:val="single" w:sz="4" w:space="0" w:color="auto"/>
              <w:right w:val="nil"/>
            </w:tcBorders>
            <w:shd w:val="clear" w:color="auto" w:fill="auto"/>
            <w:noWrap/>
            <w:vAlign w:val="center"/>
          </w:tcPr>
          <w:p w14:paraId="762BF3D2" w14:textId="77777777" w:rsidR="00954AA6"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sz w:val="16"/>
                <w:szCs w:val="16"/>
              </w:rPr>
            </w:pPr>
            <w:r w:rsidRPr="00940461">
              <w:rPr>
                <w:sz w:val="16"/>
                <w:szCs w:val="16"/>
              </w:rPr>
              <w:t xml:space="preserve">Consejería de Turismo, Industria y Comercios: </w:t>
            </w:r>
          </w:p>
          <w:p w14:paraId="166B8500" w14:textId="7B1F2DC6" w:rsidR="00940461" w:rsidRPr="00940461"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rFonts w:eastAsia="Times New Roman"/>
                <w:sz w:val="16"/>
                <w:szCs w:val="16"/>
                <w:bdr w:val="none" w:sz="0" w:space="0" w:color="auto"/>
                <w:lang w:eastAsia="es-ES"/>
              </w:rPr>
            </w:pPr>
            <w:r w:rsidRPr="00940461">
              <w:rPr>
                <w:sz w:val="16"/>
                <w:szCs w:val="16"/>
              </w:rPr>
              <w:t>Para el desarrollo del proyecto "Canarias Fortaleza"</w:t>
            </w:r>
          </w:p>
        </w:tc>
        <w:tc>
          <w:tcPr>
            <w:tcW w:w="727" w:type="pct"/>
            <w:tcBorders>
              <w:top w:val="single" w:sz="4" w:space="0" w:color="auto"/>
              <w:left w:val="nil"/>
              <w:bottom w:val="single" w:sz="4" w:space="0" w:color="auto"/>
              <w:right w:val="nil"/>
            </w:tcBorders>
            <w:shd w:val="clear" w:color="auto" w:fill="auto"/>
            <w:vAlign w:val="center"/>
          </w:tcPr>
          <w:p w14:paraId="35D9FBB6" w14:textId="66F0DFB0" w:rsidR="00940461" w:rsidRPr="00940461" w:rsidRDefault="00940461" w:rsidP="00940461">
            <w:pPr>
              <w:jc w:val="right"/>
              <w:rPr>
                <w:sz w:val="16"/>
                <w:szCs w:val="16"/>
              </w:rPr>
            </w:pPr>
            <w:r w:rsidRPr="00940461">
              <w:rPr>
                <w:sz w:val="16"/>
                <w:szCs w:val="16"/>
              </w:rPr>
              <w:t>1.200.000,00</w:t>
            </w:r>
          </w:p>
        </w:tc>
        <w:tc>
          <w:tcPr>
            <w:tcW w:w="722" w:type="pct"/>
            <w:tcBorders>
              <w:top w:val="single" w:sz="4" w:space="0" w:color="auto"/>
              <w:left w:val="nil"/>
              <w:bottom w:val="single" w:sz="4" w:space="0" w:color="auto"/>
              <w:right w:val="nil"/>
            </w:tcBorders>
            <w:shd w:val="clear" w:color="auto" w:fill="auto"/>
            <w:vAlign w:val="center"/>
          </w:tcPr>
          <w:p w14:paraId="069A3D21" w14:textId="41C2495D" w:rsidR="00940461" w:rsidRPr="00940461" w:rsidRDefault="00940461" w:rsidP="00940461">
            <w:pPr>
              <w:jc w:val="right"/>
              <w:rPr>
                <w:sz w:val="16"/>
                <w:szCs w:val="16"/>
              </w:rPr>
            </w:pPr>
            <w:r w:rsidRPr="00940461">
              <w:rPr>
                <w:sz w:val="16"/>
                <w:szCs w:val="16"/>
              </w:rPr>
              <w:t xml:space="preserve"> -</w:t>
            </w:r>
          </w:p>
        </w:tc>
      </w:tr>
      <w:tr w:rsidR="00940461" w:rsidRPr="000E486B" w14:paraId="35B7C072" w14:textId="77777777" w:rsidTr="00940461">
        <w:trPr>
          <w:trHeight w:val="170"/>
        </w:trPr>
        <w:tc>
          <w:tcPr>
            <w:tcW w:w="3551" w:type="pct"/>
            <w:tcBorders>
              <w:top w:val="single" w:sz="4" w:space="0" w:color="auto"/>
              <w:left w:val="nil"/>
              <w:bottom w:val="single" w:sz="4" w:space="0" w:color="auto"/>
              <w:right w:val="nil"/>
            </w:tcBorders>
            <w:shd w:val="clear" w:color="auto" w:fill="auto"/>
            <w:noWrap/>
            <w:vAlign w:val="center"/>
          </w:tcPr>
          <w:p w14:paraId="1B0321E7" w14:textId="77777777" w:rsidR="00954AA6"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sz w:val="16"/>
                <w:szCs w:val="16"/>
              </w:rPr>
            </w:pPr>
            <w:r w:rsidRPr="00940461">
              <w:rPr>
                <w:sz w:val="16"/>
                <w:szCs w:val="16"/>
              </w:rPr>
              <w:t xml:space="preserve">Consejería de Turismo, Industria y Comercios: </w:t>
            </w:r>
          </w:p>
          <w:p w14:paraId="551EF779" w14:textId="0F35B8E7" w:rsidR="00940461" w:rsidRPr="00940461"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rFonts w:eastAsia="Times New Roman"/>
                <w:sz w:val="16"/>
                <w:szCs w:val="16"/>
                <w:bdr w:val="none" w:sz="0" w:space="0" w:color="auto"/>
                <w:lang w:eastAsia="es-ES"/>
              </w:rPr>
            </w:pPr>
            <w:r w:rsidRPr="00940461">
              <w:rPr>
                <w:sz w:val="16"/>
                <w:szCs w:val="16"/>
              </w:rPr>
              <w:t xml:space="preserve">Para el trabajo de campo de confección de bases de datos conectadas de la oferta del destino y su demanda, para facilitar su integración en el sistema de información y </w:t>
            </w:r>
            <w:r w:rsidRPr="00940461">
              <w:rPr>
                <w:sz w:val="16"/>
                <w:szCs w:val="16"/>
              </w:rPr>
              <w:lastRenderedPageBreak/>
              <w:t>la comercialización del destino (para paliar los efectos de la quiebra de Thomas Cook)</w:t>
            </w:r>
          </w:p>
        </w:tc>
        <w:tc>
          <w:tcPr>
            <w:tcW w:w="727" w:type="pct"/>
            <w:tcBorders>
              <w:top w:val="single" w:sz="4" w:space="0" w:color="auto"/>
              <w:left w:val="nil"/>
              <w:bottom w:val="single" w:sz="4" w:space="0" w:color="auto"/>
              <w:right w:val="nil"/>
            </w:tcBorders>
            <w:shd w:val="clear" w:color="auto" w:fill="auto"/>
            <w:vAlign w:val="center"/>
          </w:tcPr>
          <w:p w14:paraId="2008C7A8" w14:textId="55855A3D" w:rsidR="00940461" w:rsidRPr="00940461" w:rsidRDefault="00940461" w:rsidP="00940461">
            <w:pPr>
              <w:jc w:val="right"/>
              <w:rPr>
                <w:sz w:val="16"/>
                <w:szCs w:val="16"/>
              </w:rPr>
            </w:pPr>
            <w:r w:rsidRPr="00940461">
              <w:rPr>
                <w:sz w:val="16"/>
                <w:szCs w:val="16"/>
              </w:rPr>
              <w:lastRenderedPageBreak/>
              <w:t>300.000,00</w:t>
            </w:r>
          </w:p>
        </w:tc>
        <w:tc>
          <w:tcPr>
            <w:tcW w:w="722" w:type="pct"/>
            <w:tcBorders>
              <w:top w:val="single" w:sz="4" w:space="0" w:color="auto"/>
              <w:left w:val="nil"/>
              <w:bottom w:val="single" w:sz="4" w:space="0" w:color="auto"/>
              <w:right w:val="nil"/>
            </w:tcBorders>
            <w:shd w:val="clear" w:color="auto" w:fill="auto"/>
            <w:vAlign w:val="center"/>
          </w:tcPr>
          <w:p w14:paraId="0BE044B0" w14:textId="77E3ADC0" w:rsidR="00940461" w:rsidRPr="00940461" w:rsidRDefault="00940461" w:rsidP="00940461">
            <w:pPr>
              <w:jc w:val="right"/>
              <w:rPr>
                <w:sz w:val="16"/>
                <w:szCs w:val="16"/>
              </w:rPr>
            </w:pPr>
            <w:r w:rsidRPr="00940461">
              <w:rPr>
                <w:sz w:val="16"/>
                <w:szCs w:val="16"/>
              </w:rPr>
              <w:t xml:space="preserve"> -</w:t>
            </w:r>
          </w:p>
        </w:tc>
      </w:tr>
      <w:tr w:rsidR="00940461" w:rsidRPr="000E486B" w14:paraId="40529BEA" w14:textId="77777777" w:rsidTr="00940461">
        <w:trPr>
          <w:trHeight w:val="170"/>
        </w:trPr>
        <w:tc>
          <w:tcPr>
            <w:tcW w:w="3551" w:type="pct"/>
            <w:tcBorders>
              <w:top w:val="single" w:sz="4" w:space="0" w:color="auto"/>
              <w:left w:val="nil"/>
              <w:bottom w:val="single" w:sz="4" w:space="0" w:color="auto"/>
              <w:right w:val="nil"/>
            </w:tcBorders>
            <w:shd w:val="clear" w:color="auto" w:fill="auto"/>
            <w:noWrap/>
            <w:vAlign w:val="center"/>
          </w:tcPr>
          <w:p w14:paraId="28B9411C" w14:textId="77777777" w:rsidR="00954AA6"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sz w:val="16"/>
                <w:szCs w:val="16"/>
              </w:rPr>
            </w:pPr>
            <w:r w:rsidRPr="00940461">
              <w:rPr>
                <w:sz w:val="16"/>
                <w:szCs w:val="16"/>
              </w:rPr>
              <w:t xml:space="preserve">Consejería de Turismo, Industria y Comercios: </w:t>
            </w:r>
          </w:p>
          <w:p w14:paraId="31F331D3" w14:textId="6238664B" w:rsidR="00940461" w:rsidRPr="00940461"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rFonts w:eastAsia="Times New Roman"/>
                <w:sz w:val="16"/>
                <w:szCs w:val="16"/>
                <w:bdr w:val="none" w:sz="0" w:space="0" w:color="auto"/>
                <w:lang w:eastAsia="es-ES"/>
              </w:rPr>
            </w:pPr>
            <w:r w:rsidRPr="00940461">
              <w:rPr>
                <w:sz w:val="16"/>
                <w:szCs w:val="16"/>
              </w:rPr>
              <w:t>Para el desarrollo y mejora del sistema de información del destino (MIS) en su gestión pública incluyendo el Gobierno de Canarias, Cabildos y Ayuntamientos (para paliar los efectos de la quiebra de Thomas Cook)</w:t>
            </w:r>
          </w:p>
        </w:tc>
        <w:tc>
          <w:tcPr>
            <w:tcW w:w="727" w:type="pct"/>
            <w:tcBorders>
              <w:top w:val="single" w:sz="4" w:space="0" w:color="auto"/>
              <w:left w:val="nil"/>
              <w:bottom w:val="single" w:sz="4" w:space="0" w:color="auto"/>
              <w:right w:val="nil"/>
            </w:tcBorders>
            <w:shd w:val="clear" w:color="auto" w:fill="auto"/>
            <w:vAlign w:val="center"/>
          </w:tcPr>
          <w:p w14:paraId="59CB2951" w14:textId="748D858C" w:rsidR="00940461" w:rsidRPr="00940461" w:rsidRDefault="00940461" w:rsidP="00940461">
            <w:pPr>
              <w:jc w:val="right"/>
              <w:rPr>
                <w:sz w:val="16"/>
                <w:szCs w:val="16"/>
              </w:rPr>
            </w:pPr>
            <w:r w:rsidRPr="00940461">
              <w:rPr>
                <w:sz w:val="16"/>
                <w:szCs w:val="16"/>
              </w:rPr>
              <w:t>1.183.128,98</w:t>
            </w:r>
          </w:p>
        </w:tc>
        <w:tc>
          <w:tcPr>
            <w:tcW w:w="722" w:type="pct"/>
            <w:tcBorders>
              <w:top w:val="single" w:sz="4" w:space="0" w:color="auto"/>
              <w:left w:val="nil"/>
              <w:bottom w:val="single" w:sz="4" w:space="0" w:color="auto"/>
              <w:right w:val="nil"/>
            </w:tcBorders>
            <w:shd w:val="clear" w:color="auto" w:fill="auto"/>
            <w:vAlign w:val="center"/>
          </w:tcPr>
          <w:p w14:paraId="61FCF512" w14:textId="74495427" w:rsidR="00940461" w:rsidRPr="00940461" w:rsidRDefault="00940461" w:rsidP="00940461">
            <w:pPr>
              <w:jc w:val="right"/>
              <w:rPr>
                <w:sz w:val="16"/>
                <w:szCs w:val="16"/>
              </w:rPr>
            </w:pPr>
            <w:r w:rsidRPr="00940461">
              <w:rPr>
                <w:sz w:val="16"/>
                <w:szCs w:val="16"/>
              </w:rPr>
              <w:t xml:space="preserve"> -</w:t>
            </w:r>
          </w:p>
        </w:tc>
      </w:tr>
      <w:tr w:rsidR="00940461" w:rsidRPr="000E486B" w14:paraId="0E455AAE" w14:textId="77777777" w:rsidTr="00940461">
        <w:trPr>
          <w:trHeight w:val="170"/>
        </w:trPr>
        <w:tc>
          <w:tcPr>
            <w:tcW w:w="3551" w:type="pct"/>
            <w:tcBorders>
              <w:top w:val="single" w:sz="4" w:space="0" w:color="auto"/>
              <w:left w:val="nil"/>
              <w:bottom w:val="single" w:sz="4" w:space="0" w:color="auto"/>
              <w:right w:val="nil"/>
            </w:tcBorders>
            <w:shd w:val="clear" w:color="auto" w:fill="auto"/>
            <w:noWrap/>
            <w:vAlign w:val="center"/>
          </w:tcPr>
          <w:p w14:paraId="33DC9C42" w14:textId="77777777" w:rsidR="00954AA6"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sz w:val="16"/>
                <w:szCs w:val="16"/>
              </w:rPr>
            </w:pPr>
            <w:r w:rsidRPr="00940461">
              <w:rPr>
                <w:sz w:val="16"/>
                <w:szCs w:val="16"/>
              </w:rPr>
              <w:t xml:space="preserve">Consejería de Turismo, Industria y Comercio: </w:t>
            </w:r>
          </w:p>
          <w:p w14:paraId="6113AF14" w14:textId="66039E4B" w:rsidR="00940461" w:rsidRPr="00940461"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rFonts w:eastAsia="Times New Roman"/>
                <w:sz w:val="16"/>
                <w:szCs w:val="16"/>
                <w:bdr w:val="none" w:sz="0" w:space="0" w:color="auto"/>
                <w:lang w:eastAsia="es-ES"/>
              </w:rPr>
            </w:pPr>
            <w:r w:rsidRPr="00940461">
              <w:rPr>
                <w:sz w:val="16"/>
                <w:szCs w:val="16"/>
              </w:rPr>
              <w:t>Para la realización de un estudio y captación del turismo de teletrabajo</w:t>
            </w:r>
          </w:p>
        </w:tc>
        <w:tc>
          <w:tcPr>
            <w:tcW w:w="727" w:type="pct"/>
            <w:tcBorders>
              <w:top w:val="single" w:sz="4" w:space="0" w:color="auto"/>
              <w:left w:val="nil"/>
              <w:bottom w:val="single" w:sz="4" w:space="0" w:color="auto"/>
              <w:right w:val="nil"/>
            </w:tcBorders>
            <w:shd w:val="clear" w:color="auto" w:fill="auto"/>
            <w:vAlign w:val="center"/>
          </w:tcPr>
          <w:p w14:paraId="4B3080EF" w14:textId="3C2E4598" w:rsidR="00940461" w:rsidRPr="00940461" w:rsidRDefault="00940461" w:rsidP="00940461">
            <w:pPr>
              <w:jc w:val="right"/>
              <w:rPr>
                <w:sz w:val="16"/>
                <w:szCs w:val="16"/>
              </w:rPr>
            </w:pPr>
            <w:r w:rsidRPr="00940461">
              <w:rPr>
                <w:sz w:val="16"/>
                <w:szCs w:val="16"/>
              </w:rPr>
              <w:t>400.000,00</w:t>
            </w:r>
          </w:p>
        </w:tc>
        <w:tc>
          <w:tcPr>
            <w:tcW w:w="722" w:type="pct"/>
            <w:tcBorders>
              <w:top w:val="single" w:sz="4" w:space="0" w:color="auto"/>
              <w:left w:val="nil"/>
              <w:bottom w:val="single" w:sz="4" w:space="0" w:color="auto"/>
              <w:right w:val="nil"/>
            </w:tcBorders>
            <w:shd w:val="clear" w:color="auto" w:fill="auto"/>
            <w:vAlign w:val="center"/>
          </w:tcPr>
          <w:p w14:paraId="1ECF3588" w14:textId="5630A193" w:rsidR="00940461" w:rsidRPr="00940461" w:rsidRDefault="00940461" w:rsidP="00940461">
            <w:pPr>
              <w:jc w:val="right"/>
              <w:rPr>
                <w:sz w:val="16"/>
                <w:szCs w:val="16"/>
              </w:rPr>
            </w:pPr>
            <w:r w:rsidRPr="00940461">
              <w:rPr>
                <w:sz w:val="16"/>
                <w:szCs w:val="16"/>
              </w:rPr>
              <w:t xml:space="preserve"> -</w:t>
            </w:r>
          </w:p>
        </w:tc>
      </w:tr>
      <w:tr w:rsidR="00940461" w:rsidRPr="000E486B" w14:paraId="30ADA37D"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tcPr>
          <w:p w14:paraId="4A2213AA" w14:textId="77777777" w:rsidR="00954AA6"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sz w:val="16"/>
                <w:szCs w:val="16"/>
              </w:rPr>
            </w:pPr>
            <w:r w:rsidRPr="00940461">
              <w:rPr>
                <w:sz w:val="16"/>
                <w:szCs w:val="16"/>
              </w:rPr>
              <w:t xml:space="preserve">Consejería de Turismo, Industria y Comercios: </w:t>
            </w:r>
          </w:p>
          <w:p w14:paraId="6241ACDB" w14:textId="316350DE" w:rsidR="00940461" w:rsidRPr="00940461"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spacing w:before="40"/>
              <w:outlineLvl w:val="9"/>
              <w:rPr>
                <w:rFonts w:eastAsia="Times New Roman"/>
                <w:sz w:val="16"/>
                <w:szCs w:val="16"/>
                <w:bdr w:val="none" w:sz="0" w:space="0" w:color="auto"/>
                <w:lang w:eastAsia="es-ES"/>
              </w:rPr>
            </w:pPr>
            <w:r w:rsidRPr="00940461">
              <w:rPr>
                <w:sz w:val="16"/>
                <w:szCs w:val="16"/>
              </w:rPr>
              <w:t>Para el proyecto "Bonos Turísticos: somos afortunados"</w:t>
            </w:r>
          </w:p>
        </w:tc>
        <w:tc>
          <w:tcPr>
            <w:tcW w:w="727" w:type="pct"/>
            <w:tcBorders>
              <w:top w:val="single" w:sz="4" w:space="0" w:color="auto"/>
              <w:left w:val="nil"/>
              <w:bottom w:val="single" w:sz="4" w:space="0" w:color="auto"/>
              <w:right w:val="nil"/>
            </w:tcBorders>
            <w:shd w:val="clear" w:color="auto" w:fill="auto"/>
            <w:vAlign w:val="center"/>
          </w:tcPr>
          <w:p w14:paraId="0C913DA8" w14:textId="22B35793" w:rsidR="00940461" w:rsidRPr="00940461" w:rsidRDefault="00940461" w:rsidP="00940461">
            <w:pPr>
              <w:jc w:val="right"/>
              <w:rPr>
                <w:sz w:val="16"/>
                <w:szCs w:val="16"/>
              </w:rPr>
            </w:pPr>
            <w:r w:rsidRPr="00940461">
              <w:rPr>
                <w:sz w:val="16"/>
                <w:szCs w:val="16"/>
              </w:rPr>
              <w:t>8.376.188,50</w:t>
            </w:r>
          </w:p>
        </w:tc>
        <w:tc>
          <w:tcPr>
            <w:tcW w:w="722" w:type="pct"/>
            <w:tcBorders>
              <w:top w:val="single" w:sz="4" w:space="0" w:color="auto"/>
              <w:left w:val="nil"/>
              <w:bottom w:val="single" w:sz="4" w:space="0" w:color="auto"/>
              <w:right w:val="nil"/>
            </w:tcBorders>
            <w:shd w:val="clear" w:color="auto" w:fill="auto"/>
            <w:vAlign w:val="center"/>
          </w:tcPr>
          <w:p w14:paraId="3AF6FF51" w14:textId="55336DB4" w:rsidR="00940461" w:rsidRPr="00940461" w:rsidRDefault="00940461" w:rsidP="00940461">
            <w:pPr>
              <w:jc w:val="right"/>
              <w:rPr>
                <w:sz w:val="16"/>
                <w:szCs w:val="16"/>
              </w:rPr>
            </w:pPr>
            <w:r w:rsidRPr="00940461">
              <w:rPr>
                <w:sz w:val="16"/>
                <w:szCs w:val="16"/>
              </w:rPr>
              <w:t xml:space="preserve"> -</w:t>
            </w:r>
          </w:p>
        </w:tc>
      </w:tr>
      <w:tr w:rsidR="00940461" w:rsidRPr="000E486B" w14:paraId="2A0B8ED6" w14:textId="77777777" w:rsidTr="000E486B">
        <w:trPr>
          <w:trHeight w:val="283"/>
        </w:trPr>
        <w:tc>
          <w:tcPr>
            <w:tcW w:w="3551" w:type="pct"/>
            <w:tcBorders>
              <w:top w:val="single" w:sz="4" w:space="0" w:color="auto"/>
              <w:left w:val="nil"/>
              <w:bottom w:val="nil"/>
              <w:right w:val="nil"/>
            </w:tcBorders>
            <w:shd w:val="clear" w:color="auto" w:fill="auto"/>
            <w:noWrap/>
            <w:vAlign w:val="center"/>
          </w:tcPr>
          <w:p w14:paraId="30C8412A" w14:textId="77777777" w:rsidR="00954AA6" w:rsidRDefault="00940461" w:rsidP="00940461">
            <w:pPr>
              <w:keepNext/>
              <w:keepLines/>
              <w:spacing w:before="40"/>
              <w:rPr>
                <w:sz w:val="16"/>
                <w:szCs w:val="16"/>
              </w:rPr>
            </w:pPr>
            <w:r w:rsidRPr="00940461">
              <w:rPr>
                <w:sz w:val="16"/>
                <w:szCs w:val="16"/>
              </w:rPr>
              <w:t xml:space="preserve">Consejería de Hacienda, Presupuestos y Asuntos Europeos: </w:t>
            </w:r>
          </w:p>
          <w:p w14:paraId="74656C3C" w14:textId="18593162" w:rsidR="00940461" w:rsidRPr="00940461" w:rsidRDefault="00940461" w:rsidP="00940461">
            <w:pPr>
              <w:keepNext/>
              <w:keepLines/>
              <w:spacing w:before="40"/>
              <w:rPr>
                <w:sz w:val="16"/>
                <w:szCs w:val="16"/>
              </w:rPr>
            </w:pPr>
            <w:r w:rsidRPr="00940461">
              <w:rPr>
                <w:sz w:val="16"/>
                <w:szCs w:val="16"/>
              </w:rPr>
              <w:t>Para las acciones de promoción turística a profesionales y al público final con el objetivo de difundir la imagen de Canarias y reactivar el sector turístico canario tras la cri</w:t>
            </w:r>
            <w:r w:rsidR="00592E6A">
              <w:rPr>
                <w:sz w:val="16"/>
                <w:szCs w:val="16"/>
              </w:rPr>
              <w:t>s</w:t>
            </w:r>
            <w:r w:rsidRPr="00940461">
              <w:rPr>
                <w:sz w:val="16"/>
                <w:szCs w:val="16"/>
              </w:rPr>
              <w:t>is COVID-19 (FEDER) anualidades 2021-2023</w:t>
            </w:r>
          </w:p>
        </w:tc>
        <w:tc>
          <w:tcPr>
            <w:tcW w:w="727" w:type="pct"/>
            <w:tcBorders>
              <w:top w:val="single" w:sz="4" w:space="0" w:color="auto"/>
              <w:left w:val="nil"/>
              <w:bottom w:val="nil"/>
              <w:right w:val="nil"/>
            </w:tcBorders>
            <w:shd w:val="clear" w:color="auto" w:fill="auto"/>
            <w:vAlign w:val="center"/>
          </w:tcPr>
          <w:p w14:paraId="71F6307B" w14:textId="31048149" w:rsidR="00940461" w:rsidRPr="00940461" w:rsidRDefault="00940461" w:rsidP="00940461">
            <w:pPr>
              <w:keepNext/>
              <w:keepLines/>
              <w:jc w:val="right"/>
              <w:rPr>
                <w:sz w:val="16"/>
                <w:szCs w:val="16"/>
              </w:rPr>
            </w:pPr>
            <w:r w:rsidRPr="00940461">
              <w:rPr>
                <w:sz w:val="16"/>
                <w:szCs w:val="16"/>
              </w:rPr>
              <w:t>2.271.769,48</w:t>
            </w:r>
          </w:p>
        </w:tc>
        <w:tc>
          <w:tcPr>
            <w:tcW w:w="722" w:type="pct"/>
            <w:tcBorders>
              <w:top w:val="single" w:sz="4" w:space="0" w:color="auto"/>
              <w:left w:val="nil"/>
              <w:bottom w:val="nil"/>
              <w:right w:val="nil"/>
            </w:tcBorders>
            <w:shd w:val="clear" w:color="auto" w:fill="auto"/>
            <w:vAlign w:val="center"/>
          </w:tcPr>
          <w:p w14:paraId="0CAED41A" w14:textId="14E0A0C5" w:rsidR="00940461" w:rsidRPr="00940461" w:rsidRDefault="00940461" w:rsidP="00940461">
            <w:pPr>
              <w:keepNext/>
              <w:keepLines/>
              <w:jc w:val="right"/>
              <w:rPr>
                <w:sz w:val="16"/>
                <w:szCs w:val="16"/>
              </w:rPr>
            </w:pPr>
            <w:r w:rsidRPr="00940461">
              <w:rPr>
                <w:sz w:val="16"/>
                <w:szCs w:val="16"/>
              </w:rPr>
              <w:t xml:space="preserve"> -</w:t>
            </w:r>
          </w:p>
        </w:tc>
      </w:tr>
      <w:tr w:rsidR="000C37FA" w:rsidRPr="000E486B" w14:paraId="755435FF"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hideMark/>
          </w:tcPr>
          <w:p w14:paraId="187373B9" w14:textId="77777777" w:rsidR="000C37FA" w:rsidRPr="00940461" w:rsidRDefault="000C37FA" w:rsidP="000C37F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highlight w:val="yellow"/>
                <w:bdr w:val="none" w:sz="0" w:space="0" w:color="auto"/>
                <w:lang w:eastAsia="es-ES"/>
              </w:rPr>
            </w:pPr>
            <w:r w:rsidRPr="00940461">
              <w:rPr>
                <w:rFonts w:eastAsia="Times New Roman"/>
                <w:b/>
                <w:bCs/>
                <w:sz w:val="16"/>
                <w:szCs w:val="16"/>
                <w:bdr w:val="none" w:sz="0" w:space="0" w:color="auto"/>
                <w:lang w:eastAsia="es-ES"/>
              </w:rPr>
              <w:t>Total</w:t>
            </w:r>
          </w:p>
        </w:tc>
        <w:tc>
          <w:tcPr>
            <w:tcW w:w="727" w:type="pct"/>
            <w:tcBorders>
              <w:top w:val="single" w:sz="4" w:space="0" w:color="auto"/>
              <w:left w:val="nil"/>
              <w:bottom w:val="single" w:sz="4" w:space="0" w:color="auto"/>
              <w:right w:val="nil"/>
            </w:tcBorders>
            <w:shd w:val="clear" w:color="auto" w:fill="auto"/>
            <w:noWrap/>
            <w:vAlign w:val="center"/>
          </w:tcPr>
          <w:p w14:paraId="202B3ABA" w14:textId="543674A2" w:rsidR="000C37FA" w:rsidRPr="00940461" w:rsidRDefault="00940461" w:rsidP="0094046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940461">
              <w:rPr>
                <w:b/>
                <w:bCs/>
                <w:sz w:val="16"/>
                <w:szCs w:val="16"/>
              </w:rPr>
              <w:t>40.953.751,32</w:t>
            </w:r>
          </w:p>
        </w:tc>
        <w:tc>
          <w:tcPr>
            <w:tcW w:w="722" w:type="pct"/>
            <w:tcBorders>
              <w:top w:val="single" w:sz="4" w:space="0" w:color="auto"/>
              <w:left w:val="nil"/>
              <w:bottom w:val="single" w:sz="4" w:space="0" w:color="auto"/>
              <w:right w:val="nil"/>
            </w:tcBorders>
            <w:shd w:val="clear" w:color="auto" w:fill="auto"/>
            <w:noWrap/>
            <w:vAlign w:val="center"/>
            <w:hideMark/>
          </w:tcPr>
          <w:p w14:paraId="3578C617" w14:textId="34BDF168" w:rsidR="000C37FA" w:rsidRPr="00940461" w:rsidRDefault="000C37FA" w:rsidP="000C37FA">
            <w:pPr>
              <w:jc w:val="right"/>
              <w:rPr>
                <w:b/>
                <w:bCs/>
                <w:sz w:val="16"/>
                <w:szCs w:val="16"/>
              </w:rPr>
            </w:pPr>
            <w:r w:rsidRPr="00940461">
              <w:rPr>
                <w:b/>
                <w:bCs/>
                <w:sz w:val="16"/>
                <w:szCs w:val="16"/>
              </w:rPr>
              <w:t>18.480.502,24</w:t>
            </w:r>
          </w:p>
        </w:tc>
      </w:tr>
    </w:tbl>
    <w:p w14:paraId="3AA86914" w14:textId="7694C128" w:rsidR="00497BBB"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Dichos importes han sido</w:t>
      </w:r>
      <w:r w:rsidR="00EF6EBF" w:rsidRPr="00176BA0">
        <w:rPr>
          <w:snapToGrid w:val="0"/>
          <w:sz w:val="20"/>
          <w:szCs w:val="22"/>
        </w:rPr>
        <w:t xml:space="preserve"> devengados en el ejercicio 20</w:t>
      </w:r>
      <w:r w:rsidR="000778A8" w:rsidRPr="00176BA0">
        <w:rPr>
          <w:snapToGrid w:val="0"/>
          <w:sz w:val="20"/>
          <w:szCs w:val="22"/>
        </w:rPr>
        <w:t>2</w:t>
      </w:r>
      <w:r w:rsidR="007B6A11" w:rsidRPr="00176BA0">
        <w:rPr>
          <w:snapToGrid w:val="0"/>
          <w:sz w:val="20"/>
          <w:szCs w:val="22"/>
        </w:rPr>
        <w:t>1</w:t>
      </w:r>
      <w:r w:rsidRPr="00176BA0">
        <w:rPr>
          <w:snapToGrid w:val="0"/>
          <w:sz w:val="20"/>
          <w:szCs w:val="22"/>
        </w:rPr>
        <w:t>, cumpliendo con las condiciones de las resoluciones de las transferencias concedidas para tal fin, y habiendo sido justifica</w:t>
      </w:r>
      <w:r w:rsidR="006D42A8" w:rsidRPr="00176BA0">
        <w:rPr>
          <w:snapToGrid w:val="0"/>
          <w:sz w:val="20"/>
          <w:szCs w:val="22"/>
        </w:rPr>
        <w:t>das en tiempo y forma</w:t>
      </w:r>
      <w:r w:rsidR="00497BBB" w:rsidRPr="00176BA0">
        <w:rPr>
          <w:snapToGrid w:val="0"/>
          <w:sz w:val="20"/>
          <w:szCs w:val="22"/>
        </w:rPr>
        <w:t>.</w:t>
      </w:r>
    </w:p>
    <w:p w14:paraId="40AF1FC3" w14:textId="7245D123" w:rsidR="00176581" w:rsidRPr="00176BA0" w:rsidRDefault="00176581" w:rsidP="00176BA0">
      <w:pPr>
        <w:widowControl w:val="0"/>
        <w:spacing w:before="120" w:after="120" w:line="260" w:lineRule="exact"/>
        <w:ind w:left="284"/>
        <w:jc w:val="both"/>
        <w:outlineLvl w:val="9"/>
        <w:rPr>
          <w:snapToGrid w:val="0"/>
          <w:sz w:val="20"/>
          <w:szCs w:val="22"/>
        </w:rPr>
      </w:pPr>
      <w:r w:rsidRPr="00176BA0">
        <w:rPr>
          <w:snapToGrid w:val="0"/>
          <w:sz w:val="20"/>
          <w:szCs w:val="22"/>
        </w:rPr>
        <w:t>En el ejercicio 2021 la Sociedad ha ejecutado un gasto inferior al esperado correspondiente a la Subvención de la Consejería de Turismo, Industria y Comercio para el proyecto “Bonos turísticos” por importe de 2.023.811,50 euros.</w:t>
      </w:r>
    </w:p>
    <w:p w14:paraId="04D3A2F8" w14:textId="12B4536A" w:rsidR="000778A8" w:rsidRPr="00176BA0" w:rsidRDefault="000778A8" w:rsidP="00176BA0">
      <w:pPr>
        <w:widowControl w:val="0"/>
        <w:spacing w:before="120" w:after="120" w:line="260" w:lineRule="exact"/>
        <w:ind w:left="284"/>
        <w:jc w:val="both"/>
        <w:outlineLvl w:val="9"/>
        <w:rPr>
          <w:snapToGrid w:val="0"/>
          <w:sz w:val="20"/>
          <w:szCs w:val="22"/>
        </w:rPr>
      </w:pPr>
      <w:r w:rsidRPr="00176BA0">
        <w:rPr>
          <w:snapToGrid w:val="0"/>
          <w:sz w:val="20"/>
          <w:szCs w:val="22"/>
        </w:rPr>
        <w:t>En el ejercicio 202</w:t>
      </w:r>
      <w:r w:rsidR="007B6A11" w:rsidRPr="00176BA0">
        <w:rPr>
          <w:snapToGrid w:val="0"/>
          <w:sz w:val="20"/>
          <w:szCs w:val="22"/>
        </w:rPr>
        <w:t>1</w:t>
      </w:r>
      <w:r w:rsidRPr="00176BA0">
        <w:rPr>
          <w:snapToGrid w:val="0"/>
          <w:sz w:val="20"/>
          <w:szCs w:val="22"/>
        </w:rPr>
        <w:t xml:space="preserve"> la Consejería de Turismo, </w:t>
      </w:r>
      <w:r w:rsidR="000B6D98" w:rsidRPr="00176BA0">
        <w:rPr>
          <w:snapToGrid w:val="0"/>
          <w:sz w:val="20"/>
          <w:szCs w:val="22"/>
        </w:rPr>
        <w:t>Industria y Comercio</w:t>
      </w:r>
      <w:r w:rsidRPr="00176BA0">
        <w:rPr>
          <w:snapToGrid w:val="0"/>
          <w:sz w:val="20"/>
          <w:szCs w:val="22"/>
        </w:rPr>
        <w:t xml:space="preserve"> ha aprobado una ampliación del plazo de ejecución al 202</w:t>
      </w:r>
      <w:r w:rsidR="007B6A11" w:rsidRPr="00176BA0">
        <w:rPr>
          <w:snapToGrid w:val="0"/>
          <w:sz w:val="20"/>
          <w:szCs w:val="22"/>
        </w:rPr>
        <w:t>2</w:t>
      </w:r>
      <w:r w:rsidRPr="00176BA0">
        <w:rPr>
          <w:snapToGrid w:val="0"/>
          <w:sz w:val="20"/>
          <w:szCs w:val="22"/>
        </w:rPr>
        <w:t xml:space="preserve"> de las subvenciones de explotación concedidas para el ejercicio 202</w:t>
      </w:r>
      <w:r w:rsidR="007B6A11" w:rsidRPr="00176BA0">
        <w:rPr>
          <w:snapToGrid w:val="0"/>
          <w:sz w:val="20"/>
          <w:szCs w:val="22"/>
        </w:rPr>
        <w:t>1</w:t>
      </w:r>
      <w:r w:rsidRPr="00176BA0">
        <w:rPr>
          <w:snapToGrid w:val="0"/>
          <w:sz w:val="20"/>
          <w:szCs w:val="22"/>
        </w:rPr>
        <w:t>. La parte no ejecutada por la Sociedad en 202</w:t>
      </w:r>
      <w:r w:rsidR="007B6A11" w:rsidRPr="00176BA0">
        <w:rPr>
          <w:snapToGrid w:val="0"/>
          <w:sz w:val="20"/>
          <w:szCs w:val="22"/>
        </w:rPr>
        <w:t>1</w:t>
      </w:r>
      <w:r w:rsidRPr="00176BA0">
        <w:rPr>
          <w:snapToGrid w:val="0"/>
          <w:sz w:val="20"/>
          <w:szCs w:val="22"/>
        </w:rPr>
        <w:t xml:space="preserve"> ha sido registrada como ingresos anticipados por importe de </w:t>
      </w:r>
      <w:r w:rsidR="000623EC" w:rsidRPr="00176BA0">
        <w:rPr>
          <w:snapToGrid w:val="0"/>
          <w:sz w:val="20"/>
          <w:szCs w:val="22"/>
        </w:rPr>
        <w:t>41.</w:t>
      </w:r>
      <w:r w:rsidR="00BF6A88" w:rsidRPr="00176BA0">
        <w:rPr>
          <w:snapToGrid w:val="0"/>
          <w:sz w:val="20"/>
          <w:szCs w:val="22"/>
        </w:rPr>
        <w:t>281</w:t>
      </w:r>
      <w:r w:rsidR="000623EC" w:rsidRPr="00176BA0">
        <w:rPr>
          <w:snapToGrid w:val="0"/>
          <w:sz w:val="20"/>
          <w:szCs w:val="22"/>
        </w:rPr>
        <w:t>.</w:t>
      </w:r>
      <w:r w:rsidR="00BF6A88" w:rsidRPr="00176BA0">
        <w:rPr>
          <w:snapToGrid w:val="0"/>
          <w:sz w:val="20"/>
          <w:szCs w:val="22"/>
        </w:rPr>
        <w:t>118</w:t>
      </w:r>
      <w:r w:rsidR="000623EC" w:rsidRPr="00176BA0">
        <w:rPr>
          <w:snapToGrid w:val="0"/>
          <w:sz w:val="20"/>
          <w:szCs w:val="22"/>
        </w:rPr>
        <w:t>,</w:t>
      </w:r>
      <w:r w:rsidR="00BF6A88" w:rsidRPr="00176BA0">
        <w:rPr>
          <w:snapToGrid w:val="0"/>
          <w:sz w:val="20"/>
          <w:szCs w:val="22"/>
        </w:rPr>
        <w:t>26</w:t>
      </w:r>
      <w:r w:rsidRPr="00176BA0">
        <w:rPr>
          <w:snapToGrid w:val="0"/>
          <w:sz w:val="20"/>
          <w:szCs w:val="22"/>
        </w:rPr>
        <w:t xml:space="preserve"> (Nota 8.</w:t>
      </w:r>
      <w:r w:rsidR="003F01E0" w:rsidRPr="00176BA0">
        <w:rPr>
          <w:snapToGrid w:val="0"/>
          <w:sz w:val="20"/>
          <w:szCs w:val="22"/>
        </w:rPr>
        <w:t>3</w:t>
      </w:r>
      <w:r w:rsidRPr="00176BA0">
        <w:rPr>
          <w:snapToGrid w:val="0"/>
          <w:sz w:val="20"/>
          <w:szCs w:val="22"/>
        </w:rPr>
        <w:t>.c).</w:t>
      </w:r>
    </w:p>
    <w:p w14:paraId="25EBD574" w14:textId="77777777" w:rsidR="001C58A9" w:rsidRPr="000778A8" w:rsidRDefault="001C58A9" w:rsidP="009C7621">
      <w:pPr>
        <w:widowControl w:val="0"/>
        <w:spacing w:before="120" w:line="276" w:lineRule="auto"/>
        <w:jc w:val="both"/>
        <w:rPr>
          <w:sz w:val="20"/>
          <w:szCs w:val="20"/>
        </w:rPr>
      </w:pPr>
    </w:p>
    <w:p w14:paraId="3B366A94" w14:textId="7EB87DEE" w:rsidR="001C58A9" w:rsidRDefault="001C58A9" w:rsidP="0045288C">
      <w:pPr>
        <w:keepNext/>
        <w:keepLines/>
        <w:widowControl w:val="0"/>
        <w:spacing w:before="120" w:after="120" w:line="276" w:lineRule="auto"/>
        <w:jc w:val="both"/>
        <w:rPr>
          <w:sz w:val="20"/>
          <w:szCs w:val="20"/>
        </w:rPr>
        <w:sectPr w:rsidR="001C58A9" w:rsidSect="002E3C11">
          <w:headerReference w:type="default" r:id="rId12"/>
          <w:pgSz w:w="11900" w:h="16840" w:code="9"/>
          <w:pgMar w:top="1701" w:right="1418" w:bottom="1418" w:left="1701" w:header="1134" w:footer="680" w:gutter="0"/>
          <w:cols w:space="708"/>
          <w:docGrid w:linePitch="360"/>
        </w:sectPr>
      </w:pPr>
    </w:p>
    <w:p w14:paraId="461FA6A3" w14:textId="1EB47D1B" w:rsidR="000778A8" w:rsidRPr="000E486B" w:rsidRDefault="001C58A9" w:rsidP="00C003BB">
      <w:pPr>
        <w:keepNext/>
        <w:keepLines/>
        <w:widowControl w:val="0"/>
        <w:spacing w:before="120" w:after="120" w:line="276" w:lineRule="auto"/>
        <w:jc w:val="both"/>
        <w:rPr>
          <w:sz w:val="20"/>
          <w:szCs w:val="20"/>
        </w:rPr>
      </w:pPr>
      <w:r>
        <w:rPr>
          <w:sz w:val="20"/>
          <w:szCs w:val="20"/>
        </w:rPr>
        <w:lastRenderedPageBreak/>
        <w:t>Las subvenciones de explota</w:t>
      </w:r>
      <w:r w:rsidR="00646619" w:rsidRPr="000E486B">
        <w:rPr>
          <w:sz w:val="20"/>
          <w:szCs w:val="20"/>
        </w:rPr>
        <w:t>ción concedidas en 202</w:t>
      </w:r>
      <w:r w:rsidR="00BA529E">
        <w:rPr>
          <w:sz w:val="20"/>
          <w:szCs w:val="20"/>
        </w:rPr>
        <w:t>1</w:t>
      </w:r>
      <w:r w:rsidR="00646619" w:rsidRPr="000E486B">
        <w:rPr>
          <w:sz w:val="20"/>
          <w:szCs w:val="20"/>
        </w:rPr>
        <w:t xml:space="preserve"> y </w:t>
      </w:r>
      <w:r w:rsidR="000778A8" w:rsidRPr="000E486B">
        <w:rPr>
          <w:sz w:val="20"/>
          <w:szCs w:val="20"/>
        </w:rPr>
        <w:t>prorrogadas al ejercicio 202</w:t>
      </w:r>
      <w:r w:rsidR="00BA529E">
        <w:rPr>
          <w:sz w:val="20"/>
          <w:szCs w:val="20"/>
        </w:rPr>
        <w:t>2</w:t>
      </w:r>
      <w:r w:rsidR="000778A8" w:rsidRPr="000E486B">
        <w:rPr>
          <w:sz w:val="20"/>
          <w:szCs w:val="20"/>
        </w:rPr>
        <w:t xml:space="preserve"> son las siguientes:</w:t>
      </w:r>
    </w:p>
    <w:tbl>
      <w:tblPr>
        <w:tblW w:w="5000" w:type="pct"/>
        <w:tblCellMar>
          <w:left w:w="70" w:type="dxa"/>
          <w:right w:w="70" w:type="dxa"/>
        </w:tblCellMar>
        <w:tblLook w:val="04A0" w:firstRow="1" w:lastRow="0" w:firstColumn="1" w:lastColumn="0" w:noHBand="0" w:noVBand="1"/>
      </w:tblPr>
      <w:tblGrid>
        <w:gridCol w:w="5444"/>
        <w:gridCol w:w="1515"/>
        <w:gridCol w:w="99"/>
        <w:gridCol w:w="1614"/>
        <w:gridCol w:w="1614"/>
        <w:gridCol w:w="1597"/>
        <w:gridCol w:w="1605"/>
        <w:gridCol w:w="233"/>
      </w:tblGrid>
      <w:tr w:rsidR="00F9163F" w:rsidRPr="004E32CD" w14:paraId="382D13A1" w14:textId="77777777" w:rsidTr="00C003BB">
        <w:trPr>
          <w:gridAfter w:val="1"/>
          <w:wAfter w:w="85" w:type="pct"/>
          <w:trHeight w:val="227"/>
        </w:trPr>
        <w:tc>
          <w:tcPr>
            <w:tcW w:w="1984" w:type="pct"/>
            <w:tcBorders>
              <w:top w:val="single" w:sz="4" w:space="0" w:color="auto"/>
              <w:left w:val="nil"/>
              <w:bottom w:val="nil"/>
              <w:right w:val="nil"/>
            </w:tcBorders>
            <w:shd w:val="clear" w:color="auto" w:fill="auto"/>
            <w:noWrap/>
            <w:vAlign w:val="center"/>
            <w:hideMark/>
          </w:tcPr>
          <w:p w14:paraId="47488AF0" w14:textId="77777777" w:rsidR="00F9163F" w:rsidRPr="004E32CD" w:rsidRDefault="00F9163F"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552" w:type="pct"/>
            <w:tcBorders>
              <w:top w:val="single" w:sz="4" w:space="0" w:color="auto"/>
              <w:left w:val="nil"/>
              <w:bottom w:val="nil"/>
              <w:right w:val="nil"/>
            </w:tcBorders>
          </w:tcPr>
          <w:p w14:paraId="333EBA3E" w14:textId="77777777" w:rsidR="00F9163F" w:rsidRPr="004E32CD" w:rsidRDefault="00F9163F"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
        </w:tc>
        <w:tc>
          <w:tcPr>
            <w:tcW w:w="2379" w:type="pct"/>
            <w:gridSpan w:val="5"/>
            <w:tcBorders>
              <w:top w:val="single" w:sz="4" w:space="0" w:color="auto"/>
              <w:left w:val="nil"/>
              <w:bottom w:val="nil"/>
              <w:right w:val="nil"/>
            </w:tcBorders>
            <w:shd w:val="clear" w:color="auto" w:fill="auto"/>
            <w:vAlign w:val="bottom"/>
            <w:hideMark/>
          </w:tcPr>
          <w:p w14:paraId="4506FD37" w14:textId="125DCAEE" w:rsidR="00F9163F" w:rsidRPr="004E32CD" w:rsidRDefault="00F9163F"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4E32CD">
              <w:rPr>
                <w:rFonts w:eastAsia="Times New Roman"/>
                <w:b/>
                <w:bCs/>
                <w:sz w:val="16"/>
                <w:szCs w:val="16"/>
                <w:bdr w:val="none" w:sz="0" w:space="0" w:color="auto"/>
                <w:lang w:eastAsia="es-ES"/>
              </w:rPr>
              <w:t>Euros</w:t>
            </w:r>
          </w:p>
        </w:tc>
      </w:tr>
      <w:tr w:rsidR="00F9163F" w:rsidRPr="004E32CD" w14:paraId="2D0CEFBD" w14:textId="77777777" w:rsidTr="001C58A9">
        <w:trPr>
          <w:trHeight w:val="227"/>
        </w:trPr>
        <w:tc>
          <w:tcPr>
            <w:tcW w:w="1984" w:type="pct"/>
            <w:tcBorders>
              <w:top w:val="nil"/>
              <w:left w:val="nil"/>
              <w:bottom w:val="single" w:sz="4" w:space="0" w:color="auto"/>
              <w:right w:val="nil"/>
            </w:tcBorders>
            <w:shd w:val="clear" w:color="auto" w:fill="auto"/>
            <w:noWrap/>
            <w:vAlign w:val="bottom"/>
            <w:hideMark/>
          </w:tcPr>
          <w:p w14:paraId="3456C980" w14:textId="2868DB80" w:rsidR="00F9163F" w:rsidRPr="001C58A9" w:rsidRDefault="001C58A9" w:rsidP="001C58A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1C58A9">
              <w:rPr>
                <w:rFonts w:eastAsia="Times New Roman"/>
                <w:b/>
                <w:bCs/>
                <w:sz w:val="16"/>
                <w:szCs w:val="16"/>
                <w:bdr w:val="none" w:sz="0" w:space="0" w:color="auto"/>
                <w:lang w:eastAsia="es-ES"/>
              </w:rPr>
              <w:t>Subvención</w:t>
            </w:r>
          </w:p>
        </w:tc>
        <w:tc>
          <w:tcPr>
            <w:tcW w:w="588" w:type="pct"/>
            <w:gridSpan w:val="2"/>
            <w:tcBorders>
              <w:top w:val="single" w:sz="4" w:space="0" w:color="auto"/>
              <w:left w:val="nil"/>
              <w:bottom w:val="single" w:sz="4" w:space="0" w:color="auto"/>
              <w:right w:val="nil"/>
            </w:tcBorders>
            <w:shd w:val="clear" w:color="auto" w:fill="auto"/>
            <w:vAlign w:val="bottom"/>
            <w:hideMark/>
          </w:tcPr>
          <w:p w14:paraId="007D0E51" w14:textId="4C67A9C1" w:rsidR="00F9163F" w:rsidRPr="004E32CD" w:rsidRDefault="00F9163F" w:rsidP="0017658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4E32CD">
              <w:rPr>
                <w:rFonts w:eastAsia="Times New Roman"/>
                <w:b/>
                <w:bCs/>
                <w:sz w:val="16"/>
                <w:szCs w:val="16"/>
                <w:bdr w:val="none" w:sz="0" w:space="0" w:color="auto"/>
                <w:lang w:eastAsia="es-ES"/>
              </w:rPr>
              <w:t xml:space="preserve">Importe concedido </w:t>
            </w:r>
            <w:r w:rsidR="00C003BB">
              <w:rPr>
                <w:rFonts w:eastAsia="Times New Roman"/>
                <w:b/>
                <w:bCs/>
                <w:sz w:val="16"/>
                <w:szCs w:val="16"/>
                <w:bdr w:val="none" w:sz="0" w:space="0" w:color="auto"/>
                <w:lang w:eastAsia="es-ES"/>
              </w:rPr>
              <w:t xml:space="preserve">en </w:t>
            </w:r>
            <w:r w:rsidRPr="004E32CD">
              <w:rPr>
                <w:rFonts w:eastAsia="Times New Roman"/>
                <w:b/>
                <w:bCs/>
                <w:sz w:val="16"/>
                <w:szCs w:val="16"/>
                <w:bdr w:val="none" w:sz="0" w:space="0" w:color="auto"/>
                <w:lang w:eastAsia="es-ES"/>
              </w:rPr>
              <w:t>2021</w:t>
            </w:r>
          </w:p>
        </w:tc>
        <w:tc>
          <w:tcPr>
            <w:tcW w:w="588" w:type="pct"/>
            <w:tcBorders>
              <w:top w:val="single" w:sz="4" w:space="0" w:color="auto"/>
              <w:left w:val="nil"/>
              <w:bottom w:val="single" w:sz="4" w:space="0" w:color="auto"/>
              <w:right w:val="nil"/>
            </w:tcBorders>
            <w:vAlign w:val="bottom"/>
          </w:tcPr>
          <w:p w14:paraId="0CF600A0" w14:textId="5FFC4085" w:rsidR="00F9163F" w:rsidRPr="004E32CD" w:rsidRDefault="00F9163F" w:rsidP="0017658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4E32CD">
              <w:rPr>
                <w:rFonts w:eastAsia="Times New Roman"/>
                <w:b/>
                <w:bCs/>
                <w:sz w:val="16"/>
                <w:szCs w:val="16"/>
                <w:bdr w:val="none" w:sz="0" w:space="0" w:color="auto"/>
                <w:lang w:eastAsia="es-ES"/>
              </w:rPr>
              <w:t xml:space="preserve">Importe concedido </w:t>
            </w:r>
            <w:r w:rsidR="00C003BB">
              <w:rPr>
                <w:rFonts w:eastAsia="Times New Roman"/>
                <w:b/>
                <w:bCs/>
                <w:sz w:val="16"/>
                <w:szCs w:val="16"/>
                <w:bdr w:val="none" w:sz="0" w:space="0" w:color="auto"/>
                <w:lang w:eastAsia="es-ES"/>
              </w:rPr>
              <w:t xml:space="preserve">en </w:t>
            </w:r>
            <w:r w:rsidR="00176581">
              <w:rPr>
                <w:rFonts w:eastAsia="Times New Roman"/>
                <w:b/>
                <w:bCs/>
                <w:sz w:val="16"/>
                <w:szCs w:val="16"/>
                <w:bdr w:val="none" w:sz="0" w:space="0" w:color="auto"/>
                <w:lang w:eastAsia="es-ES"/>
              </w:rPr>
              <w:t>2020</w:t>
            </w:r>
          </w:p>
        </w:tc>
        <w:tc>
          <w:tcPr>
            <w:tcW w:w="588" w:type="pct"/>
            <w:tcBorders>
              <w:top w:val="single" w:sz="4" w:space="0" w:color="auto"/>
              <w:left w:val="nil"/>
              <w:bottom w:val="single" w:sz="4" w:space="0" w:color="auto"/>
              <w:right w:val="nil"/>
            </w:tcBorders>
            <w:shd w:val="clear" w:color="auto" w:fill="auto"/>
            <w:vAlign w:val="bottom"/>
            <w:hideMark/>
          </w:tcPr>
          <w:p w14:paraId="589AF298" w14:textId="5DD51074" w:rsidR="00F9163F" w:rsidRPr="004E32CD" w:rsidRDefault="00F9163F" w:rsidP="0017658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4E32CD">
              <w:rPr>
                <w:rFonts w:eastAsia="Times New Roman"/>
                <w:b/>
                <w:bCs/>
                <w:sz w:val="16"/>
                <w:szCs w:val="16"/>
                <w:bdr w:val="none" w:sz="0" w:space="0" w:color="auto"/>
                <w:lang w:eastAsia="es-ES"/>
              </w:rPr>
              <w:t>Importe ejecutado en 2021</w:t>
            </w:r>
          </w:p>
        </w:tc>
        <w:tc>
          <w:tcPr>
            <w:tcW w:w="582" w:type="pct"/>
            <w:tcBorders>
              <w:top w:val="single" w:sz="4" w:space="0" w:color="auto"/>
              <w:left w:val="nil"/>
              <w:bottom w:val="single" w:sz="4" w:space="0" w:color="auto"/>
              <w:right w:val="nil"/>
            </w:tcBorders>
            <w:shd w:val="clear" w:color="auto" w:fill="auto"/>
            <w:vAlign w:val="bottom"/>
            <w:hideMark/>
          </w:tcPr>
          <w:p w14:paraId="4B59A1C3" w14:textId="37E4B5DE" w:rsidR="00F9163F" w:rsidRPr="004E32CD" w:rsidRDefault="00F9163F" w:rsidP="0017658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4E32CD">
              <w:rPr>
                <w:rFonts w:eastAsia="Times New Roman"/>
                <w:b/>
                <w:bCs/>
                <w:sz w:val="16"/>
                <w:szCs w:val="16"/>
                <w:bdr w:val="none" w:sz="0" w:space="0" w:color="auto"/>
                <w:lang w:eastAsia="es-ES"/>
              </w:rPr>
              <w:t>Importe a reintegrar</w:t>
            </w:r>
          </w:p>
        </w:tc>
        <w:tc>
          <w:tcPr>
            <w:tcW w:w="670" w:type="pct"/>
            <w:gridSpan w:val="2"/>
            <w:tcBorders>
              <w:top w:val="single" w:sz="4" w:space="0" w:color="auto"/>
              <w:left w:val="nil"/>
              <w:bottom w:val="single" w:sz="4" w:space="0" w:color="auto"/>
              <w:right w:val="nil"/>
            </w:tcBorders>
            <w:shd w:val="clear" w:color="auto" w:fill="auto"/>
            <w:vAlign w:val="bottom"/>
            <w:hideMark/>
          </w:tcPr>
          <w:p w14:paraId="489F9466" w14:textId="17AA2145" w:rsidR="00F9163F" w:rsidRPr="004E32CD" w:rsidRDefault="00F9163F" w:rsidP="0017658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4E32CD">
              <w:rPr>
                <w:rFonts w:eastAsia="Times New Roman"/>
                <w:b/>
                <w:bCs/>
                <w:sz w:val="16"/>
                <w:szCs w:val="16"/>
                <w:bdr w:val="none" w:sz="0" w:space="0" w:color="auto"/>
                <w:lang w:eastAsia="es-ES"/>
              </w:rPr>
              <w:t>Importe pendiente de ejecutar a 2021</w:t>
            </w:r>
          </w:p>
        </w:tc>
      </w:tr>
      <w:tr w:rsidR="00691F3B" w:rsidRPr="00580F44" w14:paraId="3A3936D6" w14:textId="77777777" w:rsidTr="001C58A9">
        <w:trPr>
          <w:trHeight w:val="283"/>
        </w:trPr>
        <w:tc>
          <w:tcPr>
            <w:tcW w:w="1984" w:type="pct"/>
            <w:tcBorders>
              <w:top w:val="single" w:sz="4" w:space="0" w:color="auto"/>
              <w:left w:val="nil"/>
              <w:bottom w:val="single" w:sz="4" w:space="0" w:color="auto"/>
              <w:right w:val="nil"/>
            </w:tcBorders>
            <w:shd w:val="clear" w:color="auto" w:fill="auto"/>
            <w:vAlign w:val="center"/>
            <w:hideMark/>
          </w:tcPr>
          <w:p w14:paraId="6455E19A" w14:textId="7893278C" w:rsidR="00F9163F" w:rsidRPr="004E32CD" w:rsidRDefault="00F9163F" w:rsidP="00F9163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Desarrollo de actividad promocional (FEDER)</w:t>
            </w:r>
          </w:p>
        </w:tc>
        <w:tc>
          <w:tcPr>
            <w:tcW w:w="588" w:type="pct"/>
            <w:gridSpan w:val="2"/>
            <w:tcBorders>
              <w:top w:val="single" w:sz="4" w:space="0" w:color="auto"/>
              <w:left w:val="nil"/>
              <w:bottom w:val="single" w:sz="4" w:space="0" w:color="auto"/>
              <w:right w:val="nil"/>
            </w:tcBorders>
            <w:shd w:val="clear" w:color="auto" w:fill="auto"/>
            <w:vAlign w:val="center"/>
            <w:hideMark/>
          </w:tcPr>
          <w:p w14:paraId="4DBCB6C6" w14:textId="07A22A78" w:rsidR="00F9163F" w:rsidRPr="004E32CD" w:rsidRDefault="00F9163F" w:rsidP="00F9163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12.500.000,00</w:t>
            </w:r>
          </w:p>
        </w:tc>
        <w:tc>
          <w:tcPr>
            <w:tcW w:w="588" w:type="pct"/>
            <w:tcBorders>
              <w:top w:val="single" w:sz="4" w:space="0" w:color="auto"/>
              <w:left w:val="nil"/>
              <w:bottom w:val="single" w:sz="4" w:space="0" w:color="auto"/>
              <w:right w:val="nil"/>
            </w:tcBorders>
            <w:vAlign w:val="center"/>
          </w:tcPr>
          <w:p w14:paraId="3408A198" w14:textId="44F45FEE" w:rsidR="00F9163F" w:rsidRPr="004E32CD" w:rsidRDefault="00F9163F" w:rsidP="00F9163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w:t>
            </w:r>
          </w:p>
        </w:tc>
        <w:tc>
          <w:tcPr>
            <w:tcW w:w="588" w:type="pct"/>
            <w:tcBorders>
              <w:top w:val="single" w:sz="4" w:space="0" w:color="auto"/>
              <w:left w:val="nil"/>
              <w:bottom w:val="single" w:sz="4" w:space="0" w:color="auto"/>
              <w:right w:val="nil"/>
            </w:tcBorders>
            <w:shd w:val="clear" w:color="auto" w:fill="auto"/>
            <w:vAlign w:val="center"/>
            <w:hideMark/>
          </w:tcPr>
          <w:p w14:paraId="5BBC9DFF" w14:textId="68FA1986" w:rsidR="00F9163F" w:rsidRPr="004E32CD" w:rsidRDefault="00F9163F" w:rsidP="00F9163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12.500.000,00</w:t>
            </w:r>
          </w:p>
        </w:tc>
        <w:tc>
          <w:tcPr>
            <w:tcW w:w="582" w:type="pct"/>
            <w:tcBorders>
              <w:top w:val="single" w:sz="4" w:space="0" w:color="auto"/>
              <w:left w:val="nil"/>
              <w:bottom w:val="single" w:sz="4" w:space="0" w:color="auto"/>
              <w:right w:val="nil"/>
            </w:tcBorders>
            <w:shd w:val="clear" w:color="auto" w:fill="auto"/>
            <w:vAlign w:val="center"/>
            <w:hideMark/>
          </w:tcPr>
          <w:p w14:paraId="6E063832" w14:textId="173FB1CD" w:rsidR="00F9163F" w:rsidRPr="004E32CD" w:rsidRDefault="00F9163F" w:rsidP="00F9163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670" w:type="pct"/>
            <w:gridSpan w:val="2"/>
            <w:tcBorders>
              <w:top w:val="single" w:sz="4" w:space="0" w:color="auto"/>
              <w:left w:val="nil"/>
              <w:bottom w:val="single" w:sz="4" w:space="0" w:color="auto"/>
              <w:right w:val="nil"/>
            </w:tcBorders>
            <w:shd w:val="clear" w:color="auto" w:fill="auto"/>
            <w:vAlign w:val="center"/>
            <w:hideMark/>
          </w:tcPr>
          <w:p w14:paraId="7FA6B9F7" w14:textId="4481D1AE" w:rsidR="00F9163F" w:rsidRPr="00580F44" w:rsidRDefault="00F9163F" w:rsidP="00F9163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0F44">
              <w:rPr>
                <w:sz w:val="16"/>
                <w:szCs w:val="16"/>
              </w:rPr>
              <w:t xml:space="preserve"> -</w:t>
            </w:r>
          </w:p>
        </w:tc>
      </w:tr>
      <w:tr w:rsidR="00691F3B" w:rsidRPr="00580F44" w14:paraId="33F8063E" w14:textId="77777777" w:rsidTr="001C58A9">
        <w:trPr>
          <w:trHeight w:val="283"/>
        </w:trPr>
        <w:tc>
          <w:tcPr>
            <w:tcW w:w="1984" w:type="pct"/>
            <w:tcBorders>
              <w:top w:val="single" w:sz="4" w:space="0" w:color="auto"/>
              <w:left w:val="nil"/>
              <w:bottom w:val="single" w:sz="4" w:space="0" w:color="auto"/>
              <w:right w:val="nil"/>
            </w:tcBorders>
            <w:shd w:val="clear" w:color="auto" w:fill="auto"/>
            <w:vAlign w:val="center"/>
            <w:hideMark/>
          </w:tcPr>
          <w:p w14:paraId="3FF97E31" w14:textId="750A2A34"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Desarrollo de actividad promocional (NO FEDER)</w:t>
            </w:r>
          </w:p>
        </w:tc>
        <w:tc>
          <w:tcPr>
            <w:tcW w:w="588" w:type="pct"/>
            <w:gridSpan w:val="2"/>
            <w:tcBorders>
              <w:top w:val="single" w:sz="4" w:space="0" w:color="auto"/>
              <w:left w:val="nil"/>
              <w:bottom w:val="single" w:sz="4" w:space="0" w:color="auto"/>
              <w:right w:val="nil"/>
            </w:tcBorders>
            <w:shd w:val="clear" w:color="auto" w:fill="auto"/>
            <w:vAlign w:val="center"/>
          </w:tcPr>
          <w:p w14:paraId="616AFE75" w14:textId="60E495D7"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8.407.361,00</w:t>
            </w:r>
          </w:p>
        </w:tc>
        <w:tc>
          <w:tcPr>
            <w:tcW w:w="588" w:type="pct"/>
            <w:tcBorders>
              <w:top w:val="single" w:sz="4" w:space="0" w:color="auto"/>
              <w:left w:val="nil"/>
              <w:bottom w:val="single" w:sz="4" w:space="0" w:color="auto"/>
              <w:right w:val="nil"/>
            </w:tcBorders>
            <w:vAlign w:val="center"/>
          </w:tcPr>
          <w:p w14:paraId="166DBAF2" w14:textId="3C554A40"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1.018.060,05</w:t>
            </w:r>
          </w:p>
        </w:tc>
        <w:tc>
          <w:tcPr>
            <w:tcW w:w="588" w:type="pct"/>
            <w:tcBorders>
              <w:top w:val="single" w:sz="4" w:space="0" w:color="auto"/>
              <w:left w:val="nil"/>
              <w:bottom w:val="single" w:sz="4" w:space="0" w:color="auto"/>
              <w:right w:val="nil"/>
            </w:tcBorders>
            <w:shd w:val="clear" w:color="auto" w:fill="auto"/>
            <w:vAlign w:val="center"/>
          </w:tcPr>
          <w:p w14:paraId="60B0B47B" w14:textId="2F0E42D5"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9.425.421,05</w:t>
            </w:r>
          </w:p>
        </w:tc>
        <w:tc>
          <w:tcPr>
            <w:tcW w:w="582" w:type="pct"/>
            <w:tcBorders>
              <w:top w:val="single" w:sz="4" w:space="0" w:color="auto"/>
              <w:left w:val="nil"/>
              <w:bottom w:val="single" w:sz="4" w:space="0" w:color="auto"/>
              <w:right w:val="nil"/>
            </w:tcBorders>
            <w:shd w:val="clear" w:color="auto" w:fill="auto"/>
            <w:vAlign w:val="center"/>
          </w:tcPr>
          <w:p w14:paraId="7608B4B0" w14:textId="5126A717"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670" w:type="pct"/>
            <w:gridSpan w:val="2"/>
            <w:tcBorders>
              <w:top w:val="single" w:sz="4" w:space="0" w:color="auto"/>
              <w:left w:val="nil"/>
              <w:bottom w:val="single" w:sz="4" w:space="0" w:color="auto"/>
              <w:right w:val="nil"/>
            </w:tcBorders>
            <w:shd w:val="clear" w:color="auto" w:fill="auto"/>
            <w:vAlign w:val="center"/>
          </w:tcPr>
          <w:p w14:paraId="4708B441" w14:textId="52E502A8" w:rsidR="00A77EBF" w:rsidRPr="00580F44"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0F44">
              <w:rPr>
                <w:sz w:val="16"/>
                <w:szCs w:val="16"/>
              </w:rPr>
              <w:t xml:space="preserve"> -</w:t>
            </w:r>
          </w:p>
        </w:tc>
      </w:tr>
      <w:tr w:rsidR="00691F3B" w:rsidRPr="00580F44" w14:paraId="2DF25B98" w14:textId="77777777" w:rsidTr="001C58A9">
        <w:trPr>
          <w:trHeight w:val="283"/>
        </w:trPr>
        <w:tc>
          <w:tcPr>
            <w:tcW w:w="1984" w:type="pct"/>
            <w:tcBorders>
              <w:top w:val="single" w:sz="4" w:space="0" w:color="auto"/>
              <w:left w:val="nil"/>
              <w:bottom w:val="single" w:sz="4" w:space="0" w:color="auto"/>
              <w:right w:val="nil"/>
            </w:tcBorders>
            <w:shd w:val="clear" w:color="auto" w:fill="auto"/>
            <w:vAlign w:val="center"/>
            <w:hideMark/>
          </w:tcPr>
          <w:p w14:paraId="2AB1DEDA" w14:textId="48FD4287"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Promoción turística de las artes, cultura y sociedad</w:t>
            </w:r>
          </w:p>
        </w:tc>
        <w:tc>
          <w:tcPr>
            <w:tcW w:w="588" w:type="pct"/>
            <w:gridSpan w:val="2"/>
            <w:tcBorders>
              <w:top w:val="single" w:sz="4" w:space="0" w:color="auto"/>
              <w:left w:val="nil"/>
              <w:bottom w:val="single" w:sz="4" w:space="0" w:color="auto"/>
              <w:right w:val="nil"/>
            </w:tcBorders>
            <w:shd w:val="clear" w:color="auto" w:fill="auto"/>
            <w:vAlign w:val="center"/>
          </w:tcPr>
          <w:p w14:paraId="04BF0B45" w14:textId="7D4B01D1"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588" w:type="pct"/>
            <w:tcBorders>
              <w:top w:val="single" w:sz="4" w:space="0" w:color="auto"/>
              <w:left w:val="nil"/>
              <w:bottom w:val="single" w:sz="4" w:space="0" w:color="auto"/>
              <w:right w:val="nil"/>
            </w:tcBorders>
            <w:vAlign w:val="center"/>
          </w:tcPr>
          <w:p w14:paraId="54D267CE" w14:textId="41919A60"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137.237,97</w:t>
            </w:r>
          </w:p>
        </w:tc>
        <w:tc>
          <w:tcPr>
            <w:tcW w:w="588" w:type="pct"/>
            <w:tcBorders>
              <w:top w:val="single" w:sz="4" w:space="0" w:color="auto"/>
              <w:left w:val="nil"/>
              <w:bottom w:val="single" w:sz="4" w:space="0" w:color="auto"/>
              <w:right w:val="nil"/>
            </w:tcBorders>
            <w:shd w:val="clear" w:color="auto" w:fill="auto"/>
            <w:vAlign w:val="center"/>
          </w:tcPr>
          <w:p w14:paraId="302000C7" w14:textId="09DC1AA3"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137.237,97</w:t>
            </w:r>
          </w:p>
        </w:tc>
        <w:tc>
          <w:tcPr>
            <w:tcW w:w="582" w:type="pct"/>
            <w:tcBorders>
              <w:top w:val="single" w:sz="4" w:space="0" w:color="auto"/>
              <w:left w:val="nil"/>
              <w:bottom w:val="single" w:sz="4" w:space="0" w:color="auto"/>
              <w:right w:val="nil"/>
            </w:tcBorders>
            <w:shd w:val="clear" w:color="auto" w:fill="auto"/>
            <w:vAlign w:val="center"/>
          </w:tcPr>
          <w:p w14:paraId="56CA9A4C" w14:textId="5BF696CF"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670" w:type="pct"/>
            <w:gridSpan w:val="2"/>
            <w:tcBorders>
              <w:top w:val="single" w:sz="4" w:space="0" w:color="auto"/>
              <w:left w:val="nil"/>
              <w:bottom w:val="single" w:sz="4" w:space="0" w:color="auto"/>
              <w:right w:val="nil"/>
            </w:tcBorders>
            <w:shd w:val="clear" w:color="auto" w:fill="auto"/>
            <w:vAlign w:val="center"/>
          </w:tcPr>
          <w:p w14:paraId="358E44CE" w14:textId="1E047ADD" w:rsidR="00A77EBF" w:rsidRPr="00580F44"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0F44">
              <w:rPr>
                <w:sz w:val="16"/>
                <w:szCs w:val="16"/>
              </w:rPr>
              <w:t xml:space="preserve"> -</w:t>
            </w:r>
          </w:p>
        </w:tc>
      </w:tr>
      <w:tr w:rsidR="00691F3B" w:rsidRPr="00580F44" w14:paraId="7D131D45" w14:textId="77777777" w:rsidTr="001C58A9">
        <w:trPr>
          <w:trHeight w:val="283"/>
        </w:trPr>
        <w:tc>
          <w:tcPr>
            <w:tcW w:w="1984" w:type="pct"/>
            <w:tcBorders>
              <w:top w:val="single" w:sz="4" w:space="0" w:color="auto"/>
              <w:left w:val="nil"/>
              <w:bottom w:val="single" w:sz="4" w:space="0" w:color="auto"/>
              <w:right w:val="nil"/>
            </w:tcBorders>
            <w:shd w:val="clear" w:color="auto" w:fill="auto"/>
            <w:vAlign w:val="center"/>
            <w:hideMark/>
          </w:tcPr>
          <w:p w14:paraId="5B9132EA" w14:textId="159E5B51"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Fomento de la conectividad aérea (paliar los efectos de la quiebra de Thomas Cook)</w:t>
            </w:r>
          </w:p>
        </w:tc>
        <w:tc>
          <w:tcPr>
            <w:tcW w:w="588" w:type="pct"/>
            <w:gridSpan w:val="2"/>
            <w:tcBorders>
              <w:top w:val="single" w:sz="4" w:space="0" w:color="auto"/>
              <w:left w:val="nil"/>
              <w:bottom w:val="single" w:sz="4" w:space="0" w:color="auto"/>
              <w:right w:val="nil"/>
            </w:tcBorders>
            <w:shd w:val="clear" w:color="auto" w:fill="auto"/>
            <w:vAlign w:val="center"/>
          </w:tcPr>
          <w:p w14:paraId="6C5B1764" w14:textId="161BE65F"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588" w:type="pct"/>
            <w:tcBorders>
              <w:top w:val="single" w:sz="4" w:space="0" w:color="auto"/>
              <w:left w:val="nil"/>
              <w:bottom w:val="single" w:sz="4" w:space="0" w:color="auto"/>
              <w:right w:val="nil"/>
            </w:tcBorders>
            <w:vAlign w:val="center"/>
          </w:tcPr>
          <w:p w14:paraId="694B5E9D" w14:textId="47619644"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100.000,00</w:t>
            </w:r>
          </w:p>
        </w:tc>
        <w:tc>
          <w:tcPr>
            <w:tcW w:w="588" w:type="pct"/>
            <w:tcBorders>
              <w:top w:val="single" w:sz="4" w:space="0" w:color="auto"/>
              <w:left w:val="nil"/>
              <w:bottom w:val="single" w:sz="4" w:space="0" w:color="auto"/>
              <w:right w:val="nil"/>
            </w:tcBorders>
            <w:shd w:val="clear" w:color="auto" w:fill="auto"/>
            <w:vAlign w:val="center"/>
          </w:tcPr>
          <w:p w14:paraId="7D9D561A" w14:textId="05CE7AAF"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74.814,40</w:t>
            </w:r>
          </w:p>
        </w:tc>
        <w:tc>
          <w:tcPr>
            <w:tcW w:w="582" w:type="pct"/>
            <w:tcBorders>
              <w:top w:val="single" w:sz="4" w:space="0" w:color="auto"/>
              <w:left w:val="nil"/>
              <w:bottom w:val="single" w:sz="4" w:space="0" w:color="auto"/>
              <w:right w:val="nil"/>
            </w:tcBorders>
            <w:shd w:val="clear" w:color="auto" w:fill="auto"/>
            <w:vAlign w:val="center"/>
          </w:tcPr>
          <w:p w14:paraId="17FD308A" w14:textId="5D454617"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670" w:type="pct"/>
            <w:gridSpan w:val="2"/>
            <w:tcBorders>
              <w:top w:val="single" w:sz="4" w:space="0" w:color="auto"/>
              <w:left w:val="nil"/>
              <w:bottom w:val="single" w:sz="4" w:space="0" w:color="auto"/>
              <w:right w:val="nil"/>
            </w:tcBorders>
            <w:shd w:val="clear" w:color="auto" w:fill="auto"/>
            <w:vAlign w:val="center"/>
          </w:tcPr>
          <w:p w14:paraId="673BD2CE" w14:textId="459EDB3D" w:rsidR="00A77EBF" w:rsidRPr="00580F44"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0F44">
              <w:rPr>
                <w:sz w:val="16"/>
                <w:szCs w:val="16"/>
              </w:rPr>
              <w:t>25.185,60</w:t>
            </w:r>
          </w:p>
        </w:tc>
      </w:tr>
      <w:tr w:rsidR="00691F3B" w:rsidRPr="00580F44" w14:paraId="49232957" w14:textId="77777777" w:rsidTr="001C58A9">
        <w:trPr>
          <w:trHeight w:val="283"/>
        </w:trPr>
        <w:tc>
          <w:tcPr>
            <w:tcW w:w="1984" w:type="pct"/>
            <w:tcBorders>
              <w:top w:val="single" w:sz="4" w:space="0" w:color="auto"/>
              <w:left w:val="nil"/>
              <w:bottom w:val="single" w:sz="4" w:space="0" w:color="auto"/>
              <w:right w:val="nil"/>
            </w:tcBorders>
            <w:shd w:val="clear" w:color="auto" w:fill="auto"/>
            <w:vAlign w:val="center"/>
            <w:hideMark/>
          </w:tcPr>
          <w:p w14:paraId="6156EA9B" w14:textId="54F51589"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Fomento de la conectividad aérea de las islas Canarias - Ampliación</w:t>
            </w:r>
          </w:p>
        </w:tc>
        <w:tc>
          <w:tcPr>
            <w:tcW w:w="588" w:type="pct"/>
            <w:gridSpan w:val="2"/>
            <w:tcBorders>
              <w:top w:val="single" w:sz="4" w:space="0" w:color="auto"/>
              <w:left w:val="nil"/>
              <w:bottom w:val="single" w:sz="4" w:space="0" w:color="auto"/>
              <w:right w:val="nil"/>
            </w:tcBorders>
            <w:shd w:val="clear" w:color="auto" w:fill="auto"/>
            <w:vAlign w:val="center"/>
          </w:tcPr>
          <w:p w14:paraId="5E7336F7" w14:textId="7781C48E"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588" w:type="pct"/>
            <w:tcBorders>
              <w:top w:val="single" w:sz="4" w:space="0" w:color="auto"/>
              <w:left w:val="nil"/>
              <w:bottom w:val="single" w:sz="4" w:space="0" w:color="auto"/>
              <w:right w:val="nil"/>
            </w:tcBorders>
            <w:vAlign w:val="center"/>
          </w:tcPr>
          <w:p w14:paraId="5537377F" w14:textId="485E6D7A"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601.380,36</w:t>
            </w:r>
          </w:p>
        </w:tc>
        <w:tc>
          <w:tcPr>
            <w:tcW w:w="588" w:type="pct"/>
            <w:tcBorders>
              <w:top w:val="single" w:sz="4" w:space="0" w:color="auto"/>
              <w:left w:val="nil"/>
              <w:bottom w:val="single" w:sz="4" w:space="0" w:color="auto"/>
              <w:right w:val="nil"/>
            </w:tcBorders>
            <w:shd w:val="clear" w:color="auto" w:fill="auto"/>
            <w:vAlign w:val="center"/>
          </w:tcPr>
          <w:p w14:paraId="051088D6" w14:textId="699ABEC1"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601.380,36</w:t>
            </w:r>
          </w:p>
        </w:tc>
        <w:tc>
          <w:tcPr>
            <w:tcW w:w="582" w:type="pct"/>
            <w:tcBorders>
              <w:top w:val="single" w:sz="4" w:space="0" w:color="auto"/>
              <w:left w:val="nil"/>
              <w:bottom w:val="single" w:sz="4" w:space="0" w:color="auto"/>
              <w:right w:val="nil"/>
            </w:tcBorders>
            <w:shd w:val="clear" w:color="auto" w:fill="auto"/>
            <w:vAlign w:val="center"/>
          </w:tcPr>
          <w:p w14:paraId="665E2AD1" w14:textId="7094DF5B"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670" w:type="pct"/>
            <w:gridSpan w:val="2"/>
            <w:tcBorders>
              <w:top w:val="single" w:sz="4" w:space="0" w:color="auto"/>
              <w:left w:val="nil"/>
              <w:bottom w:val="single" w:sz="4" w:space="0" w:color="auto"/>
              <w:right w:val="nil"/>
            </w:tcBorders>
            <w:shd w:val="clear" w:color="auto" w:fill="auto"/>
            <w:vAlign w:val="center"/>
          </w:tcPr>
          <w:p w14:paraId="459D9327" w14:textId="1A499FD2" w:rsidR="00A77EBF" w:rsidRPr="00580F44"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0F44">
              <w:rPr>
                <w:sz w:val="16"/>
                <w:szCs w:val="16"/>
              </w:rPr>
              <w:t xml:space="preserve"> -</w:t>
            </w:r>
          </w:p>
        </w:tc>
      </w:tr>
      <w:tr w:rsidR="00A77EBF" w:rsidRPr="00580F44" w14:paraId="1D3CE9F4" w14:textId="77777777" w:rsidTr="001C58A9">
        <w:trPr>
          <w:trHeight w:val="283"/>
        </w:trPr>
        <w:tc>
          <w:tcPr>
            <w:tcW w:w="1984" w:type="pct"/>
            <w:tcBorders>
              <w:top w:val="single" w:sz="4" w:space="0" w:color="auto"/>
              <w:left w:val="nil"/>
              <w:bottom w:val="single" w:sz="4" w:space="0" w:color="auto"/>
              <w:right w:val="nil"/>
            </w:tcBorders>
            <w:shd w:val="clear" w:color="auto" w:fill="auto"/>
            <w:vAlign w:val="center"/>
          </w:tcPr>
          <w:p w14:paraId="01AD7357" w14:textId="29B90CAC"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Para el seguimiento de la conectividad aérea</w:t>
            </w:r>
          </w:p>
        </w:tc>
        <w:tc>
          <w:tcPr>
            <w:tcW w:w="588" w:type="pct"/>
            <w:gridSpan w:val="2"/>
            <w:tcBorders>
              <w:top w:val="single" w:sz="4" w:space="0" w:color="auto"/>
              <w:left w:val="nil"/>
              <w:bottom w:val="single" w:sz="4" w:space="0" w:color="auto"/>
              <w:right w:val="nil"/>
            </w:tcBorders>
            <w:shd w:val="clear" w:color="auto" w:fill="auto"/>
            <w:vAlign w:val="center"/>
          </w:tcPr>
          <w:p w14:paraId="762E7086" w14:textId="1584F536"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150.000,00</w:t>
            </w:r>
          </w:p>
        </w:tc>
        <w:tc>
          <w:tcPr>
            <w:tcW w:w="588" w:type="pct"/>
            <w:tcBorders>
              <w:top w:val="single" w:sz="4" w:space="0" w:color="auto"/>
              <w:left w:val="nil"/>
              <w:bottom w:val="single" w:sz="4" w:space="0" w:color="auto"/>
              <w:right w:val="nil"/>
            </w:tcBorders>
            <w:vAlign w:val="center"/>
          </w:tcPr>
          <w:p w14:paraId="6E9FAD0E" w14:textId="28BFDBC1"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588" w:type="pct"/>
            <w:tcBorders>
              <w:top w:val="single" w:sz="4" w:space="0" w:color="auto"/>
              <w:left w:val="nil"/>
              <w:bottom w:val="single" w:sz="4" w:space="0" w:color="auto"/>
              <w:right w:val="nil"/>
            </w:tcBorders>
            <w:shd w:val="clear" w:color="auto" w:fill="auto"/>
            <w:vAlign w:val="center"/>
          </w:tcPr>
          <w:p w14:paraId="7EBEE3E6" w14:textId="635E4B5C"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150.000,00</w:t>
            </w:r>
          </w:p>
        </w:tc>
        <w:tc>
          <w:tcPr>
            <w:tcW w:w="582" w:type="pct"/>
            <w:tcBorders>
              <w:top w:val="single" w:sz="4" w:space="0" w:color="auto"/>
              <w:left w:val="nil"/>
              <w:bottom w:val="single" w:sz="4" w:space="0" w:color="auto"/>
              <w:right w:val="nil"/>
            </w:tcBorders>
            <w:shd w:val="clear" w:color="auto" w:fill="auto"/>
            <w:vAlign w:val="center"/>
          </w:tcPr>
          <w:p w14:paraId="7C39EB75" w14:textId="337DF6DE"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670" w:type="pct"/>
            <w:gridSpan w:val="2"/>
            <w:tcBorders>
              <w:top w:val="single" w:sz="4" w:space="0" w:color="auto"/>
              <w:left w:val="nil"/>
              <w:bottom w:val="single" w:sz="4" w:space="0" w:color="auto"/>
              <w:right w:val="nil"/>
            </w:tcBorders>
            <w:shd w:val="clear" w:color="auto" w:fill="auto"/>
            <w:vAlign w:val="center"/>
          </w:tcPr>
          <w:p w14:paraId="550ADFEA" w14:textId="02747273" w:rsidR="00A77EBF" w:rsidRPr="00580F44"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0F44">
              <w:rPr>
                <w:sz w:val="16"/>
                <w:szCs w:val="16"/>
              </w:rPr>
              <w:t xml:space="preserve"> -</w:t>
            </w:r>
          </w:p>
        </w:tc>
      </w:tr>
      <w:tr w:rsidR="00691F3B" w:rsidRPr="00580F44" w14:paraId="3A47BB1D" w14:textId="77777777" w:rsidTr="001C58A9">
        <w:trPr>
          <w:trHeight w:val="283"/>
        </w:trPr>
        <w:tc>
          <w:tcPr>
            <w:tcW w:w="1984" w:type="pct"/>
            <w:tcBorders>
              <w:top w:val="single" w:sz="4" w:space="0" w:color="auto"/>
              <w:left w:val="nil"/>
              <w:bottom w:val="single" w:sz="4" w:space="0" w:color="auto"/>
              <w:right w:val="nil"/>
            </w:tcBorders>
            <w:shd w:val="clear" w:color="auto" w:fill="auto"/>
            <w:vAlign w:val="center"/>
            <w:hideMark/>
          </w:tcPr>
          <w:p w14:paraId="64F5D734" w14:textId="3D64DD0D"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Plan de digitalización (paliar los efectos de la quiebra de Thomas Cook)</w:t>
            </w:r>
          </w:p>
        </w:tc>
        <w:tc>
          <w:tcPr>
            <w:tcW w:w="588" w:type="pct"/>
            <w:gridSpan w:val="2"/>
            <w:tcBorders>
              <w:top w:val="single" w:sz="4" w:space="0" w:color="auto"/>
              <w:left w:val="nil"/>
              <w:bottom w:val="single" w:sz="4" w:space="0" w:color="auto"/>
              <w:right w:val="nil"/>
            </w:tcBorders>
            <w:shd w:val="clear" w:color="auto" w:fill="auto"/>
            <w:vAlign w:val="center"/>
          </w:tcPr>
          <w:p w14:paraId="464DD59C" w14:textId="5A365AC5"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588" w:type="pct"/>
            <w:tcBorders>
              <w:top w:val="single" w:sz="4" w:space="0" w:color="auto"/>
              <w:left w:val="nil"/>
              <w:bottom w:val="single" w:sz="4" w:space="0" w:color="auto"/>
              <w:right w:val="nil"/>
            </w:tcBorders>
            <w:vAlign w:val="center"/>
          </w:tcPr>
          <w:p w14:paraId="67334834" w14:textId="72453093"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18.422,12</w:t>
            </w:r>
          </w:p>
        </w:tc>
        <w:tc>
          <w:tcPr>
            <w:tcW w:w="588" w:type="pct"/>
            <w:tcBorders>
              <w:top w:val="single" w:sz="4" w:space="0" w:color="auto"/>
              <w:left w:val="nil"/>
              <w:bottom w:val="single" w:sz="4" w:space="0" w:color="auto"/>
              <w:right w:val="nil"/>
            </w:tcBorders>
            <w:shd w:val="clear" w:color="auto" w:fill="auto"/>
            <w:vAlign w:val="center"/>
          </w:tcPr>
          <w:p w14:paraId="330894D8" w14:textId="59B97D1D" w:rsidR="00A77EBF" w:rsidRPr="004E32CD" w:rsidRDefault="001C58A9"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582" w:type="pct"/>
            <w:tcBorders>
              <w:top w:val="single" w:sz="4" w:space="0" w:color="auto"/>
              <w:left w:val="nil"/>
              <w:bottom w:val="single" w:sz="4" w:space="0" w:color="auto"/>
              <w:right w:val="nil"/>
            </w:tcBorders>
            <w:shd w:val="clear" w:color="auto" w:fill="auto"/>
            <w:vAlign w:val="center"/>
          </w:tcPr>
          <w:p w14:paraId="6B42EDC5" w14:textId="63655EA7"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670" w:type="pct"/>
            <w:gridSpan w:val="2"/>
            <w:tcBorders>
              <w:top w:val="single" w:sz="4" w:space="0" w:color="auto"/>
              <w:left w:val="nil"/>
              <w:bottom w:val="single" w:sz="4" w:space="0" w:color="auto"/>
              <w:right w:val="nil"/>
            </w:tcBorders>
            <w:shd w:val="clear" w:color="auto" w:fill="auto"/>
            <w:vAlign w:val="center"/>
          </w:tcPr>
          <w:p w14:paraId="01A88D77" w14:textId="42ED1232" w:rsidR="00A77EBF" w:rsidRPr="00580F44"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0F44">
              <w:rPr>
                <w:sz w:val="16"/>
                <w:szCs w:val="16"/>
              </w:rPr>
              <w:t>18.422,12</w:t>
            </w:r>
          </w:p>
        </w:tc>
      </w:tr>
      <w:tr w:rsidR="00691F3B" w:rsidRPr="00580F44" w14:paraId="36D84D31" w14:textId="77777777" w:rsidTr="001C58A9">
        <w:trPr>
          <w:trHeight w:val="283"/>
        </w:trPr>
        <w:tc>
          <w:tcPr>
            <w:tcW w:w="1984" w:type="pct"/>
            <w:tcBorders>
              <w:top w:val="single" w:sz="4" w:space="0" w:color="auto"/>
              <w:left w:val="nil"/>
              <w:bottom w:val="single" w:sz="4" w:space="0" w:color="auto"/>
              <w:right w:val="nil"/>
            </w:tcBorders>
            <w:shd w:val="clear" w:color="auto" w:fill="auto"/>
            <w:vAlign w:val="center"/>
            <w:hideMark/>
          </w:tcPr>
          <w:p w14:paraId="6CE219CE" w14:textId="4AD68345"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Patrocinio de eventos (paliar los efectos de la quiebra de Thomas Cook)</w:t>
            </w:r>
          </w:p>
        </w:tc>
        <w:tc>
          <w:tcPr>
            <w:tcW w:w="588" w:type="pct"/>
            <w:gridSpan w:val="2"/>
            <w:tcBorders>
              <w:top w:val="single" w:sz="4" w:space="0" w:color="auto"/>
              <w:left w:val="nil"/>
              <w:bottom w:val="single" w:sz="4" w:space="0" w:color="auto"/>
              <w:right w:val="nil"/>
            </w:tcBorders>
            <w:shd w:val="clear" w:color="auto" w:fill="auto"/>
            <w:vAlign w:val="center"/>
          </w:tcPr>
          <w:p w14:paraId="3904EA13" w14:textId="1BDFE6BA"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588" w:type="pct"/>
            <w:tcBorders>
              <w:top w:val="single" w:sz="4" w:space="0" w:color="auto"/>
              <w:left w:val="nil"/>
              <w:bottom w:val="single" w:sz="4" w:space="0" w:color="auto"/>
              <w:right w:val="nil"/>
            </w:tcBorders>
            <w:vAlign w:val="center"/>
          </w:tcPr>
          <w:p w14:paraId="21EC9FBF" w14:textId="77A329E2"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750.000,00</w:t>
            </w:r>
          </w:p>
        </w:tc>
        <w:tc>
          <w:tcPr>
            <w:tcW w:w="588" w:type="pct"/>
            <w:tcBorders>
              <w:top w:val="single" w:sz="4" w:space="0" w:color="auto"/>
              <w:left w:val="nil"/>
              <w:bottom w:val="single" w:sz="4" w:space="0" w:color="auto"/>
              <w:right w:val="nil"/>
            </w:tcBorders>
            <w:shd w:val="clear" w:color="auto" w:fill="auto"/>
            <w:vAlign w:val="center"/>
          </w:tcPr>
          <w:p w14:paraId="0C94A6A9" w14:textId="498ACBC5"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589.098,31</w:t>
            </w:r>
          </w:p>
        </w:tc>
        <w:tc>
          <w:tcPr>
            <w:tcW w:w="582" w:type="pct"/>
            <w:tcBorders>
              <w:top w:val="single" w:sz="4" w:space="0" w:color="auto"/>
              <w:left w:val="nil"/>
              <w:bottom w:val="single" w:sz="4" w:space="0" w:color="auto"/>
              <w:right w:val="nil"/>
            </w:tcBorders>
            <w:shd w:val="clear" w:color="auto" w:fill="auto"/>
            <w:vAlign w:val="center"/>
          </w:tcPr>
          <w:p w14:paraId="3DCA4702" w14:textId="6CB82A64"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670" w:type="pct"/>
            <w:gridSpan w:val="2"/>
            <w:tcBorders>
              <w:top w:val="single" w:sz="4" w:space="0" w:color="auto"/>
              <w:left w:val="nil"/>
              <w:bottom w:val="single" w:sz="4" w:space="0" w:color="auto"/>
              <w:right w:val="nil"/>
            </w:tcBorders>
            <w:shd w:val="clear" w:color="auto" w:fill="auto"/>
            <w:vAlign w:val="center"/>
          </w:tcPr>
          <w:p w14:paraId="1412F89D" w14:textId="703F38C2" w:rsidR="00A77EBF" w:rsidRPr="00580F44"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0F44">
              <w:rPr>
                <w:sz w:val="16"/>
                <w:szCs w:val="16"/>
              </w:rPr>
              <w:t>160.901,69</w:t>
            </w:r>
          </w:p>
        </w:tc>
      </w:tr>
      <w:tr w:rsidR="00691F3B" w:rsidRPr="00580F44" w14:paraId="694B3C25" w14:textId="77777777" w:rsidTr="001C58A9">
        <w:trPr>
          <w:trHeight w:val="283"/>
        </w:trPr>
        <w:tc>
          <w:tcPr>
            <w:tcW w:w="1984" w:type="pct"/>
            <w:tcBorders>
              <w:top w:val="single" w:sz="4" w:space="0" w:color="auto"/>
              <w:left w:val="nil"/>
              <w:bottom w:val="single" w:sz="4" w:space="0" w:color="auto"/>
              <w:right w:val="nil"/>
            </w:tcBorders>
            <w:shd w:val="clear" w:color="auto" w:fill="auto"/>
            <w:vAlign w:val="center"/>
            <w:hideMark/>
          </w:tcPr>
          <w:p w14:paraId="23162672" w14:textId="1686037E"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Desarrollo de acciones paliar los efectos de la quiebra de Thomas Cook</w:t>
            </w:r>
          </w:p>
        </w:tc>
        <w:tc>
          <w:tcPr>
            <w:tcW w:w="588" w:type="pct"/>
            <w:gridSpan w:val="2"/>
            <w:tcBorders>
              <w:top w:val="single" w:sz="4" w:space="0" w:color="auto"/>
              <w:left w:val="nil"/>
              <w:bottom w:val="single" w:sz="4" w:space="0" w:color="auto"/>
              <w:right w:val="nil"/>
            </w:tcBorders>
            <w:shd w:val="clear" w:color="auto" w:fill="auto"/>
            <w:vAlign w:val="center"/>
          </w:tcPr>
          <w:p w14:paraId="23CDAE7F" w14:textId="44716330"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588" w:type="pct"/>
            <w:tcBorders>
              <w:top w:val="single" w:sz="4" w:space="0" w:color="auto"/>
              <w:left w:val="nil"/>
              <w:bottom w:val="single" w:sz="4" w:space="0" w:color="auto"/>
              <w:right w:val="nil"/>
            </w:tcBorders>
            <w:vAlign w:val="center"/>
          </w:tcPr>
          <w:p w14:paraId="15C6F491" w14:textId="4CF6F3E4"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4.952.258,08</w:t>
            </w:r>
          </w:p>
        </w:tc>
        <w:tc>
          <w:tcPr>
            <w:tcW w:w="588" w:type="pct"/>
            <w:tcBorders>
              <w:top w:val="single" w:sz="4" w:space="0" w:color="auto"/>
              <w:left w:val="nil"/>
              <w:bottom w:val="single" w:sz="4" w:space="0" w:color="auto"/>
              <w:right w:val="nil"/>
            </w:tcBorders>
            <w:shd w:val="clear" w:color="auto" w:fill="auto"/>
            <w:vAlign w:val="center"/>
          </w:tcPr>
          <w:p w14:paraId="24ABF1C4" w14:textId="38F7484C"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2.998.677,12</w:t>
            </w:r>
          </w:p>
        </w:tc>
        <w:tc>
          <w:tcPr>
            <w:tcW w:w="582" w:type="pct"/>
            <w:tcBorders>
              <w:top w:val="single" w:sz="4" w:space="0" w:color="auto"/>
              <w:left w:val="nil"/>
              <w:bottom w:val="single" w:sz="4" w:space="0" w:color="auto"/>
              <w:right w:val="nil"/>
            </w:tcBorders>
            <w:shd w:val="clear" w:color="auto" w:fill="auto"/>
            <w:vAlign w:val="center"/>
          </w:tcPr>
          <w:p w14:paraId="7366A572" w14:textId="019D569E"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670" w:type="pct"/>
            <w:gridSpan w:val="2"/>
            <w:tcBorders>
              <w:top w:val="single" w:sz="4" w:space="0" w:color="auto"/>
              <w:left w:val="nil"/>
              <w:bottom w:val="single" w:sz="4" w:space="0" w:color="auto"/>
              <w:right w:val="nil"/>
            </w:tcBorders>
            <w:shd w:val="clear" w:color="auto" w:fill="auto"/>
            <w:vAlign w:val="center"/>
          </w:tcPr>
          <w:p w14:paraId="43E5FDED" w14:textId="0C10980F" w:rsidR="00A77EBF" w:rsidRPr="00580F44"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0F44">
              <w:rPr>
                <w:sz w:val="16"/>
                <w:szCs w:val="16"/>
              </w:rPr>
              <w:t>1.953.580,96</w:t>
            </w:r>
          </w:p>
        </w:tc>
      </w:tr>
      <w:tr w:rsidR="00691F3B" w:rsidRPr="00580F44" w14:paraId="7CD3DF96" w14:textId="77777777" w:rsidTr="001C58A9">
        <w:trPr>
          <w:trHeight w:val="283"/>
        </w:trPr>
        <w:tc>
          <w:tcPr>
            <w:tcW w:w="1984" w:type="pct"/>
            <w:tcBorders>
              <w:top w:val="single" w:sz="4" w:space="0" w:color="auto"/>
              <w:left w:val="nil"/>
              <w:bottom w:val="single" w:sz="4" w:space="0" w:color="auto"/>
              <w:right w:val="nil"/>
            </w:tcBorders>
            <w:shd w:val="clear" w:color="auto" w:fill="auto"/>
            <w:vAlign w:val="center"/>
            <w:hideMark/>
          </w:tcPr>
          <w:p w14:paraId="064F497C" w14:textId="089AC678"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Plan de dinamización turística del norte de La Gomera</w:t>
            </w:r>
          </w:p>
        </w:tc>
        <w:tc>
          <w:tcPr>
            <w:tcW w:w="588" w:type="pct"/>
            <w:gridSpan w:val="2"/>
            <w:tcBorders>
              <w:top w:val="single" w:sz="4" w:space="0" w:color="auto"/>
              <w:left w:val="nil"/>
              <w:bottom w:val="single" w:sz="4" w:space="0" w:color="auto"/>
              <w:right w:val="nil"/>
            </w:tcBorders>
            <w:shd w:val="clear" w:color="auto" w:fill="auto"/>
            <w:vAlign w:val="center"/>
          </w:tcPr>
          <w:p w14:paraId="2AC2DF0F" w14:textId="73A634D0"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422.000,00</w:t>
            </w:r>
          </w:p>
        </w:tc>
        <w:tc>
          <w:tcPr>
            <w:tcW w:w="588" w:type="pct"/>
            <w:tcBorders>
              <w:top w:val="single" w:sz="4" w:space="0" w:color="auto"/>
              <w:left w:val="nil"/>
              <w:bottom w:val="single" w:sz="4" w:space="0" w:color="auto"/>
              <w:right w:val="nil"/>
            </w:tcBorders>
            <w:vAlign w:val="center"/>
          </w:tcPr>
          <w:p w14:paraId="193C9F9C" w14:textId="4A451233"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289.961,50</w:t>
            </w:r>
          </w:p>
        </w:tc>
        <w:tc>
          <w:tcPr>
            <w:tcW w:w="588" w:type="pct"/>
            <w:tcBorders>
              <w:top w:val="single" w:sz="4" w:space="0" w:color="auto"/>
              <w:left w:val="nil"/>
              <w:bottom w:val="single" w:sz="4" w:space="0" w:color="auto"/>
              <w:right w:val="nil"/>
            </w:tcBorders>
            <w:shd w:val="clear" w:color="auto" w:fill="auto"/>
            <w:vAlign w:val="center"/>
          </w:tcPr>
          <w:p w14:paraId="10F40118" w14:textId="56D80FB5"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206.989,68</w:t>
            </w:r>
          </w:p>
        </w:tc>
        <w:tc>
          <w:tcPr>
            <w:tcW w:w="582" w:type="pct"/>
            <w:tcBorders>
              <w:top w:val="single" w:sz="4" w:space="0" w:color="auto"/>
              <w:left w:val="nil"/>
              <w:bottom w:val="single" w:sz="4" w:space="0" w:color="auto"/>
              <w:right w:val="nil"/>
            </w:tcBorders>
            <w:shd w:val="clear" w:color="auto" w:fill="auto"/>
            <w:vAlign w:val="center"/>
          </w:tcPr>
          <w:p w14:paraId="7BDAA37F" w14:textId="39DF8326"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670" w:type="pct"/>
            <w:gridSpan w:val="2"/>
            <w:tcBorders>
              <w:top w:val="single" w:sz="4" w:space="0" w:color="auto"/>
              <w:left w:val="nil"/>
              <w:bottom w:val="single" w:sz="4" w:space="0" w:color="auto"/>
              <w:right w:val="nil"/>
            </w:tcBorders>
            <w:shd w:val="clear" w:color="auto" w:fill="auto"/>
            <w:vAlign w:val="center"/>
          </w:tcPr>
          <w:p w14:paraId="0DBF3EAB" w14:textId="4EB70DF7" w:rsidR="00A77EBF" w:rsidRPr="00580F44"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0F44">
              <w:rPr>
                <w:sz w:val="16"/>
                <w:szCs w:val="16"/>
              </w:rPr>
              <w:t>504.971,82</w:t>
            </w:r>
          </w:p>
        </w:tc>
      </w:tr>
      <w:tr w:rsidR="00691F3B" w:rsidRPr="00580F44" w14:paraId="35BBCF53" w14:textId="77777777" w:rsidTr="001C58A9">
        <w:trPr>
          <w:trHeight w:val="283"/>
        </w:trPr>
        <w:tc>
          <w:tcPr>
            <w:tcW w:w="1984" w:type="pct"/>
            <w:tcBorders>
              <w:top w:val="single" w:sz="4" w:space="0" w:color="auto"/>
              <w:left w:val="nil"/>
              <w:bottom w:val="single" w:sz="4" w:space="0" w:color="auto"/>
              <w:right w:val="nil"/>
            </w:tcBorders>
            <w:shd w:val="clear" w:color="auto" w:fill="auto"/>
            <w:vAlign w:val="center"/>
            <w:hideMark/>
          </w:tcPr>
          <w:p w14:paraId="4AA9CD9E" w14:textId="2E8A58DC"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Para el desarrollo del proyecto "Canarias Fortaleza"</w:t>
            </w:r>
          </w:p>
        </w:tc>
        <w:tc>
          <w:tcPr>
            <w:tcW w:w="588" w:type="pct"/>
            <w:gridSpan w:val="2"/>
            <w:tcBorders>
              <w:top w:val="single" w:sz="4" w:space="0" w:color="auto"/>
              <w:left w:val="nil"/>
              <w:bottom w:val="single" w:sz="4" w:space="0" w:color="auto"/>
              <w:right w:val="nil"/>
            </w:tcBorders>
            <w:shd w:val="clear" w:color="auto" w:fill="auto"/>
            <w:vAlign w:val="center"/>
          </w:tcPr>
          <w:p w14:paraId="6F4205EE" w14:textId="285E1280"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1.200.000,00</w:t>
            </w:r>
          </w:p>
        </w:tc>
        <w:tc>
          <w:tcPr>
            <w:tcW w:w="588" w:type="pct"/>
            <w:tcBorders>
              <w:top w:val="single" w:sz="4" w:space="0" w:color="auto"/>
              <w:left w:val="nil"/>
              <w:bottom w:val="single" w:sz="4" w:space="0" w:color="auto"/>
              <w:right w:val="nil"/>
            </w:tcBorders>
            <w:vAlign w:val="center"/>
          </w:tcPr>
          <w:p w14:paraId="58F69E9F" w14:textId="3BF8903E"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588" w:type="pct"/>
            <w:tcBorders>
              <w:top w:val="single" w:sz="4" w:space="0" w:color="auto"/>
              <w:left w:val="nil"/>
              <w:bottom w:val="single" w:sz="4" w:space="0" w:color="auto"/>
              <w:right w:val="nil"/>
            </w:tcBorders>
            <w:shd w:val="clear" w:color="auto" w:fill="auto"/>
            <w:vAlign w:val="center"/>
          </w:tcPr>
          <w:p w14:paraId="52EA6C01" w14:textId="49C268E6"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1.200.000,00</w:t>
            </w:r>
          </w:p>
        </w:tc>
        <w:tc>
          <w:tcPr>
            <w:tcW w:w="582" w:type="pct"/>
            <w:tcBorders>
              <w:top w:val="single" w:sz="4" w:space="0" w:color="auto"/>
              <w:left w:val="nil"/>
              <w:bottom w:val="single" w:sz="4" w:space="0" w:color="auto"/>
              <w:right w:val="nil"/>
            </w:tcBorders>
            <w:shd w:val="clear" w:color="auto" w:fill="auto"/>
            <w:vAlign w:val="center"/>
          </w:tcPr>
          <w:p w14:paraId="063E359D" w14:textId="423F193E"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670" w:type="pct"/>
            <w:gridSpan w:val="2"/>
            <w:tcBorders>
              <w:top w:val="single" w:sz="4" w:space="0" w:color="auto"/>
              <w:left w:val="nil"/>
              <w:bottom w:val="single" w:sz="4" w:space="0" w:color="auto"/>
              <w:right w:val="nil"/>
            </w:tcBorders>
            <w:shd w:val="clear" w:color="auto" w:fill="auto"/>
            <w:vAlign w:val="center"/>
          </w:tcPr>
          <w:p w14:paraId="1B9B73F2" w14:textId="09B849A0" w:rsidR="00A77EBF" w:rsidRPr="00580F44"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0F44">
              <w:rPr>
                <w:sz w:val="16"/>
                <w:szCs w:val="16"/>
              </w:rPr>
              <w:t xml:space="preserve"> -</w:t>
            </w:r>
          </w:p>
        </w:tc>
      </w:tr>
      <w:tr w:rsidR="00A77EBF" w:rsidRPr="00580F44" w14:paraId="610E8DAB" w14:textId="77777777" w:rsidTr="001C58A9">
        <w:trPr>
          <w:trHeight w:val="283"/>
        </w:trPr>
        <w:tc>
          <w:tcPr>
            <w:tcW w:w="1984" w:type="pct"/>
            <w:tcBorders>
              <w:top w:val="single" w:sz="4" w:space="0" w:color="auto"/>
              <w:left w:val="nil"/>
              <w:bottom w:val="single" w:sz="4" w:space="0" w:color="auto"/>
              <w:right w:val="nil"/>
            </w:tcBorders>
            <w:shd w:val="clear" w:color="auto" w:fill="auto"/>
            <w:vAlign w:val="center"/>
          </w:tcPr>
          <w:p w14:paraId="40CBD816" w14:textId="02306E85"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Para plan de digitalización turística del sector</w:t>
            </w:r>
          </w:p>
        </w:tc>
        <w:tc>
          <w:tcPr>
            <w:tcW w:w="588" w:type="pct"/>
            <w:gridSpan w:val="2"/>
            <w:tcBorders>
              <w:top w:val="single" w:sz="4" w:space="0" w:color="auto"/>
              <w:left w:val="nil"/>
              <w:bottom w:val="single" w:sz="4" w:space="0" w:color="auto"/>
              <w:right w:val="nil"/>
            </w:tcBorders>
            <w:shd w:val="clear" w:color="auto" w:fill="auto"/>
            <w:vAlign w:val="center"/>
          </w:tcPr>
          <w:p w14:paraId="672D9FDA" w14:textId="6BC92B36"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450.000,00</w:t>
            </w:r>
          </w:p>
        </w:tc>
        <w:tc>
          <w:tcPr>
            <w:tcW w:w="588" w:type="pct"/>
            <w:tcBorders>
              <w:top w:val="single" w:sz="4" w:space="0" w:color="auto"/>
              <w:left w:val="nil"/>
              <w:bottom w:val="single" w:sz="4" w:space="0" w:color="auto"/>
              <w:right w:val="nil"/>
            </w:tcBorders>
            <w:vAlign w:val="center"/>
          </w:tcPr>
          <w:p w14:paraId="5C5A628F" w14:textId="1F8B97E0"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588" w:type="pct"/>
            <w:tcBorders>
              <w:top w:val="single" w:sz="4" w:space="0" w:color="auto"/>
              <w:left w:val="nil"/>
              <w:bottom w:val="single" w:sz="4" w:space="0" w:color="auto"/>
              <w:right w:val="nil"/>
            </w:tcBorders>
            <w:shd w:val="clear" w:color="auto" w:fill="auto"/>
            <w:vAlign w:val="center"/>
          </w:tcPr>
          <w:p w14:paraId="1283E52A" w14:textId="494E3D86"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450.000,00</w:t>
            </w:r>
          </w:p>
        </w:tc>
        <w:tc>
          <w:tcPr>
            <w:tcW w:w="582" w:type="pct"/>
            <w:tcBorders>
              <w:top w:val="single" w:sz="4" w:space="0" w:color="auto"/>
              <w:left w:val="nil"/>
              <w:bottom w:val="single" w:sz="4" w:space="0" w:color="auto"/>
              <w:right w:val="nil"/>
            </w:tcBorders>
            <w:shd w:val="clear" w:color="auto" w:fill="auto"/>
            <w:vAlign w:val="center"/>
          </w:tcPr>
          <w:p w14:paraId="68FB2E3C" w14:textId="599B0CA7" w:rsidR="00A77EBF" w:rsidRPr="004E32CD"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670" w:type="pct"/>
            <w:gridSpan w:val="2"/>
            <w:tcBorders>
              <w:top w:val="single" w:sz="4" w:space="0" w:color="auto"/>
              <w:left w:val="nil"/>
              <w:bottom w:val="single" w:sz="4" w:space="0" w:color="auto"/>
              <w:right w:val="nil"/>
            </w:tcBorders>
            <w:shd w:val="clear" w:color="auto" w:fill="auto"/>
            <w:vAlign w:val="center"/>
          </w:tcPr>
          <w:p w14:paraId="0729938F" w14:textId="2C414DBE" w:rsidR="00A77EBF" w:rsidRPr="00580F44" w:rsidRDefault="00A77EBF" w:rsidP="00A77EB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580F44">
              <w:rPr>
                <w:sz w:val="16"/>
                <w:szCs w:val="16"/>
              </w:rPr>
              <w:t xml:space="preserve"> -</w:t>
            </w:r>
          </w:p>
        </w:tc>
      </w:tr>
      <w:tr w:rsidR="00691F3B" w:rsidRPr="00580F44" w14:paraId="0E7B3615" w14:textId="77777777" w:rsidTr="001C58A9">
        <w:trPr>
          <w:trHeight w:val="283"/>
        </w:trPr>
        <w:tc>
          <w:tcPr>
            <w:tcW w:w="1984" w:type="pct"/>
            <w:tcBorders>
              <w:top w:val="single" w:sz="4" w:space="0" w:color="auto"/>
              <w:left w:val="nil"/>
              <w:bottom w:val="single" w:sz="4" w:space="0" w:color="auto"/>
              <w:right w:val="nil"/>
            </w:tcBorders>
            <w:shd w:val="clear" w:color="auto" w:fill="auto"/>
            <w:vAlign w:val="center"/>
            <w:hideMark/>
          </w:tcPr>
          <w:p w14:paraId="010D76C7" w14:textId="2E40ACC6" w:rsidR="00A77EBF" w:rsidRPr="004E32CD" w:rsidRDefault="00A77EBF" w:rsidP="00A77EB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Para el trabajo de campo de confección de bases de datos conectadas de la oferta del destino y su demanda, para facilitar su integración en el sistema de información y la comercialización del destino (Thomas Cook)</w:t>
            </w:r>
          </w:p>
        </w:tc>
        <w:tc>
          <w:tcPr>
            <w:tcW w:w="588" w:type="pct"/>
            <w:gridSpan w:val="2"/>
            <w:tcBorders>
              <w:top w:val="single" w:sz="4" w:space="0" w:color="auto"/>
              <w:left w:val="nil"/>
              <w:bottom w:val="single" w:sz="4" w:space="0" w:color="auto"/>
              <w:right w:val="nil"/>
            </w:tcBorders>
            <w:shd w:val="clear" w:color="auto" w:fill="auto"/>
            <w:vAlign w:val="center"/>
          </w:tcPr>
          <w:p w14:paraId="7C9258AD" w14:textId="54177412" w:rsidR="00A77EBF" w:rsidRPr="004E32CD" w:rsidRDefault="00A77EBF" w:rsidP="00A77EB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588" w:type="pct"/>
            <w:tcBorders>
              <w:top w:val="single" w:sz="4" w:space="0" w:color="auto"/>
              <w:left w:val="nil"/>
              <w:bottom w:val="single" w:sz="4" w:space="0" w:color="auto"/>
              <w:right w:val="nil"/>
            </w:tcBorders>
            <w:vAlign w:val="center"/>
          </w:tcPr>
          <w:p w14:paraId="3BAE3B9A" w14:textId="22CCC7C2" w:rsidR="00A77EBF" w:rsidRPr="004E32CD" w:rsidRDefault="00A77EBF" w:rsidP="00A77EB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300.000,00</w:t>
            </w:r>
          </w:p>
        </w:tc>
        <w:tc>
          <w:tcPr>
            <w:tcW w:w="588" w:type="pct"/>
            <w:tcBorders>
              <w:top w:val="single" w:sz="4" w:space="0" w:color="auto"/>
              <w:left w:val="nil"/>
              <w:bottom w:val="single" w:sz="4" w:space="0" w:color="auto"/>
              <w:right w:val="nil"/>
            </w:tcBorders>
            <w:shd w:val="clear" w:color="auto" w:fill="auto"/>
            <w:vAlign w:val="center"/>
          </w:tcPr>
          <w:p w14:paraId="1560E162" w14:textId="25182290" w:rsidR="00A77EBF" w:rsidRPr="004E32CD" w:rsidRDefault="00A77EBF" w:rsidP="00A77EB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300.000,00</w:t>
            </w:r>
          </w:p>
        </w:tc>
        <w:tc>
          <w:tcPr>
            <w:tcW w:w="582" w:type="pct"/>
            <w:tcBorders>
              <w:top w:val="single" w:sz="4" w:space="0" w:color="auto"/>
              <w:left w:val="nil"/>
              <w:bottom w:val="single" w:sz="4" w:space="0" w:color="auto"/>
              <w:right w:val="nil"/>
            </w:tcBorders>
            <w:shd w:val="clear" w:color="auto" w:fill="auto"/>
            <w:vAlign w:val="center"/>
          </w:tcPr>
          <w:p w14:paraId="40B32745" w14:textId="29F2B3EC" w:rsidR="00A77EBF" w:rsidRPr="004E32CD" w:rsidRDefault="00A77EBF" w:rsidP="00A77EB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670" w:type="pct"/>
            <w:gridSpan w:val="2"/>
            <w:tcBorders>
              <w:top w:val="single" w:sz="4" w:space="0" w:color="auto"/>
              <w:left w:val="nil"/>
              <w:bottom w:val="single" w:sz="4" w:space="0" w:color="auto"/>
              <w:right w:val="nil"/>
            </w:tcBorders>
            <w:shd w:val="clear" w:color="auto" w:fill="auto"/>
            <w:vAlign w:val="center"/>
          </w:tcPr>
          <w:p w14:paraId="33F66486" w14:textId="5EED34C2" w:rsidR="00A77EBF" w:rsidRPr="00580F44" w:rsidRDefault="00A77EBF" w:rsidP="00A77EB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0F44">
              <w:rPr>
                <w:sz w:val="16"/>
                <w:szCs w:val="16"/>
              </w:rPr>
              <w:t xml:space="preserve"> -</w:t>
            </w:r>
          </w:p>
        </w:tc>
      </w:tr>
      <w:tr w:rsidR="00691F3B" w:rsidRPr="00580F44" w14:paraId="5419D160" w14:textId="77777777" w:rsidTr="001C58A9">
        <w:trPr>
          <w:trHeight w:val="283"/>
        </w:trPr>
        <w:tc>
          <w:tcPr>
            <w:tcW w:w="1984" w:type="pct"/>
            <w:tcBorders>
              <w:top w:val="single" w:sz="4" w:space="0" w:color="auto"/>
              <w:left w:val="nil"/>
              <w:bottom w:val="nil"/>
              <w:right w:val="nil"/>
            </w:tcBorders>
            <w:shd w:val="clear" w:color="auto" w:fill="auto"/>
            <w:vAlign w:val="center"/>
            <w:hideMark/>
          </w:tcPr>
          <w:p w14:paraId="27D68F75" w14:textId="02310405" w:rsidR="00A77EBF" w:rsidRPr="004E32CD" w:rsidRDefault="00A77EBF" w:rsidP="00A77EB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rFonts w:eastAsia="Times New Roman"/>
                <w:sz w:val="16"/>
                <w:szCs w:val="16"/>
                <w:bdr w:val="none" w:sz="0" w:space="0" w:color="auto"/>
                <w:lang w:eastAsia="es-ES"/>
              </w:rPr>
              <w:t>Desarrollo y mejora del sistema de información del destino (MIS) en su gestión pública incluyendo el Gobierno de Canarias, Cabildos y Ayuntamientos (Thomas Cook)</w:t>
            </w:r>
          </w:p>
        </w:tc>
        <w:tc>
          <w:tcPr>
            <w:tcW w:w="588" w:type="pct"/>
            <w:gridSpan w:val="2"/>
            <w:tcBorders>
              <w:top w:val="single" w:sz="4" w:space="0" w:color="auto"/>
              <w:left w:val="nil"/>
              <w:bottom w:val="nil"/>
              <w:right w:val="nil"/>
            </w:tcBorders>
            <w:shd w:val="clear" w:color="auto" w:fill="auto"/>
            <w:vAlign w:val="center"/>
          </w:tcPr>
          <w:p w14:paraId="6D4A4E72" w14:textId="4D0DD004" w:rsidR="00A77EBF" w:rsidRPr="004E32CD" w:rsidRDefault="00A77EBF" w:rsidP="00A77EB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588" w:type="pct"/>
            <w:tcBorders>
              <w:top w:val="single" w:sz="4" w:space="0" w:color="auto"/>
              <w:left w:val="nil"/>
              <w:bottom w:val="nil"/>
              <w:right w:val="nil"/>
            </w:tcBorders>
            <w:vAlign w:val="center"/>
          </w:tcPr>
          <w:p w14:paraId="5056AA75" w14:textId="25F2059E" w:rsidR="00A77EBF" w:rsidRPr="004E32CD" w:rsidRDefault="00A77EBF" w:rsidP="00A77EB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1.200.000,00</w:t>
            </w:r>
          </w:p>
        </w:tc>
        <w:tc>
          <w:tcPr>
            <w:tcW w:w="588" w:type="pct"/>
            <w:tcBorders>
              <w:top w:val="single" w:sz="4" w:space="0" w:color="auto"/>
              <w:left w:val="nil"/>
              <w:bottom w:val="nil"/>
              <w:right w:val="nil"/>
            </w:tcBorders>
            <w:shd w:val="clear" w:color="auto" w:fill="auto"/>
            <w:vAlign w:val="center"/>
          </w:tcPr>
          <w:p w14:paraId="56B06E8A" w14:textId="50CE41E8" w:rsidR="00A77EBF" w:rsidRPr="004E32CD" w:rsidRDefault="00A77EBF" w:rsidP="00A77EB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1.183.128,98</w:t>
            </w:r>
          </w:p>
        </w:tc>
        <w:tc>
          <w:tcPr>
            <w:tcW w:w="582" w:type="pct"/>
            <w:tcBorders>
              <w:top w:val="single" w:sz="4" w:space="0" w:color="auto"/>
              <w:left w:val="nil"/>
              <w:bottom w:val="nil"/>
              <w:right w:val="nil"/>
            </w:tcBorders>
            <w:shd w:val="clear" w:color="auto" w:fill="auto"/>
            <w:vAlign w:val="center"/>
          </w:tcPr>
          <w:p w14:paraId="498D792D" w14:textId="13C35460" w:rsidR="00A77EBF" w:rsidRPr="004E32CD" w:rsidRDefault="00A77EBF" w:rsidP="00A77EB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E32CD">
              <w:rPr>
                <w:sz w:val="16"/>
                <w:szCs w:val="16"/>
              </w:rPr>
              <w:t xml:space="preserve"> -</w:t>
            </w:r>
          </w:p>
        </w:tc>
        <w:tc>
          <w:tcPr>
            <w:tcW w:w="670" w:type="pct"/>
            <w:gridSpan w:val="2"/>
            <w:tcBorders>
              <w:top w:val="single" w:sz="4" w:space="0" w:color="auto"/>
              <w:left w:val="nil"/>
              <w:bottom w:val="nil"/>
              <w:right w:val="nil"/>
            </w:tcBorders>
            <w:shd w:val="clear" w:color="auto" w:fill="auto"/>
            <w:vAlign w:val="center"/>
          </w:tcPr>
          <w:p w14:paraId="536E9368" w14:textId="47889A5A" w:rsidR="00A77EBF" w:rsidRPr="00580F44" w:rsidRDefault="00A77EBF" w:rsidP="00A77EB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0F44">
              <w:rPr>
                <w:sz w:val="16"/>
                <w:szCs w:val="16"/>
              </w:rPr>
              <w:t>16.871,02</w:t>
            </w:r>
          </w:p>
        </w:tc>
      </w:tr>
      <w:tr w:rsidR="004E32CD" w:rsidRPr="00580F44" w14:paraId="7A549D03" w14:textId="77777777" w:rsidTr="001C58A9">
        <w:trPr>
          <w:trHeight w:val="283"/>
        </w:trPr>
        <w:tc>
          <w:tcPr>
            <w:tcW w:w="1984" w:type="pct"/>
            <w:tcBorders>
              <w:top w:val="single" w:sz="4" w:space="0" w:color="auto"/>
              <w:left w:val="nil"/>
              <w:bottom w:val="nil"/>
              <w:right w:val="nil"/>
            </w:tcBorders>
            <w:shd w:val="clear" w:color="auto" w:fill="auto"/>
            <w:vAlign w:val="center"/>
          </w:tcPr>
          <w:p w14:paraId="3097172E" w14:textId="54A0A687"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sz w:val="16"/>
                <w:szCs w:val="16"/>
              </w:rPr>
              <w:t>Consejería de Turismo, Industria y Comercio: para la promoción de la red museística de Canarias</w:t>
            </w:r>
          </w:p>
        </w:tc>
        <w:tc>
          <w:tcPr>
            <w:tcW w:w="588" w:type="pct"/>
            <w:gridSpan w:val="2"/>
            <w:tcBorders>
              <w:top w:val="single" w:sz="4" w:space="0" w:color="auto"/>
              <w:left w:val="nil"/>
              <w:bottom w:val="nil"/>
              <w:right w:val="nil"/>
            </w:tcBorders>
            <w:shd w:val="clear" w:color="auto" w:fill="auto"/>
            <w:vAlign w:val="center"/>
          </w:tcPr>
          <w:p w14:paraId="2F610EC3" w14:textId="32215A7E"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662.000,00</w:t>
            </w:r>
          </w:p>
        </w:tc>
        <w:tc>
          <w:tcPr>
            <w:tcW w:w="588" w:type="pct"/>
            <w:tcBorders>
              <w:top w:val="single" w:sz="4" w:space="0" w:color="auto"/>
              <w:left w:val="nil"/>
              <w:bottom w:val="nil"/>
              <w:right w:val="nil"/>
            </w:tcBorders>
            <w:vAlign w:val="center"/>
          </w:tcPr>
          <w:p w14:paraId="39801A85" w14:textId="44995842"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588" w:type="pct"/>
            <w:tcBorders>
              <w:top w:val="single" w:sz="4" w:space="0" w:color="auto"/>
              <w:left w:val="nil"/>
              <w:bottom w:val="nil"/>
              <w:right w:val="nil"/>
            </w:tcBorders>
            <w:shd w:val="clear" w:color="auto" w:fill="auto"/>
            <w:vAlign w:val="center"/>
          </w:tcPr>
          <w:p w14:paraId="02862554" w14:textId="49DBB691"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89.045,47</w:t>
            </w:r>
          </w:p>
        </w:tc>
        <w:tc>
          <w:tcPr>
            <w:tcW w:w="582" w:type="pct"/>
            <w:tcBorders>
              <w:top w:val="single" w:sz="4" w:space="0" w:color="auto"/>
              <w:left w:val="nil"/>
              <w:bottom w:val="nil"/>
              <w:right w:val="nil"/>
            </w:tcBorders>
            <w:shd w:val="clear" w:color="auto" w:fill="auto"/>
            <w:vAlign w:val="center"/>
          </w:tcPr>
          <w:p w14:paraId="6F52C627" w14:textId="0CF7A34F"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670" w:type="pct"/>
            <w:gridSpan w:val="2"/>
            <w:tcBorders>
              <w:top w:val="single" w:sz="4" w:space="0" w:color="auto"/>
              <w:left w:val="nil"/>
              <w:bottom w:val="nil"/>
              <w:right w:val="nil"/>
            </w:tcBorders>
            <w:shd w:val="clear" w:color="auto" w:fill="auto"/>
            <w:vAlign w:val="center"/>
          </w:tcPr>
          <w:p w14:paraId="5588C0AD" w14:textId="1340BDE2" w:rsidR="004E32CD" w:rsidRPr="00580F44"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580F44">
              <w:rPr>
                <w:sz w:val="16"/>
                <w:szCs w:val="16"/>
              </w:rPr>
              <w:t>572.954,53</w:t>
            </w:r>
          </w:p>
        </w:tc>
      </w:tr>
      <w:tr w:rsidR="004E32CD" w:rsidRPr="00580F44" w14:paraId="02CDD991" w14:textId="77777777" w:rsidTr="001C58A9">
        <w:trPr>
          <w:trHeight w:val="283"/>
        </w:trPr>
        <w:tc>
          <w:tcPr>
            <w:tcW w:w="1984" w:type="pct"/>
            <w:tcBorders>
              <w:top w:val="single" w:sz="4" w:space="0" w:color="auto"/>
              <w:left w:val="nil"/>
              <w:bottom w:val="nil"/>
              <w:right w:val="nil"/>
            </w:tcBorders>
            <w:shd w:val="clear" w:color="auto" w:fill="auto"/>
            <w:vAlign w:val="center"/>
          </w:tcPr>
          <w:p w14:paraId="60AED4ED" w14:textId="445092ED"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sz w:val="16"/>
                <w:szCs w:val="16"/>
              </w:rPr>
              <w:t>Para la realización de un estudio y captación del turismo de teletrabajo</w:t>
            </w:r>
          </w:p>
        </w:tc>
        <w:tc>
          <w:tcPr>
            <w:tcW w:w="588" w:type="pct"/>
            <w:gridSpan w:val="2"/>
            <w:tcBorders>
              <w:top w:val="single" w:sz="4" w:space="0" w:color="auto"/>
              <w:left w:val="nil"/>
              <w:bottom w:val="nil"/>
              <w:right w:val="nil"/>
            </w:tcBorders>
            <w:shd w:val="clear" w:color="auto" w:fill="auto"/>
            <w:vAlign w:val="center"/>
          </w:tcPr>
          <w:p w14:paraId="2E2B78DE" w14:textId="4FC33F04"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400.000,00</w:t>
            </w:r>
          </w:p>
        </w:tc>
        <w:tc>
          <w:tcPr>
            <w:tcW w:w="588" w:type="pct"/>
            <w:tcBorders>
              <w:top w:val="single" w:sz="4" w:space="0" w:color="auto"/>
              <w:left w:val="nil"/>
              <w:bottom w:val="nil"/>
              <w:right w:val="nil"/>
            </w:tcBorders>
            <w:vAlign w:val="center"/>
          </w:tcPr>
          <w:p w14:paraId="54C89E49" w14:textId="10556090"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588" w:type="pct"/>
            <w:tcBorders>
              <w:top w:val="single" w:sz="4" w:space="0" w:color="auto"/>
              <w:left w:val="nil"/>
              <w:bottom w:val="nil"/>
              <w:right w:val="nil"/>
            </w:tcBorders>
            <w:shd w:val="clear" w:color="auto" w:fill="auto"/>
            <w:vAlign w:val="center"/>
          </w:tcPr>
          <w:p w14:paraId="2F6D34DB" w14:textId="36661B34"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400.000,00</w:t>
            </w:r>
          </w:p>
        </w:tc>
        <w:tc>
          <w:tcPr>
            <w:tcW w:w="582" w:type="pct"/>
            <w:tcBorders>
              <w:top w:val="single" w:sz="4" w:space="0" w:color="auto"/>
              <w:left w:val="nil"/>
              <w:bottom w:val="nil"/>
              <w:right w:val="nil"/>
            </w:tcBorders>
            <w:shd w:val="clear" w:color="auto" w:fill="auto"/>
            <w:vAlign w:val="center"/>
          </w:tcPr>
          <w:p w14:paraId="0B918356" w14:textId="062E57C9"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670" w:type="pct"/>
            <w:gridSpan w:val="2"/>
            <w:tcBorders>
              <w:top w:val="single" w:sz="4" w:space="0" w:color="auto"/>
              <w:left w:val="nil"/>
              <w:bottom w:val="nil"/>
              <w:right w:val="nil"/>
            </w:tcBorders>
            <w:shd w:val="clear" w:color="auto" w:fill="auto"/>
            <w:vAlign w:val="center"/>
          </w:tcPr>
          <w:p w14:paraId="6868428C" w14:textId="3AEA6ED8" w:rsidR="004E32CD" w:rsidRPr="00580F44"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580F44">
              <w:rPr>
                <w:sz w:val="16"/>
                <w:szCs w:val="16"/>
              </w:rPr>
              <w:t xml:space="preserve"> -</w:t>
            </w:r>
          </w:p>
        </w:tc>
      </w:tr>
      <w:tr w:rsidR="004E32CD" w:rsidRPr="00580F44" w14:paraId="74A0323A" w14:textId="77777777" w:rsidTr="001C58A9">
        <w:trPr>
          <w:trHeight w:val="283"/>
        </w:trPr>
        <w:tc>
          <w:tcPr>
            <w:tcW w:w="1984" w:type="pct"/>
            <w:tcBorders>
              <w:top w:val="single" w:sz="4" w:space="0" w:color="auto"/>
              <w:left w:val="nil"/>
              <w:bottom w:val="nil"/>
              <w:right w:val="nil"/>
            </w:tcBorders>
            <w:shd w:val="clear" w:color="auto" w:fill="auto"/>
            <w:vAlign w:val="center"/>
          </w:tcPr>
          <w:p w14:paraId="6C7804E5" w14:textId="2D73F05C"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sz w:val="16"/>
                <w:szCs w:val="16"/>
              </w:rPr>
              <w:t xml:space="preserve">Para </w:t>
            </w:r>
            <w:r w:rsidR="000623EC" w:rsidRPr="004E32CD">
              <w:rPr>
                <w:sz w:val="16"/>
                <w:szCs w:val="16"/>
              </w:rPr>
              <w:t>el desarrollo</w:t>
            </w:r>
            <w:r w:rsidRPr="004E32CD">
              <w:rPr>
                <w:sz w:val="16"/>
                <w:szCs w:val="16"/>
              </w:rPr>
              <w:t xml:space="preserve"> del sistema de información del destino (Thomas Cook)</w:t>
            </w:r>
          </w:p>
        </w:tc>
        <w:tc>
          <w:tcPr>
            <w:tcW w:w="588" w:type="pct"/>
            <w:gridSpan w:val="2"/>
            <w:tcBorders>
              <w:top w:val="single" w:sz="4" w:space="0" w:color="auto"/>
              <w:left w:val="nil"/>
              <w:bottom w:val="nil"/>
              <w:right w:val="nil"/>
            </w:tcBorders>
            <w:shd w:val="clear" w:color="auto" w:fill="auto"/>
            <w:vAlign w:val="center"/>
          </w:tcPr>
          <w:p w14:paraId="5360A446" w14:textId="186FBAA0"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400.000,00</w:t>
            </w:r>
          </w:p>
        </w:tc>
        <w:tc>
          <w:tcPr>
            <w:tcW w:w="588" w:type="pct"/>
            <w:tcBorders>
              <w:top w:val="single" w:sz="4" w:space="0" w:color="auto"/>
              <w:left w:val="nil"/>
              <w:bottom w:val="nil"/>
              <w:right w:val="nil"/>
            </w:tcBorders>
            <w:vAlign w:val="center"/>
          </w:tcPr>
          <w:p w14:paraId="3D8AFE9A" w14:textId="11573ABC"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588" w:type="pct"/>
            <w:tcBorders>
              <w:top w:val="single" w:sz="4" w:space="0" w:color="auto"/>
              <w:left w:val="nil"/>
              <w:bottom w:val="nil"/>
              <w:right w:val="nil"/>
            </w:tcBorders>
            <w:shd w:val="clear" w:color="auto" w:fill="auto"/>
            <w:vAlign w:val="center"/>
          </w:tcPr>
          <w:p w14:paraId="18562660" w14:textId="5A74F106"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582" w:type="pct"/>
            <w:tcBorders>
              <w:top w:val="single" w:sz="4" w:space="0" w:color="auto"/>
              <w:left w:val="nil"/>
              <w:bottom w:val="nil"/>
              <w:right w:val="nil"/>
            </w:tcBorders>
            <w:shd w:val="clear" w:color="auto" w:fill="auto"/>
            <w:vAlign w:val="center"/>
          </w:tcPr>
          <w:p w14:paraId="3C0AEED7" w14:textId="534F4BE5"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670" w:type="pct"/>
            <w:gridSpan w:val="2"/>
            <w:tcBorders>
              <w:top w:val="single" w:sz="4" w:space="0" w:color="auto"/>
              <w:left w:val="nil"/>
              <w:bottom w:val="nil"/>
              <w:right w:val="nil"/>
            </w:tcBorders>
            <w:shd w:val="clear" w:color="auto" w:fill="auto"/>
            <w:vAlign w:val="center"/>
          </w:tcPr>
          <w:p w14:paraId="0A799044" w14:textId="241F6C6E" w:rsidR="004E32CD" w:rsidRPr="00580F44"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580F44">
              <w:rPr>
                <w:sz w:val="16"/>
                <w:szCs w:val="16"/>
              </w:rPr>
              <w:t>400.000,00</w:t>
            </w:r>
          </w:p>
        </w:tc>
      </w:tr>
      <w:tr w:rsidR="004E32CD" w:rsidRPr="00580F44" w14:paraId="6145F5CF" w14:textId="77777777" w:rsidTr="001C58A9">
        <w:trPr>
          <w:trHeight w:val="283"/>
        </w:trPr>
        <w:tc>
          <w:tcPr>
            <w:tcW w:w="1984" w:type="pct"/>
            <w:tcBorders>
              <w:top w:val="single" w:sz="4" w:space="0" w:color="auto"/>
              <w:left w:val="nil"/>
              <w:bottom w:val="nil"/>
              <w:right w:val="nil"/>
            </w:tcBorders>
            <w:shd w:val="clear" w:color="auto" w:fill="auto"/>
            <w:vAlign w:val="center"/>
          </w:tcPr>
          <w:p w14:paraId="17B7323A" w14:textId="46C46EDF"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sz w:val="16"/>
                <w:szCs w:val="16"/>
              </w:rPr>
              <w:t>Para el proyecto "Bonos Turísticos: somos afortunados"</w:t>
            </w:r>
          </w:p>
        </w:tc>
        <w:tc>
          <w:tcPr>
            <w:tcW w:w="588" w:type="pct"/>
            <w:gridSpan w:val="2"/>
            <w:tcBorders>
              <w:top w:val="single" w:sz="4" w:space="0" w:color="auto"/>
              <w:left w:val="nil"/>
              <w:bottom w:val="nil"/>
              <w:right w:val="nil"/>
            </w:tcBorders>
            <w:shd w:val="clear" w:color="auto" w:fill="auto"/>
            <w:vAlign w:val="center"/>
          </w:tcPr>
          <w:p w14:paraId="6A0EAA6B" w14:textId="708BF1A7"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10.400.000,00</w:t>
            </w:r>
          </w:p>
        </w:tc>
        <w:tc>
          <w:tcPr>
            <w:tcW w:w="588" w:type="pct"/>
            <w:tcBorders>
              <w:top w:val="single" w:sz="4" w:space="0" w:color="auto"/>
              <w:left w:val="nil"/>
              <w:bottom w:val="nil"/>
              <w:right w:val="nil"/>
            </w:tcBorders>
            <w:vAlign w:val="center"/>
          </w:tcPr>
          <w:p w14:paraId="4FACB26C" w14:textId="43C2943F"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588" w:type="pct"/>
            <w:tcBorders>
              <w:top w:val="single" w:sz="4" w:space="0" w:color="auto"/>
              <w:left w:val="nil"/>
              <w:bottom w:val="nil"/>
              <w:right w:val="nil"/>
            </w:tcBorders>
            <w:shd w:val="clear" w:color="auto" w:fill="auto"/>
            <w:vAlign w:val="center"/>
          </w:tcPr>
          <w:p w14:paraId="2F45B420" w14:textId="1ABE030A"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8.376.188,50</w:t>
            </w:r>
          </w:p>
        </w:tc>
        <w:tc>
          <w:tcPr>
            <w:tcW w:w="582" w:type="pct"/>
            <w:tcBorders>
              <w:top w:val="single" w:sz="4" w:space="0" w:color="auto"/>
              <w:left w:val="nil"/>
              <w:bottom w:val="nil"/>
              <w:right w:val="nil"/>
            </w:tcBorders>
            <w:shd w:val="clear" w:color="auto" w:fill="auto"/>
            <w:vAlign w:val="center"/>
          </w:tcPr>
          <w:p w14:paraId="201BEFC4" w14:textId="06875B6C"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(2.023.811,50)</w:t>
            </w:r>
          </w:p>
        </w:tc>
        <w:tc>
          <w:tcPr>
            <w:tcW w:w="670" w:type="pct"/>
            <w:gridSpan w:val="2"/>
            <w:tcBorders>
              <w:top w:val="single" w:sz="4" w:space="0" w:color="auto"/>
              <w:left w:val="nil"/>
              <w:bottom w:val="nil"/>
              <w:right w:val="nil"/>
            </w:tcBorders>
            <w:shd w:val="clear" w:color="auto" w:fill="auto"/>
            <w:vAlign w:val="center"/>
          </w:tcPr>
          <w:p w14:paraId="6AC9F842" w14:textId="11CAE7F9" w:rsidR="004E32CD" w:rsidRPr="00580F44"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580F44">
              <w:rPr>
                <w:sz w:val="16"/>
                <w:szCs w:val="16"/>
              </w:rPr>
              <w:t xml:space="preserve"> -</w:t>
            </w:r>
          </w:p>
        </w:tc>
      </w:tr>
      <w:tr w:rsidR="004E32CD" w:rsidRPr="00580F44" w14:paraId="11F6CBB1" w14:textId="77777777" w:rsidTr="001C58A9">
        <w:trPr>
          <w:trHeight w:val="283"/>
        </w:trPr>
        <w:tc>
          <w:tcPr>
            <w:tcW w:w="1984" w:type="pct"/>
            <w:tcBorders>
              <w:top w:val="single" w:sz="4" w:space="0" w:color="auto"/>
              <w:left w:val="nil"/>
              <w:bottom w:val="nil"/>
              <w:right w:val="nil"/>
            </w:tcBorders>
            <w:shd w:val="clear" w:color="auto" w:fill="auto"/>
            <w:vAlign w:val="center"/>
          </w:tcPr>
          <w:p w14:paraId="26D9BF8B" w14:textId="06C41AEF"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4E32CD">
              <w:rPr>
                <w:sz w:val="16"/>
                <w:szCs w:val="16"/>
              </w:rPr>
              <w:t>Para las acciones de promoción turística a profesionales y al público final con el objetivo reactivar el sector turístico canario tras la crisis COVID-19 (FEDER) anualidades 2021-2023</w:t>
            </w:r>
          </w:p>
        </w:tc>
        <w:tc>
          <w:tcPr>
            <w:tcW w:w="588" w:type="pct"/>
            <w:gridSpan w:val="2"/>
            <w:tcBorders>
              <w:top w:val="single" w:sz="4" w:space="0" w:color="auto"/>
              <w:left w:val="nil"/>
              <w:bottom w:val="nil"/>
              <w:right w:val="nil"/>
            </w:tcBorders>
            <w:shd w:val="clear" w:color="auto" w:fill="auto"/>
            <w:vAlign w:val="center"/>
          </w:tcPr>
          <w:p w14:paraId="0A95F1C2" w14:textId="07A7ECFD"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39.900.000,00</w:t>
            </w:r>
          </w:p>
        </w:tc>
        <w:tc>
          <w:tcPr>
            <w:tcW w:w="588" w:type="pct"/>
            <w:tcBorders>
              <w:top w:val="single" w:sz="4" w:space="0" w:color="auto"/>
              <w:left w:val="nil"/>
              <w:bottom w:val="nil"/>
              <w:right w:val="nil"/>
            </w:tcBorders>
            <w:vAlign w:val="center"/>
          </w:tcPr>
          <w:p w14:paraId="3568486D" w14:textId="503B69CB"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588" w:type="pct"/>
            <w:tcBorders>
              <w:top w:val="single" w:sz="4" w:space="0" w:color="auto"/>
              <w:left w:val="nil"/>
              <w:bottom w:val="nil"/>
              <w:right w:val="nil"/>
            </w:tcBorders>
            <w:shd w:val="clear" w:color="auto" w:fill="auto"/>
            <w:vAlign w:val="center"/>
          </w:tcPr>
          <w:p w14:paraId="7CAF4E7B" w14:textId="12568051"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2.271.769,48</w:t>
            </w:r>
          </w:p>
        </w:tc>
        <w:tc>
          <w:tcPr>
            <w:tcW w:w="582" w:type="pct"/>
            <w:tcBorders>
              <w:top w:val="single" w:sz="4" w:space="0" w:color="auto"/>
              <w:left w:val="nil"/>
              <w:bottom w:val="nil"/>
              <w:right w:val="nil"/>
            </w:tcBorders>
            <w:shd w:val="clear" w:color="auto" w:fill="auto"/>
            <w:vAlign w:val="center"/>
          </w:tcPr>
          <w:p w14:paraId="6C62B4C6" w14:textId="1B8568A9"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670" w:type="pct"/>
            <w:gridSpan w:val="2"/>
            <w:tcBorders>
              <w:top w:val="single" w:sz="4" w:space="0" w:color="auto"/>
              <w:left w:val="nil"/>
              <w:bottom w:val="nil"/>
              <w:right w:val="nil"/>
            </w:tcBorders>
            <w:shd w:val="clear" w:color="auto" w:fill="auto"/>
            <w:vAlign w:val="center"/>
          </w:tcPr>
          <w:p w14:paraId="21BE05F2" w14:textId="680CEEF0" w:rsidR="004E32CD" w:rsidRPr="00580F44"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580F44">
              <w:rPr>
                <w:sz w:val="16"/>
                <w:szCs w:val="16"/>
              </w:rPr>
              <w:t>37.628.230,52</w:t>
            </w:r>
          </w:p>
        </w:tc>
      </w:tr>
      <w:tr w:rsidR="004E32CD" w:rsidRPr="00580F44" w14:paraId="084AA3AC" w14:textId="77777777" w:rsidTr="001C58A9">
        <w:trPr>
          <w:trHeight w:val="283"/>
        </w:trPr>
        <w:tc>
          <w:tcPr>
            <w:tcW w:w="1984" w:type="pct"/>
            <w:tcBorders>
              <w:top w:val="single" w:sz="4" w:space="0" w:color="auto"/>
              <w:left w:val="nil"/>
              <w:bottom w:val="nil"/>
              <w:right w:val="nil"/>
            </w:tcBorders>
            <w:shd w:val="clear" w:color="auto" w:fill="auto"/>
            <w:vAlign w:val="center"/>
          </w:tcPr>
          <w:p w14:paraId="0E801264" w14:textId="42A91B0E" w:rsidR="004E32CD" w:rsidRPr="004E32CD" w:rsidRDefault="000623EC" w:rsidP="004E32C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P</w:t>
            </w:r>
            <w:r w:rsidR="004E32CD" w:rsidRPr="004E32CD">
              <w:rPr>
                <w:sz w:val="16"/>
                <w:szCs w:val="16"/>
              </w:rPr>
              <w:t>ara la promoción de la red museística de Canarias</w:t>
            </w:r>
          </w:p>
        </w:tc>
        <w:tc>
          <w:tcPr>
            <w:tcW w:w="588" w:type="pct"/>
            <w:gridSpan w:val="2"/>
            <w:tcBorders>
              <w:top w:val="single" w:sz="4" w:space="0" w:color="auto"/>
              <w:left w:val="nil"/>
              <w:bottom w:val="nil"/>
              <w:right w:val="nil"/>
            </w:tcBorders>
            <w:shd w:val="clear" w:color="auto" w:fill="auto"/>
            <w:vAlign w:val="center"/>
          </w:tcPr>
          <w:p w14:paraId="624E34EF" w14:textId="0DB7A62C"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662.000,00</w:t>
            </w:r>
          </w:p>
        </w:tc>
        <w:tc>
          <w:tcPr>
            <w:tcW w:w="588" w:type="pct"/>
            <w:tcBorders>
              <w:top w:val="single" w:sz="4" w:space="0" w:color="auto"/>
              <w:left w:val="nil"/>
              <w:bottom w:val="nil"/>
              <w:right w:val="nil"/>
            </w:tcBorders>
            <w:vAlign w:val="center"/>
          </w:tcPr>
          <w:p w14:paraId="6D518DE9" w14:textId="596E94BD"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588" w:type="pct"/>
            <w:tcBorders>
              <w:top w:val="single" w:sz="4" w:space="0" w:color="auto"/>
              <w:left w:val="nil"/>
              <w:bottom w:val="nil"/>
              <w:right w:val="nil"/>
            </w:tcBorders>
            <w:shd w:val="clear" w:color="auto" w:fill="auto"/>
            <w:vAlign w:val="center"/>
          </w:tcPr>
          <w:p w14:paraId="6CBE22B8" w14:textId="024CFDB1"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89.045,47</w:t>
            </w:r>
          </w:p>
        </w:tc>
        <w:tc>
          <w:tcPr>
            <w:tcW w:w="582" w:type="pct"/>
            <w:tcBorders>
              <w:top w:val="single" w:sz="4" w:space="0" w:color="auto"/>
              <w:left w:val="nil"/>
              <w:bottom w:val="nil"/>
              <w:right w:val="nil"/>
            </w:tcBorders>
            <w:shd w:val="clear" w:color="auto" w:fill="auto"/>
            <w:vAlign w:val="center"/>
          </w:tcPr>
          <w:p w14:paraId="5546EF71" w14:textId="5EAD1969"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4E32CD">
              <w:rPr>
                <w:sz w:val="16"/>
                <w:szCs w:val="16"/>
              </w:rPr>
              <w:t xml:space="preserve"> -</w:t>
            </w:r>
          </w:p>
        </w:tc>
        <w:tc>
          <w:tcPr>
            <w:tcW w:w="670" w:type="pct"/>
            <w:gridSpan w:val="2"/>
            <w:tcBorders>
              <w:top w:val="single" w:sz="4" w:space="0" w:color="auto"/>
              <w:left w:val="nil"/>
              <w:bottom w:val="nil"/>
              <w:right w:val="nil"/>
            </w:tcBorders>
            <w:shd w:val="clear" w:color="auto" w:fill="auto"/>
            <w:vAlign w:val="center"/>
          </w:tcPr>
          <w:p w14:paraId="1D5CB2F8" w14:textId="31B4AE22" w:rsidR="004E32CD" w:rsidRPr="00580F44"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580F44">
              <w:rPr>
                <w:sz w:val="16"/>
                <w:szCs w:val="16"/>
              </w:rPr>
              <w:t>572.954,53</w:t>
            </w:r>
          </w:p>
        </w:tc>
      </w:tr>
      <w:tr w:rsidR="00691F3B" w:rsidRPr="004E32CD" w14:paraId="70F4F329" w14:textId="77777777" w:rsidTr="001C58A9">
        <w:trPr>
          <w:trHeight w:val="283"/>
        </w:trPr>
        <w:tc>
          <w:tcPr>
            <w:tcW w:w="1984" w:type="pct"/>
            <w:tcBorders>
              <w:top w:val="single" w:sz="4" w:space="0" w:color="auto"/>
              <w:left w:val="nil"/>
              <w:bottom w:val="single" w:sz="4" w:space="0" w:color="auto"/>
              <w:right w:val="nil"/>
            </w:tcBorders>
            <w:shd w:val="clear" w:color="auto" w:fill="auto"/>
            <w:noWrap/>
            <w:vAlign w:val="center"/>
            <w:hideMark/>
          </w:tcPr>
          <w:p w14:paraId="7D822C7C" w14:textId="77777777"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4E32CD">
              <w:rPr>
                <w:rFonts w:eastAsia="Times New Roman"/>
                <w:b/>
                <w:bCs/>
                <w:sz w:val="16"/>
                <w:szCs w:val="16"/>
                <w:bdr w:val="none" w:sz="0" w:space="0" w:color="auto"/>
                <w:lang w:eastAsia="es-ES"/>
              </w:rPr>
              <w:t>Total</w:t>
            </w:r>
          </w:p>
        </w:tc>
        <w:tc>
          <w:tcPr>
            <w:tcW w:w="588" w:type="pct"/>
            <w:gridSpan w:val="2"/>
            <w:tcBorders>
              <w:top w:val="single" w:sz="4" w:space="0" w:color="auto"/>
              <w:left w:val="nil"/>
              <w:bottom w:val="single" w:sz="4" w:space="0" w:color="auto"/>
              <w:right w:val="nil"/>
            </w:tcBorders>
            <w:shd w:val="clear" w:color="auto" w:fill="auto"/>
            <w:noWrap/>
            <w:vAlign w:val="center"/>
          </w:tcPr>
          <w:p w14:paraId="05F17E5F" w14:textId="792B3C8E"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E32CD">
              <w:rPr>
                <w:b/>
                <w:bCs/>
                <w:sz w:val="16"/>
                <w:szCs w:val="16"/>
              </w:rPr>
              <w:t>74.891.361,00</w:t>
            </w:r>
          </w:p>
        </w:tc>
        <w:tc>
          <w:tcPr>
            <w:tcW w:w="588" w:type="pct"/>
            <w:tcBorders>
              <w:top w:val="single" w:sz="4" w:space="0" w:color="auto"/>
              <w:left w:val="nil"/>
              <w:bottom w:val="single" w:sz="4" w:space="0" w:color="auto"/>
              <w:right w:val="nil"/>
            </w:tcBorders>
            <w:vAlign w:val="center"/>
          </w:tcPr>
          <w:p w14:paraId="5C54401D" w14:textId="0ABF1D15"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E32CD">
              <w:rPr>
                <w:b/>
                <w:bCs/>
                <w:sz w:val="16"/>
                <w:szCs w:val="16"/>
              </w:rPr>
              <w:t>9.367.320,08</w:t>
            </w:r>
          </w:p>
        </w:tc>
        <w:tc>
          <w:tcPr>
            <w:tcW w:w="588" w:type="pct"/>
            <w:tcBorders>
              <w:top w:val="single" w:sz="4" w:space="0" w:color="auto"/>
              <w:left w:val="nil"/>
              <w:bottom w:val="single" w:sz="4" w:space="0" w:color="auto"/>
              <w:right w:val="nil"/>
            </w:tcBorders>
            <w:shd w:val="clear" w:color="auto" w:fill="auto"/>
            <w:noWrap/>
            <w:vAlign w:val="center"/>
          </w:tcPr>
          <w:p w14:paraId="1C89B697" w14:textId="60CB6E17"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E32CD">
              <w:rPr>
                <w:b/>
                <w:bCs/>
                <w:sz w:val="16"/>
                <w:szCs w:val="16"/>
              </w:rPr>
              <w:t>40.953.751,32</w:t>
            </w:r>
          </w:p>
        </w:tc>
        <w:tc>
          <w:tcPr>
            <w:tcW w:w="582" w:type="pct"/>
            <w:tcBorders>
              <w:top w:val="single" w:sz="4" w:space="0" w:color="auto"/>
              <w:left w:val="nil"/>
              <w:bottom w:val="single" w:sz="4" w:space="0" w:color="auto"/>
              <w:right w:val="nil"/>
            </w:tcBorders>
            <w:shd w:val="clear" w:color="auto" w:fill="auto"/>
            <w:noWrap/>
            <w:vAlign w:val="center"/>
          </w:tcPr>
          <w:p w14:paraId="6A2E7B8C" w14:textId="774B62C9" w:rsidR="004E32CD" w:rsidRPr="004E32CD" w:rsidRDefault="004E32CD" w:rsidP="004E32C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E32CD">
              <w:rPr>
                <w:b/>
                <w:bCs/>
                <w:sz w:val="16"/>
                <w:szCs w:val="16"/>
              </w:rPr>
              <w:t>(2.023.811,50)</w:t>
            </w:r>
          </w:p>
        </w:tc>
        <w:tc>
          <w:tcPr>
            <w:tcW w:w="670" w:type="pct"/>
            <w:gridSpan w:val="2"/>
            <w:tcBorders>
              <w:top w:val="single" w:sz="4" w:space="0" w:color="auto"/>
              <w:left w:val="nil"/>
              <w:bottom w:val="single" w:sz="4" w:space="0" w:color="auto"/>
              <w:right w:val="nil"/>
            </w:tcBorders>
            <w:shd w:val="clear" w:color="auto" w:fill="auto"/>
            <w:noWrap/>
            <w:vAlign w:val="center"/>
          </w:tcPr>
          <w:p w14:paraId="144688A6" w14:textId="1814D0C7" w:rsidR="004E32CD" w:rsidRPr="00691F3B" w:rsidRDefault="00691F3B" w:rsidP="00691F3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691F3B">
              <w:rPr>
                <w:b/>
                <w:bCs/>
                <w:sz w:val="16"/>
                <w:szCs w:val="16"/>
              </w:rPr>
              <w:t>41.281.118,26</w:t>
            </w:r>
          </w:p>
        </w:tc>
      </w:tr>
    </w:tbl>
    <w:p w14:paraId="00216834" w14:textId="2FE2FB47" w:rsidR="002109C5" w:rsidRDefault="002109C5" w:rsidP="006220A2">
      <w:pPr>
        <w:rPr>
          <w:sz w:val="20"/>
          <w:szCs w:val="22"/>
        </w:rPr>
      </w:pPr>
    </w:p>
    <w:p w14:paraId="54D85C68" w14:textId="55BC8769" w:rsidR="001C58A9" w:rsidRDefault="001C58A9" w:rsidP="006220A2">
      <w:pPr>
        <w:rPr>
          <w:sz w:val="20"/>
          <w:szCs w:val="22"/>
          <w:highlight w:val="green"/>
        </w:rPr>
        <w:sectPr w:rsidR="001C58A9" w:rsidSect="001C58A9">
          <w:pgSz w:w="16840" w:h="11900" w:orient="landscape" w:code="9"/>
          <w:pgMar w:top="1701" w:right="1701" w:bottom="1418" w:left="1418" w:header="1134" w:footer="680" w:gutter="0"/>
          <w:cols w:space="708"/>
          <w:docGrid w:linePitch="360"/>
        </w:sectPr>
      </w:pPr>
    </w:p>
    <w:p w14:paraId="31CEACEF" w14:textId="49A0059F" w:rsidR="00297CBF" w:rsidRPr="00176BA0" w:rsidRDefault="001C58A9" w:rsidP="00176BA0">
      <w:pPr>
        <w:widowControl w:val="0"/>
        <w:spacing w:before="120" w:after="120" w:line="260" w:lineRule="exact"/>
        <w:ind w:left="284"/>
        <w:jc w:val="both"/>
        <w:outlineLvl w:val="9"/>
        <w:rPr>
          <w:snapToGrid w:val="0"/>
          <w:sz w:val="20"/>
          <w:szCs w:val="22"/>
        </w:rPr>
      </w:pPr>
      <w:r w:rsidRPr="00176BA0">
        <w:rPr>
          <w:snapToGrid w:val="0"/>
          <w:sz w:val="20"/>
          <w:szCs w:val="22"/>
        </w:rPr>
        <w:lastRenderedPageBreak/>
        <w:t>Dur</w:t>
      </w:r>
      <w:r w:rsidR="00297CBF" w:rsidRPr="00176BA0">
        <w:rPr>
          <w:snapToGrid w:val="0"/>
          <w:sz w:val="20"/>
          <w:szCs w:val="22"/>
        </w:rPr>
        <w:t xml:space="preserve">ante el ejercicio 2021 la Sociedad ha ejecutado </w:t>
      </w:r>
      <w:r w:rsidR="00C003BB" w:rsidRPr="00176BA0">
        <w:rPr>
          <w:snapToGrid w:val="0"/>
          <w:sz w:val="20"/>
          <w:szCs w:val="22"/>
        </w:rPr>
        <w:t>las subvenciones concedidas en 2020 y prorrogadas al ejercicio siguiente por importe</w:t>
      </w:r>
      <w:r w:rsidR="00297CBF" w:rsidRPr="00176BA0">
        <w:rPr>
          <w:snapToGrid w:val="0"/>
          <w:sz w:val="20"/>
          <w:szCs w:val="22"/>
        </w:rPr>
        <w:t xml:space="preserve"> de 9.367.320,08 euros.</w:t>
      </w:r>
    </w:p>
    <w:p w14:paraId="0E650F16" w14:textId="56006953" w:rsidR="00297CBF" w:rsidRPr="00954AA6" w:rsidRDefault="00297CBF" w:rsidP="00954AA6">
      <w:pPr>
        <w:jc w:val="both"/>
        <w:rPr>
          <w:sz w:val="20"/>
          <w:szCs w:val="22"/>
        </w:rPr>
      </w:pPr>
    </w:p>
    <w:p w14:paraId="1CA7538E" w14:textId="77777777" w:rsidR="00274775" w:rsidRPr="0083433F" w:rsidRDefault="00274775" w:rsidP="00954AA6">
      <w:pPr>
        <w:jc w:val="both"/>
        <w:rPr>
          <w:sz w:val="20"/>
          <w:szCs w:val="22"/>
        </w:rPr>
      </w:pPr>
    </w:p>
    <w:p w14:paraId="5A3D3F0F" w14:textId="41C66F7E" w:rsidR="006220A2" w:rsidRPr="0083433F" w:rsidRDefault="00322E9D"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Pr>
          <w:b/>
          <w:snapToGrid w:val="0"/>
          <w:sz w:val="22"/>
          <w:szCs w:val="22"/>
        </w:rPr>
        <w:t xml:space="preserve"> </w:t>
      </w:r>
      <w:r w:rsidR="006220A2" w:rsidRPr="0083433F">
        <w:rPr>
          <w:b/>
          <w:snapToGrid w:val="0"/>
          <w:sz w:val="22"/>
          <w:szCs w:val="22"/>
        </w:rPr>
        <w:t>Hechos posteriores al cierre</w:t>
      </w:r>
    </w:p>
    <w:p w14:paraId="7AA90DD1" w14:textId="10366C60" w:rsidR="000F0BE8" w:rsidRPr="00176BA0" w:rsidRDefault="00646619" w:rsidP="00176BA0">
      <w:pPr>
        <w:widowControl w:val="0"/>
        <w:spacing w:before="120" w:after="120" w:line="260" w:lineRule="exact"/>
        <w:ind w:left="284"/>
        <w:jc w:val="both"/>
        <w:outlineLvl w:val="9"/>
        <w:rPr>
          <w:snapToGrid w:val="0"/>
          <w:sz w:val="20"/>
          <w:szCs w:val="22"/>
        </w:rPr>
      </w:pPr>
      <w:r w:rsidRPr="00176BA0">
        <w:rPr>
          <w:snapToGrid w:val="0"/>
          <w:sz w:val="20"/>
          <w:szCs w:val="22"/>
        </w:rPr>
        <w:t>D</w:t>
      </w:r>
      <w:r w:rsidR="000F0BE8" w:rsidRPr="00176BA0">
        <w:rPr>
          <w:snapToGrid w:val="0"/>
          <w:sz w:val="20"/>
          <w:szCs w:val="22"/>
        </w:rPr>
        <w:t>esde el 31 de diciembre de 20</w:t>
      </w:r>
      <w:r w:rsidRPr="00176BA0">
        <w:rPr>
          <w:snapToGrid w:val="0"/>
          <w:sz w:val="20"/>
          <w:szCs w:val="22"/>
        </w:rPr>
        <w:t>2</w:t>
      </w:r>
      <w:r w:rsidR="000F3823" w:rsidRPr="00176BA0">
        <w:rPr>
          <w:snapToGrid w:val="0"/>
          <w:sz w:val="20"/>
          <w:szCs w:val="22"/>
        </w:rPr>
        <w:t>1</w:t>
      </w:r>
      <w:r w:rsidR="00C669BB" w:rsidRPr="00176BA0">
        <w:rPr>
          <w:snapToGrid w:val="0"/>
          <w:sz w:val="20"/>
          <w:szCs w:val="22"/>
        </w:rPr>
        <w:t xml:space="preserve"> hasta la fecha de formulación de estas cuentas anuales, no se han producido otros acontecimientos significativos </w:t>
      </w:r>
      <w:r w:rsidR="000F0BE8" w:rsidRPr="00176BA0">
        <w:rPr>
          <w:snapToGrid w:val="0"/>
          <w:sz w:val="20"/>
          <w:szCs w:val="22"/>
        </w:rPr>
        <w:t>que, afectando a las mismas, no se hubiera incluido en ellas, o cuyo conocimiento pudiera resultar útil a un usuario de las mismas.</w:t>
      </w:r>
    </w:p>
    <w:p w14:paraId="4284164B" w14:textId="099A68E3" w:rsidR="002109C5" w:rsidRPr="00052BF5" w:rsidRDefault="002109C5" w:rsidP="00052BF5">
      <w:pPr>
        <w:jc w:val="both"/>
        <w:rPr>
          <w:sz w:val="20"/>
          <w:szCs w:val="22"/>
        </w:rPr>
      </w:pPr>
    </w:p>
    <w:p w14:paraId="03B68BEF" w14:textId="77777777" w:rsidR="00052BF5" w:rsidRPr="00052BF5" w:rsidRDefault="00052BF5" w:rsidP="00052BF5">
      <w:pPr>
        <w:jc w:val="both"/>
        <w:rPr>
          <w:sz w:val="20"/>
          <w:szCs w:val="22"/>
        </w:rPr>
      </w:pPr>
    </w:p>
    <w:p w14:paraId="60580F64" w14:textId="4C0723C0" w:rsidR="006220A2" w:rsidRPr="00663F02" w:rsidRDefault="00322E9D"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663F02">
        <w:rPr>
          <w:b/>
          <w:snapToGrid w:val="0"/>
          <w:sz w:val="22"/>
          <w:szCs w:val="22"/>
        </w:rPr>
        <w:t xml:space="preserve"> </w:t>
      </w:r>
      <w:r w:rsidR="006220A2" w:rsidRPr="00BC7B66">
        <w:rPr>
          <w:b/>
          <w:snapToGrid w:val="0"/>
          <w:sz w:val="22"/>
          <w:szCs w:val="22"/>
        </w:rPr>
        <w:t>Operaciones con partes vinculadas</w:t>
      </w:r>
    </w:p>
    <w:p w14:paraId="2D53487F" w14:textId="5F417C9B" w:rsidR="006220A2" w:rsidRPr="0031018D" w:rsidRDefault="006220A2" w:rsidP="00663F02">
      <w:pPr>
        <w:keepNext/>
        <w:keepLines/>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663F02">
        <w:rPr>
          <w:sz w:val="20"/>
          <w:szCs w:val="22"/>
          <w:u w:val="single"/>
        </w:rPr>
        <w:t>Transacciones con la Consejería de T</w:t>
      </w:r>
      <w:r w:rsidRPr="0031018D">
        <w:rPr>
          <w:sz w:val="20"/>
          <w:szCs w:val="22"/>
          <w:u w:val="single"/>
        </w:rPr>
        <w:t xml:space="preserve">urismo, </w:t>
      </w:r>
      <w:r w:rsidR="00BB1445" w:rsidRPr="0031018D">
        <w:rPr>
          <w:sz w:val="20"/>
          <w:szCs w:val="22"/>
          <w:u w:val="single"/>
        </w:rPr>
        <w:t xml:space="preserve">Industria </w:t>
      </w:r>
      <w:r w:rsidRPr="0031018D">
        <w:rPr>
          <w:sz w:val="20"/>
          <w:szCs w:val="22"/>
          <w:u w:val="single"/>
        </w:rPr>
        <w:t xml:space="preserve">y </w:t>
      </w:r>
      <w:r w:rsidR="00BB1445" w:rsidRPr="0031018D">
        <w:rPr>
          <w:sz w:val="20"/>
          <w:szCs w:val="22"/>
          <w:u w:val="single"/>
        </w:rPr>
        <w:t>Comercio</w:t>
      </w:r>
      <w:r w:rsidRPr="0031018D">
        <w:rPr>
          <w:sz w:val="20"/>
          <w:szCs w:val="22"/>
          <w:u w:val="single"/>
        </w:rPr>
        <w:t xml:space="preserve"> del Gobierno de Canarias</w:t>
      </w:r>
    </w:p>
    <w:p w14:paraId="6F10E974" w14:textId="39FC0223"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Se han recibido</w:t>
      </w:r>
      <w:r w:rsidR="000440E6" w:rsidRPr="00176BA0">
        <w:rPr>
          <w:snapToGrid w:val="0"/>
          <w:sz w:val="20"/>
          <w:szCs w:val="22"/>
        </w:rPr>
        <w:t xml:space="preserve"> en el ejercicio 20</w:t>
      </w:r>
      <w:r w:rsidR="009C7621" w:rsidRPr="00176BA0">
        <w:rPr>
          <w:snapToGrid w:val="0"/>
          <w:sz w:val="20"/>
          <w:szCs w:val="22"/>
        </w:rPr>
        <w:t>2</w:t>
      </w:r>
      <w:r w:rsidR="00C2117E" w:rsidRPr="00176BA0">
        <w:rPr>
          <w:snapToGrid w:val="0"/>
          <w:sz w:val="20"/>
          <w:szCs w:val="22"/>
        </w:rPr>
        <w:t>1</w:t>
      </w:r>
      <w:r w:rsidR="00F62799" w:rsidRPr="00176BA0">
        <w:rPr>
          <w:snapToGrid w:val="0"/>
          <w:sz w:val="20"/>
          <w:szCs w:val="22"/>
        </w:rPr>
        <w:t xml:space="preserve"> y 20</w:t>
      </w:r>
      <w:r w:rsidR="00C2117E" w:rsidRPr="00176BA0">
        <w:rPr>
          <w:snapToGrid w:val="0"/>
          <w:sz w:val="20"/>
          <w:szCs w:val="22"/>
        </w:rPr>
        <w:t>20</w:t>
      </w:r>
      <w:r w:rsidRPr="00176BA0">
        <w:rPr>
          <w:snapToGrid w:val="0"/>
          <w:sz w:val="20"/>
          <w:szCs w:val="22"/>
        </w:rPr>
        <w:t xml:space="preserve"> los siguientes importes por parte de la Consejería de Turismo, </w:t>
      </w:r>
      <w:r w:rsidR="00BB1445" w:rsidRPr="00176BA0">
        <w:rPr>
          <w:snapToGrid w:val="0"/>
          <w:sz w:val="20"/>
          <w:szCs w:val="22"/>
        </w:rPr>
        <w:t>Industria y</w:t>
      </w:r>
      <w:r w:rsidRPr="00176BA0">
        <w:rPr>
          <w:snapToGrid w:val="0"/>
          <w:sz w:val="20"/>
          <w:szCs w:val="22"/>
        </w:rPr>
        <w:t xml:space="preserve"> </w:t>
      </w:r>
      <w:r w:rsidR="00BB1445" w:rsidRPr="00176BA0">
        <w:rPr>
          <w:snapToGrid w:val="0"/>
          <w:sz w:val="20"/>
          <w:szCs w:val="22"/>
        </w:rPr>
        <w:t>Comercio</w:t>
      </w:r>
      <w:r w:rsidRPr="00176BA0">
        <w:rPr>
          <w:snapToGrid w:val="0"/>
          <w:sz w:val="20"/>
          <w:szCs w:val="22"/>
        </w:rPr>
        <w:t xml:space="preserve"> del Gobierno de Canarias:</w:t>
      </w:r>
    </w:p>
    <w:tbl>
      <w:tblPr>
        <w:tblW w:w="5000" w:type="pct"/>
        <w:jc w:val="center"/>
        <w:tblCellMar>
          <w:left w:w="70" w:type="dxa"/>
          <w:right w:w="70" w:type="dxa"/>
        </w:tblCellMar>
        <w:tblLook w:val="04A0" w:firstRow="1" w:lastRow="0" w:firstColumn="1" w:lastColumn="0" w:noHBand="0" w:noVBand="1"/>
      </w:tblPr>
      <w:tblGrid>
        <w:gridCol w:w="4621"/>
        <w:gridCol w:w="2081"/>
        <w:gridCol w:w="2079"/>
      </w:tblGrid>
      <w:tr w:rsidR="006220A2" w:rsidRPr="00954AA6" w14:paraId="2AFBC58F" w14:textId="77777777" w:rsidTr="00840DE8">
        <w:trPr>
          <w:trHeight w:val="227"/>
          <w:jc w:val="center"/>
        </w:trPr>
        <w:tc>
          <w:tcPr>
            <w:tcW w:w="2631" w:type="pct"/>
            <w:tcBorders>
              <w:top w:val="single" w:sz="4" w:space="0" w:color="auto"/>
              <w:left w:val="nil"/>
              <w:bottom w:val="nil"/>
              <w:right w:val="nil"/>
            </w:tcBorders>
            <w:shd w:val="clear" w:color="auto" w:fill="auto"/>
            <w:vAlign w:val="bottom"/>
            <w:hideMark/>
          </w:tcPr>
          <w:p w14:paraId="76D9059E" w14:textId="77777777" w:rsidR="006220A2" w:rsidRPr="00954AA6" w:rsidRDefault="006220A2" w:rsidP="00954AA6">
            <w:pPr>
              <w:keepNext/>
              <w:keepLines/>
              <w:widowControl w:val="0"/>
              <w:ind w:left="219"/>
              <w:jc w:val="center"/>
              <w:rPr>
                <w:rFonts w:ascii="Times New Roman" w:eastAsia="Times New Roman" w:hAnsi="Times New Roman"/>
                <w:sz w:val="18"/>
                <w:szCs w:val="18"/>
              </w:rPr>
            </w:pPr>
          </w:p>
        </w:tc>
        <w:tc>
          <w:tcPr>
            <w:tcW w:w="2369" w:type="pct"/>
            <w:gridSpan w:val="2"/>
            <w:tcBorders>
              <w:top w:val="single" w:sz="4" w:space="0" w:color="auto"/>
              <w:left w:val="nil"/>
              <w:bottom w:val="single" w:sz="4" w:space="0" w:color="auto"/>
              <w:right w:val="nil"/>
            </w:tcBorders>
            <w:shd w:val="clear" w:color="auto" w:fill="auto"/>
            <w:vAlign w:val="bottom"/>
            <w:hideMark/>
          </w:tcPr>
          <w:p w14:paraId="7EB96F9D" w14:textId="77777777" w:rsidR="006220A2" w:rsidRPr="00954AA6" w:rsidRDefault="006220A2" w:rsidP="00663F02">
            <w:pPr>
              <w:keepNext/>
              <w:keepLines/>
              <w:widowControl w:val="0"/>
              <w:jc w:val="center"/>
              <w:rPr>
                <w:rFonts w:eastAsia="Times New Roman"/>
                <w:b/>
                <w:bCs/>
                <w:sz w:val="18"/>
                <w:szCs w:val="18"/>
              </w:rPr>
            </w:pPr>
            <w:r w:rsidRPr="00954AA6">
              <w:rPr>
                <w:rFonts w:eastAsia="Times New Roman"/>
                <w:b/>
                <w:bCs/>
                <w:sz w:val="18"/>
                <w:szCs w:val="18"/>
              </w:rPr>
              <w:t>Euros</w:t>
            </w:r>
          </w:p>
        </w:tc>
      </w:tr>
      <w:tr w:rsidR="000440E6" w:rsidRPr="00954AA6" w14:paraId="08C423DD" w14:textId="77777777" w:rsidTr="00C2117E">
        <w:trPr>
          <w:trHeight w:val="227"/>
          <w:jc w:val="center"/>
        </w:trPr>
        <w:tc>
          <w:tcPr>
            <w:tcW w:w="2631" w:type="pct"/>
            <w:tcBorders>
              <w:top w:val="nil"/>
              <w:left w:val="nil"/>
              <w:bottom w:val="single" w:sz="4" w:space="0" w:color="auto"/>
              <w:right w:val="nil"/>
            </w:tcBorders>
            <w:shd w:val="clear" w:color="auto" w:fill="auto"/>
            <w:vAlign w:val="bottom"/>
            <w:hideMark/>
          </w:tcPr>
          <w:p w14:paraId="17D6CB9B" w14:textId="77777777" w:rsidR="000440E6" w:rsidRPr="00954AA6" w:rsidRDefault="000440E6" w:rsidP="00954AA6">
            <w:pPr>
              <w:keepNext/>
              <w:keepLines/>
              <w:widowControl w:val="0"/>
              <w:ind w:left="219"/>
              <w:jc w:val="center"/>
              <w:rPr>
                <w:rFonts w:eastAsia="Times New Roman" w:cs="Times"/>
                <w:sz w:val="18"/>
                <w:szCs w:val="18"/>
              </w:rPr>
            </w:pPr>
          </w:p>
        </w:tc>
        <w:tc>
          <w:tcPr>
            <w:tcW w:w="1185" w:type="pct"/>
            <w:tcBorders>
              <w:top w:val="nil"/>
              <w:left w:val="nil"/>
              <w:bottom w:val="single" w:sz="4" w:space="0" w:color="auto"/>
              <w:right w:val="nil"/>
            </w:tcBorders>
            <w:shd w:val="clear" w:color="auto" w:fill="auto"/>
            <w:vAlign w:val="bottom"/>
            <w:hideMark/>
          </w:tcPr>
          <w:p w14:paraId="264DA5D1" w14:textId="05101BD0" w:rsidR="000440E6" w:rsidRPr="00954AA6" w:rsidRDefault="00663F02" w:rsidP="00663F02">
            <w:pPr>
              <w:keepNext/>
              <w:keepLines/>
              <w:widowControl w:val="0"/>
              <w:jc w:val="center"/>
              <w:rPr>
                <w:rFonts w:eastAsia="Times New Roman"/>
                <w:b/>
                <w:bCs/>
                <w:sz w:val="18"/>
                <w:szCs w:val="18"/>
              </w:rPr>
            </w:pPr>
            <w:r w:rsidRPr="00954AA6">
              <w:rPr>
                <w:rFonts w:eastAsia="Times New Roman"/>
                <w:b/>
                <w:bCs/>
                <w:sz w:val="18"/>
                <w:szCs w:val="18"/>
              </w:rPr>
              <w:t>202</w:t>
            </w:r>
            <w:r w:rsidR="00C2117E" w:rsidRPr="00954AA6">
              <w:rPr>
                <w:rFonts w:eastAsia="Times New Roman"/>
                <w:b/>
                <w:bCs/>
                <w:sz w:val="18"/>
                <w:szCs w:val="18"/>
              </w:rPr>
              <w:t>1</w:t>
            </w:r>
          </w:p>
        </w:tc>
        <w:tc>
          <w:tcPr>
            <w:tcW w:w="1184" w:type="pct"/>
            <w:tcBorders>
              <w:top w:val="nil"/>
              <w:left w:val="nil"/>
              <w:bottom w:val="single" w:sz="4" w:space="0" w:color="auto"/>
              <w:right w:val="nil"/>
            </w:tcBorders>
            <w:shd w:val="clear" w:color="auto" w:fill="auto"/>
            <w:vAlign w:val="bottom"/>
            <w:hideMark/>
          </w:tcPr>
          <w:p w14:paraId="0BDF18B9" w14:textId="5A68A89F" w:rsidR="000440E6" w:rsidRPr="00954AA6" w:rsidRDefault="00663F02" w:rsidP="00663F02">
            <w:pPr>
              <w:keepNext/>
              <w:keepLines/>
              <w:widowControl w:val="0"/>
              <w:jc w:val="center"/>
              <w:rPr>
                <w:rFonts w:eastAsia="Times New Roman"/>
                <w:b/>
                <w:bCs/>
                <w:sz w:val="18"/>
                <w:szCs w:val="18"/>
              </w:rPr>
            </w:pPr>
            <w:r w:rsidRPr="00954AA6">
              <w:rPr>
                <w:rFonts w:eastAsia="Times New Roman"/>
                <w:b/>
                <w:bCs/>
                <w:sz w:val="18"/>
                <w:szCs w:val="18"/>
              </w:rPr>
              <w:t>20</w:t>
            </w:r>
            <w:r w:rsidR="00C2117E" w:rsidRPr="00954AA6">
              <w:rPr>
                <w:rFonts w:eastAsia="Times New Roman"/>
                <w:b/>
                <w:bCs/>
                <w:sz w:val="18"/>
                <w:szCs w:val="18"/>
              </w:rPr>
              <w:t>20</w:t>
            </w:r>
          </w:p>
        </w:tc>
      </w:tr>
      <w:tr w:rsidR="001B1D99" w:rsidRPr="00954AA6" w14:paraId="3FAF6983" w14:textId="77777777" w:rsidTr="00954AA6">
        <w:trPr>
          <w:trHeight w:val="283"/>
          <w:jc w:val="center"/>
        </w:trPr>
        <w:tc>
          <w:tcPr>
            <w:tcW w:w="2631" w:type="pct"/>
            <w:tcBorders>
              <w:top w:val="nil"/>
              <w:left w:val="nil"/>
              <w:bottom w:val="nil"/>
              <w:right w:val="nil"/>
            </w:tcBorders>
            <w:shd w:val="clear" w:color="auto" w:fill="auto"/>
            <w:vAlign w:val="center"/>
            <w:hideMark/>
          </w:tcPr>
          <w:p w14:paraId="67A080AB" w14:textId="77777777" w:rsidR="001B1D99" w:rsidRPr="00954AA6" w:rsidRDefault="001B1D99" w:rsidP="00954AA6">
            <w:pPr>
              <w:keepNext/>
              <w:keepLines/>
              <w:widowControl w:val="0"/>
              <w:ind w:left="219"/>
              <w:jc w:val="both"/>
              <w:rPr>
                <w:rFonts w:eastAsia="Times New Roman"/>
                <w:sz w:val="18"/>
                <w:szCs w:val="18"/>
              </w:rPr>
            </w:pPr>
            <w:r w:rsidRPr="00954AA6">
              <w:rPr>
                <w:rFonts w:eastAsia="Times New Roman"/>
                <w:sz w:val="18"/>
                <w:szCs w:val="18"/>
              </w:rPr>
              <w:t>Encomiendas</w:t>
            </w:r>
          </w:p>
        </w:tc>
        <w:tc>
          <w:tcPr>
            <w:tcW w:w="1185" w:type="pct"/>
            <w:tcBorders>
              <w:top w:val="nil"/>
              <w:left w:val="nil"/>
              <w:bottom w:val="nil"/>
              <w:right w:val="nil"/>
            </w:tcBorders>
            <w:shd w:val="clear" w:color="auto" w:fill="auto"/>
            <w:vAlign w:val="center"/>
          </w:tcPr>
          <w:p w14:paraId="1375007B" w14:textId="399381F8" w:rsidR="001B1D99" w:rsidRPr="00954AA6" w:rsidRDefault="001B1D99" w:rsidP="001B1D9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236.170,83</w:t>
            </w:r>
          </w:p>
        </w:tc>
        <w:tc>
          <w:tcPr>
            <w:tcW w:w="1184" w:type="pct"/>
            <w:tcBorders>
              <w:top w:val="nil"/>
              <w:left w:val="nil"/>
              <w:bottom w:val="nil"/>
              <w:right w:val="nil"/>
            </w:tcBorders>
            <w:shd w:val="clear" w:color="auto" w:fill="auto"/>
            <w:vAlign w:val="center"/>
          </w:tcPr>
          <w:p w14:paraId="0AA038CB" w14:textId="05E5DE1F" w:rsidR="001B1D99" w:rsidRPr="00954AA6" w:rsidRDefault="001B1D99" w:rsidP="001B1D99">
            <w:pPr>
              <w:keepNext/>
              <w:keepLines/>
              <w:widowControl w:val="0"/>
              <w:jc w:val="right"/>
              <w:rPr>
                <w:sz w:val="18"/>
                <w:szCs w:val="18"/>
              </w:rPr>
            </w:pPr>
            <w:r w:rsidRPr="00954AA6">
              <w:rPr>
                <w:sz w:val="18"/>
                <w:szCs w:val="18"/>
              </w:rPr>
              <w:t>120.434,00</w:t>
            </w:r>
          </w:p>
        </w:tc>
      </w:tr>
      <w:tr w:rsidR="001B1D99" w:rsidRPr="00954AA6" w14:paraId="56329EB5" w14:textId="77777777" w:rsidTr="00954AA6">
        <w:trPr>
          <w:trHeight w:val="283"/>
          <w:jc w:val="center"/>
        </w:trPr>
        <w:tc>
          <w:tcPr>
            <w:tcW w:w="2631" w:type="pct"/>
            <w:tcBorders>
              <w:top w:val="nil"/>
              <w:left w:val="nil"/>
              <w:bottom w:val="nil"/>
              <w:right w:val="nil"/>
            </w:tcBorders>
            <w:shd w:val="clear" w:color="auto" w:fill="auto"/>
            <w:vAlign w:val="center"/>
            <w:hideMark/>
          </w:tcPr>
          <w:p w14:paraId="476F8F0C" w14:textId="77777777" w:rsidR="001B1D99" w:rsidRPr="00954AA6" w:rsidRDefault="001B1D99" w:rsidP="00954AA6">
            <w:pPr>
              <w:keepNext/>
              <w:keepLines/>
              <w:widowControl w:val="0"/>
              <w:ind w:left="219"/>
              <w:jc w:val="both"/>
              <w:rPr>
                <w:rFonts w:eastAsia="Times New Roman"/>
                <w:sz w:val="18"/>
                <w:szCs w:val="18"/>
              </w:rPr>
            </w:pPr>
            <w:r w:rsidRPr="00954AA6">
              <w:rPr>
                <w:rFonts w:eastAsia="Times New Roman"/>
                <w:sz w:val="18"/>
                <w:szCs w:val="18"/>
              </w:rPr>
              <w:t>Subvenciones</w:t>
            </w:r>
          </w:p>
        </w:tc>
        <w:tc>
          <w:tcPr>
            <w:tcW w:w="1185" w:type="pct"/>
            <w:tcBorders>
              <w:top w:val="nil"/>
              <w:left w:val="nil"/>
              <w:bottom w:val="nil"/>
              <w:right w:val="nil"/>
            </w:tcBorders>
            <w:shd w:val="clear" w:color="auto" w:fill="auto"/>
            <w:vAlign w:val="center"/>
          </w:tcPr>
          <w:p w14:paraId="1DCF8BA4" w14:textId="6AEDC941" w:rsidR="001B1D99" w:rsidRPr="00954AA6" w:rsidRDefault="001B1D99" w:rsidP="001B1D99">
            <w:pPr>
              <w:keepNext/>
              <w:keepLines/>
              <w:widowControl w:val="0"/>
              <w:jc w:val="right"/>
              <w:rPr>
                <w:sz w:val="18"/>
                <w:szCs w:val="18"/>
              </w:rPr>
            </w:pPr>
            <w:r w:rsidRPr="00954AA6">
              <w:rPr>
                <w:sz w:val="18"/>
                <w:szCs w:val="18"/>
              </w:rPr>
              <w:t>40.953.751,32</w:t>
            </w:r>
          </w:p>
        </w:tc>
        <w:tc>
          <w:tcPr>
            <w:tcW w:w="1184" w:type="pct"/>
            <w:tcBorders>
              <w:top w:val="nil"/>
              <w:left w:val="nil"/>
              <w:bottom w:val="nil"/>
              <w:right w:val="nil"/>
            </w:tcBorders>
            <w:shd w:val="clear" w:color="auto" w:fill="auto"/>
            <w:vAlign w:val="center"/>
          </w:tcPr>
          <w:p w14:paraId="3E2CC29C" w14:textId="7C20E7BE" w:rsidR="001B1D99" w:rsidRPr="00954AA6" w:rsidRDefault="001B1D99" w:rsidP="001B1D99">
            <w:pPr>
              <w:keepNext/>
              <w:keepLines/>
              <w:widowControl w:val="0"/>
              <w:jc w:val="right"/>
              <w:rPr>
                <w:sz w:val="18"/>
                <w:szCs w:val="18"/>
              </w:rPr>
            </w:pPr>
            <w:r w:rsidRPr="00954AA6">
              <w:rPr>
                <w:sz w:val="18"/>
                <w:szCs w:val="18"/>
              </w:rPr>
              <w:t>18.480.502,24</w:t>
            </w:r>
          </w:p>
        </w:tc>
      </w:tr>
      <w:tr w:rsidR="001B1D99" w:rsidRPr="00954AA6" w14:paraId="776B5202" w14:textId="77777777" w:rsidTr="00954AA6">
        <w:trPr>
          <w:trHeight w:val="283"/>
          <w:jc w:val="center"/>
        </w:trPr>
        <w:tc>
          <w:tcPr>
            <w:tcW w:w="2631" w:type="pct"/>
            <w:tcBorders>
              <w:top w:val="nil"/>
              <w:left w:val="nil"/>
              <w:bottom w:val="single" w:sz="4" w:space="0" w:color="auto"/>
              <w:right w:val="nil"/>
            </w:tcBorders>
            <w:shd w:val="clear" w:color="auto" w:fill="auto"/>
            <w:vAlign w:val="center"/>
            <w:hideMark/>
          </w:tcPr>
          <w:p w14:paraId="6EFF5CE5" w14:textId="77777777" w:rsidR="001B1D99" w:rsidRPr="00954AA6" w:rsidRDefault="001B1D99" w:rsidP="00954AA6">
            <w:pPr>
              <w:keepNext/>
              <w:keepLines/>
              <w:widowControl w:val="0"/>
              <w:ind w:left="219"/>
              <w:jc w:val="both"/>
              <w:rPr>
                <w:rFonts w:eastAsia="Times New Roman"/>
                <w:sz w:val="18"/>
                <w:szCs w:val="18"/>
              </w:rPr>
            </w:pPr>
            <w:r w:rsidRPr="00954AA6">
              <w:rPr>
                <w:rFonts w:eastAsia="Times New Roman"/>
                <w:sz w:val="18"/>
                <w:szCs w:val="18"/>
              </w:rPr>
              <w:t>Aportaciones de socios</w:t>
            </w:r>
          </w:p>
        </w:tc>
        <w:tc>
          <w:tcPr>
            <w:tcW w:w="1185" w:type="pct"/>
            <w:tcBorders>
              <w:top w:val="nil"/>
              <w:left w:val="nil"/>
              <w:bottom w:val="single" w:sz="4" w:space="0" w:color="auto"/>
              <w:right w:val="nil"/>
            </w:tcBorders>
            <w:shd w:val="clear" w:color="auto" w:fill="auto"/>
            <w:vAlign w:val="center"/>
          </w:tcPr>
          <w:p w14:paraId="559BA08C" w14:textId="3F4EAB5D" w:rsidR="001B1D99" w:rsidRPr="00954AA6" w:rsidRDefault="001B1D99" w:rsidP="001B1D99">
            <w:pPr>
              <w:keepNext/>
              <w:keepLines/>
              <w:widowControl w:val="0"/>
              <w:jc w:val="right"/>
              <w:rPr>
                <w:sz w:val="18"/>
                <w:szCs w:val="18"/>
              </w:rPr>
            </w:pPr>
            <w:r w:rsidRPr="00954AA6">
              <w:rPr>
                <w:sz w:val="18"/>
                <w:szCs w:val="18"/>
              </w:rPr>
              <w:t>2.267.888,00</w:t>
            </w:r>
          </w:p>
        </w:tc>
        <w:tc>
          <w:tcPr>
            <w:tcW w:w="1184" w:type="pct"/>
            <w:tcBorders>
              <w:top w:val="nil"/>
              <w:left w:val="nil"/>
              <w:bottom w:val="single" w:sz="4" w:space="0" w:color="auto"/>
              <w:right w:val="nil"/>
            </w:tcBorders>
            <w:shd w:val="clear" w:color="auto" w:fill="auto"/>
            <w:vAlign w:val="center"/>
          </w:tcPr>
          <w:p w14:paraId="4E6AEF4E" w14:textId="3991216C" w:rsidR="001B1D99" w:rsidRPr="00954AA6" w:rsidRDefault="001B1D99" w:rsidP="001B1D99">
            <w:pPr>
              <w:keepNext/>
              <w:keepLines/>
              <w:widowControl w:val="0"/>
              <w:jc w:val="right"/>
              <w:rPr>
                <w:sz w:val="18"/>
                <w:szCs w:val="18"/>
              </w:rPr>
            </w:pPr>
            <w:r w:rsidRPr="00954AA6">
              <w:rPr>
                <w:sz w:val="18"/>
                <w:szCs w:val="18"/>
              </w:rPr>
              <w:t>2.223.683,00</w:t>
            </w:r>
          </w:p>
        </w:tc>
      </w:tr>
      <w:tr w:rsidR="001B1D99" w:rsidRPr="00954AA6" w14:paraId="58446B37" w14:textId="77777777" w:rsidTr="00954AA6">
        <w:trPr>
          <w:trHeight w:val="283"/>
          <w:jc w:val="center"/>
        </w:trPr>
        <w:tc>
          <w:tcPr>
            <w:tcW w:w="2631" w:type="pct"/>
            <w:tcBorders>
              <w:top w:val="nil"/>
              <w:left w:val="nil"/>
              <w:bottom w:val="single" w:sz="4" w:space="0" w:color="auto"/>
              <w:right w:val="nil"/>
            </w:tcBorders>
            <w:shd w:val="clear" w:color="auto" w:fill="auto"/>
            <w:vAlign w:val="center"/>
            <w:hideMark/>
          </w:tcPr>
          <w:p w14:paraId="6B360C49" w14:textId="77777777" w:rsidR="001B1D99" w:rsidRPr="00954AA6" w:rsidRDefault="001B1D99" w:rsidP="00954AA6">
            <w:pPr>
              <w:keepNext/>
              <w:keepLines/>
              <w:widowControl w:val="0"/>
              <w:ind w:left="219"/>
              <w:rPr>
                <w:rFonts w:eastAsia="Times New Roman"/>
                <w:b/>
                <w:bCs/>
                <w:sz w:val="18"/>
                <w:szCs w:val="18"/>
              </w:rPr>
            </w:pPr>
            <w:r w:rsidRPr="00954AA6">
              <w:rPr>
                <w:rFonts w:eastAsia="Times New Roman"/>
                <w:b/>
                <w:bCs/>
                <w:sz w:val="18"/>
                <w:szCs w:val="18"/>
              </w:rPr>
              <w:t>Total</w:t>
            </w:r>
          </w:p>
        </w:tc>
        <w:tc>
          <w:tcPr>
            <w:tcW w:w="1185" w:type="pct"/>
            <w:tcBorders>
              <w:top w:val="nil"/>
              <w:left w:val="nil"/>
              <w:bottom w:val="single" w:sz="4" w:space="0" w:color="auto"/>
              <w:right w:val="nil"/>
            </w:tcBorders>
            <w:shd w:val="clear" w:color="auto" w:fill="auto"/>
            <w:vAlign w:val="center"/>
          </w:tcPr>
          <w:p w14:paraId="13824C93" w14:textId="4810E63A" w:rsidR="001B1D99" w:rsidRPr="00954AA6" w:rsidRDefault="001B1D99" w:rsidP="001B1D99">
            <w:pPr>
              <w:keepNext/>
              <w:keepLines/>
              <w:widowControl w:val="0"/>
              <w:jc w:val="right"/>
              <w:rPr>
                <w:b/>
                <w:bCs/>
                <w:sz w:val="18"/>
                <w:szCs w:val="18"/>
              </w:rPr>
            </w:pPr>
            <w:r w:rsidRPr="00954AA6">
              <w:rPr>
                <w:b/>
                <w:bCs/>
                <w:sz w:val="18"/>
                <w:szCs w:val="18"/>
              </w:rPr>
              <w:t>43.457.810,15</w:t>
            </w:r>
          </w:p>
        </w:tc>
        <w:tc>
          <w:tcPr>
            <w:tcW w:w="1184" w:type="pct"/>
            <w:tcBorders>
              <w:top w:val="nil"/>
              <w:left w:val="nil"/>
              <w:bottom w:val="single" w:sz="4" w:space="0" w:color="auto"/>
              <w:right w:val="nil"/>
            </w:tcBorders>
            <w:shd w:val="clear" w:color="auto" w:fill="auto"/>
            <w:vAlign w:val="center"/>
          </w:tcPr>
          <w:p w14:paraId="08C06737" w14:textId="3B2239FF" w:rsidR="001B1D99" w:rsidRPr="00954AA6" w:rsidRDefault="001B1D99" w:rsidP="001B1D99">
            <w:pPr>
              <w:keepNext/>
              <w:keepLines/>
              <w:widowControl w:val="0"/>
              <w:jc w:val="right"/>
              <w:rPr>
                <w:b/>
                <w:bCs/>
                <w:sz w:val="18"/>
                <w:szCs w:val="18"/>
              </w:rPr>
            </w:pPr>
            <w:r w:rsidRPr="00954AA6">
              <w:rPr>
                <w:b/>
                <w:bCs/>
                <w:sz w:val="18"/>
                <w:szCs w:val="18"/>
              </w:rPr>
              <w:t>20.824.619,24</w:t>
            </w:r>
          </w:p>
        </w:tc>
      </w:tr>
    </w:tbl>
    <w:p w14:paraId="53D20CB3" w14:textId="77777777" w:rsidR="006220A2" w:rsidRPr="0083433F" w:rsidRDefault="006220A2" w:rsidP="003254FA">
      <w:pPr>
        <w:keepNext/>
        <w:keepLines/>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83433F">
        <w:rPr>
          <w:sz w:val="20"/>
          <w:szCs w:val="22"/>
          <w:u w:val="single"/>
        </w:rPr>
        <w:t>Otras transacciones con partes vinculadas</w:t>
      </w:r>
    </w:p>
    <w:p w14:paraId="3C3E0233" w14:textId="39757F74"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Otras transacciones con partes vinculadas en los ejercicios 20</w:t>
      </w:r>
      <w:r w:rsidR="009C7621" w:rsidRPr="00176BA0">
        <w:rPr>
          <w:snapToGrid w:val="0"/>
          <w:sz w:val="20"/>
          <w:szCs w:val="22"/>
        </w:rPr>
        <w:t>2</w:t>
      </w:r>
      <w:r w:rsidR="008B1A55" w:rsidRPr="00176BA0">
        <w:rPr>
          <w:snapToGrid w:val="0"/>
          <w:sz w:val="20"/>
          <w:szCs w:val="22"/>
        </w:rPr>
        <w:t>1</w:t>
      </w:r>
      <w:r w:rsidRPr="00176BA0">
        <w:rPr>
          <w:snapToGrid w:val="0"/>
          <w:sz w:val="20"/>
          <w:szCs w:val="22"/>
        </w:rPr>
        <w:t xml:space="preserve"> y 20</w:t>
      </w:r>
      <w:r w:rsidR="008B1A55" w:rsidRPr="00176BA0">
        <w:rPr>
          <w:snapToGrid w:val="0"/>
          <w:sz w:val="20"/>
          <w:szCs w:val="22"/>
        </w:rPr>
        <w:t>20</w:t>
      </w:r>
      <w:r w:rsidRPr="00176BA0">
        <w:rPr>
          <w:snapToGrid w:val="0"/>
          <w:sz w:val="20"/>
          <w:szCs w:val="22"/>
        </w:rPr>
        <w:t>:</w:t>
      </w:r>
    </w:p>
    <w:tbl>
      <w:tblPr>
        <w:tblW w:w="5000" w:type="pct"/>
        <w:jc w:val="center"/>
        <w:tblCellMar>
          <w:left w:w="70" w:type="dxa"/>
          <w:right w:w="70" w:type="dxa"/>
        </w:tblCellMar>
        <w:tblLook w:val="04A0" w:firstRow="1" w:lastRow="0" w:firstColumn="1" w:lastColumn="0" w:noHBand="0" w:noVBand="1"/>
      </w:tblPr>
      <w:tblGrid>
        <w:gridCol w:w="3165"/>
        <w:gridCol w:w="1403"/>
        <w:gridCol w:w="1405"/>
        <w:gridCol w:w="1403"/>
        <w:gridCol w:w="1405"/>
      </w:tblGrid>
      <w:tr w:rsidR="00E90EEA" w:rsidRPr="00954AA6" w14:paraId="0BC2F5E5" w14:textId="77777777" w:rsidTr="00C830C9">
        <w:trPr>
          <w:trHeight w:val="227"/>
          <w:jc w:val="center"/>
        </w:trPr>
        <w:tc>
          <w:tcPr>
            <w:tcW w:w="1802" w:type="pct"/>
            <w:tcBorders>
              <w:top w:val="single" w:sz="4" w:space="0" w:color="auto"/>
              <w:left w:val="nil"/>
              <w:bottom w:val="nil"/>
              <w:right w:val="nil"/>
            </w:tcBorders>
            <w:shd w:val="clear" w:color="auto" w:fill="auto"/>
            <w:vAlign w:val="center"/>
            <w:hideMark/>
          </w:tcPr>
          <w:p w14:paraId="31E729D5" w14:textId="77777777" w:rsidR="00E90EEA" w:rsidRPr="00954AA6" w:rsidRDefault="00E90EEA" w:rsidP="00954A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rFonts w:eastAsia="Times New Roman"/>
                <w:color w:val="auto"/>
                <w:sz w:val="18"/>
                <w:szCs w:val="18"/>
                <w:bdr w:val="none" w:sz="0" w:space="0" w:color="auto"/>
                <w:lang w:eastAsia="es-ES"/>
              </w:rPr>
            </w:pPr>
          </w:p>
        </w:tc>
        <w:tc>
          <w:tcPr>
            <w:tcW w:w="3198" w:type="pct"/>
            <w:gridSpan w:val="4"/>
            <w:tcBorders>
              <w:top w:val="single" w:sz="4" w:space="0" w:color="auto"/>
              <w:left w:val="nil"/>
              <w:bottom w:val="single" w:sz="4" w:space="0" w:color="auto"/>
              <w:right w:val="nil"/>
            </w:tcBorders>
            <w:shd w:val="clear" w:color="auto" w:fill="auto"/>
            <w:vAlign w:val="bottom"/>
            <w:hideMark/>
          </w:tcPr>
          <w:p w14:paraId="0C3C98EA" w14:textId="77777777" w:rsidR="00E90EEA" w:rsidRPr="00954AA6" w:rsidRDefault="00E90EEA"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136A7F" w:rsidRPr="00954AA6" w14:paraId="54504B76" w14:textId="77777777" w:rsidTr="00D8391F">
        <w:trPr>
          <w:trHeight w:val="227"/>
          <w:jc w:val="center"/>
        </w:trPr>
        <w:tc>
          <w:tcPr>
            <w:tcW w:w="1802" w:type="pct"/>
            <w:tcBorders>
              <w:top w:val="nil"/>
              <w:left w:val="nil"/>
              <w:bottom w:val="nil"/>
              <w:right w:val="nil"/>
            </w:tcBorders>
            <w:shd w:val="clear" w:color="auto" w:fill="auto"/>
            <w:vAlign w:val="center"/>
            <w:hideMark/>
          </w:tcPr>
          <w:p w14:paraId="515FFE19" w14:textId="77777777" w:rsidR="00136A7F" w:rsidRPr="00954AA6" w:rsidRDefault="00136A7F" w:rsidP="00954A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rFonts w:eastAsia="Times New Roman"/>
                <w:b/>
                <w:bCs/>
                <w:sz w:val="18"/>
                <w:szCs w:val="18"/>
                <w:bdr w:val="none" w:sz="0" w:space="0" w:color="auto"/>
                <w:lang w:eastAsia="es-ES"/>
              </w:rPr>
            </w:pPr>
          </w:p>
        </w:tc>
        <w:tc>
          <w:tcPr>
            <w:tcW w:w="1599" w:type="pct"/>
            <w:gridSpan w:val="2"/>
            <w:tcBorders>
              <w:top w:val="single" w:sz="4" w:space="0" w:color="auto"/>
              <w:left w:val="nil"/>
              <w:bottom w:val="single" w:sz="4" w:space="0" w:color="auto"/>
              <w:right w:val="nil"/>
            </w:tcBorders>
            <w:shd w:val="clear" w:color="auto" w:fill="auto"/>
            <w:vAlign w:val="bottom"/>
            <w:hideMark/>
          </w:tcPr>
          <w:p w14:paraId="6AA3EFDA" w14:textId="4D4C76C0" w:rsidR="00136A7F" w:rsidRPr="00954AA6" w:rsidRDefault="00663F02"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8B1A55" w:rsidRPr="00954AA6">
              <w:rPr>
                <w:rFonts w:eastAsia="Times New Roman"/>
                <w:b/>
                <w:bCs/>
                <w:sz w:val="18"/>
                <w:szCs w:val="18"/>
                <w:bdr w:val="none" w:sz="0" w:space="0" w:color="auto"/>
                <w:lang w:eastAsia="es-ES"/>
              </w:rPr>
              <w:t>1</w:t>
            </w:r>
          </w:p>
        </w:tc>
        <w:tc>
          <w:tcPr>
            <w:tcW w:w="1599" w:type="pct"/>
            <w:gridSpan w:val="2"/>
            <w:tcBorders>
              <w:top w:val="single" w:sz="4" w:space="0" w:color="auto"/>
              <w:left w:val="nil"/>
              <w:bottom w:val="single" w:sz="4" w:space="0" w:color="auto"/>
              <w:right w:val="nil"/>
            </w:tcBorders>
            <w:shd w:val="clear" w:color="auto" w:fill="auto"/>
            <w:vAlign w:val="bottom"/>
            <w:hideMark/>
          </w:tcPr>
          <w:p w14:paraId="2E35782E" w14:textId="0F9E4DB1" w:rsidR="00136A7F" w:rsidRPr="00954AA6" w:rsidRDefault="00663F02"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w:t>
            </w:r>
            <w:r w:rsidR="008B1A55" w:rsidRPr="00954AA6">
              <w:rPr>
                <w:rFonts w:eastAsia="Times New Roman"/>
                <w:b/>
                <w:bCs/>
                <w:sz w:val="18"/>
                <w:szCs w:val="18"/>
                <w:bdr w:val="none" w:sz="0" w:space="0" w:color="auto"/>
                <w:lang w:eastAsia="es-ES"/>
              </w:rPr>
              <w:t>20</w:t>
            </w:r>
          </w:p>
        </w:tc>
      </w:tr>
      <w:tr w:rsidR="00136A7F" w:rsidRPr="00954AA6" w14:paraId="593FF527" w14:textId="77777777" w:rsidTr="00D219EE">
        <w:trPr>
          <w:trHeight w:val="227"/>
          <w:jc w:val="center"/>
        </w:trPr>
        <w:tc>
          <w:tcPr>
            <w:tcW w:w="1802" w:type="pct"/>
            <w:tcBorders>
              <w:top w:val="nil"/>
              <w:left w:val="nil"/>
              <w:bottom w:val="single" w:sz="4" w:space="0" w:color="auto"/>
              <w:right w:val="nil"/>
            </w:tcBorders>
            <w:shd w:val="clear" w:color="auto" w:fill="auto"/>
            <w:vAlign w:val="center"/>
            <w:hideMark/>
          </w:tcPr>
          <w:p w14:paraId="276BC409" w14:textId="77777777" w:rsidR="00136A7F" w:rsidRPr="00954AA6" w:rsidRDefault="00136A7F" w:rsidP="00954A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799" w:type="pct"/>
            <w:tcBorders>
              <w:top w:val="nil"/>
              <w:left w:val="nil"/>
              <w:bottom w:val="single" w:sz="4" w:space="0" w:color="auto"/>
              <w:right w:val="nil"/>
            </w:tcBorders>
            <w:shd w:val="clear" w:color="auto" w:fill="auto"/>
            <w:vAlign w:val="bottom"/>
            <w:hideMark/>
          </w:tcPr>
          <w:p w14:paraId="6C4C62C3" w14:textId="77777777" w:rsidR="00136A7F" w:rsidRPr="00954AA6"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roofErr w:type="spellStart"/>
            <w:r w:rsidRPr="00954AA6">
              <w:rPr>
                <w:rFonts w:eastAsia="Times New Roman"/>
                <w:b/>
                <w:bCs/>
                <w:sz w:val="18"/>
                <w:szCs w:val="18"/>
                <w:bdr w:val="none" w:sz="0" w:space="0" w:color="auto"/>
                <w:lang w:eastAsia="es-ES"/>
              </w:rPr>
              <w:t>Aprov</w:t>
            </w:r>
            <w:proofErr w:type="spellEnd"/>
            <w:r w:rsidRPr="00954AA6">
              <w:rPr>
                <w:rFonts w:eastAsia="Times New Roman"/>
                <w:b/>
                <w:bCs/>
                <w:sz w:val="18"/>
                <w:szCs w:val="18"/>
                <w:bdr w:val="none" w:sz="0" w:space="0" w:color="auto"/>
                <w:lang w:eastAsia="es-ES"/>
              </w:rPr>
              <w:t>.</w:t>
            </w:r>
          </w:p>
        </w:tc>
        <w:tc>
          <w:tcPr>
            <w:tcW w:w="800" w:type="pct"/>
            <w:tcBorders>
              <w:top w:val="nil"/>
              <w:left w:val="nil"/>
              <w:bottom w:val="single" w:sz="4" w:space="0" w:color="auto"/>
              <w:right w:val="nil"/>
            </w:tcBorders>
            <w:shd w:val="clear" w:color="auto" w:fill="auto"/>
            <w:vAlign w:val="bottom"/>
            <w:hideMark/>
          </w:tcPr>
          <w:p w14:paraId="4975B658" w14:textId="77777777" w:rsidR="00136A7F" w:rsidRPr="00954AA6"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Otros Ingresos</w:t>
            </w:r>
          </w:p>
        </w:tc>
        <w:tc>
          <w:tcPr>
            <w:tcW w:w="799" w:type="pct"/>
            <w:tcBorders>
              <w:top w:val="nil"/>
              <w:left w:val="nil"/>
              <w:bottom w:val="single" w:sz="4" w:space="0" w:color="auto"/>
              <w:right w:val="nil"/>
            </w:tcBorders>
            <w:shd w:val="clear" w:color="auto" w:fill="auto"/>
            <w:vAlign w:val="bottom"/>
            <w:hideMark/>
          </w:tcPr>
          <w:p w14:paraId="43E13033" w14:textId="77777777" w:rsidR="00136A7F" w:rsidRPr="00954AA6"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roofErr w:type="spellStart"/>
            <w:r w:rsidRPr="00954AA6">
              <w:rPr>
                <w:rFonts w:eastAsia="Times New Roman"/>
                <w:b/>
                <w:bCs/>
                <w:sz w:val="18"/>
                <w:szCs w:val="18"/>
                <w:bdr w:val="none" w:sz="0" w:space="0" w:color="auto"/>
                <w:lang w:eastAsia="es-ES"/>
              </w:rPr>
              <w:t>Aprov</w:t>
            </w:r>
            <w:proofErr w:type="spellEnd"/>
            <w:r w:rsidRPr="00954AA6">
              <w:rPr>
                <w:rFonts w:eastAsia="Times New Roman"/>
                <w:b/>
                <w:bCs/>
                <w:sz w:val="18"/>
                <w:szCs w:val="18"/>
                <w:bdr w:val="none" w:sz="0" w:space="0" w:color="auto"/>
                <w:lang w:eastAsia="es-ES"/>
              </w:rPr>
              <w:t>.</w:t>
            </w:r>
          </w:p>
        </w:tc>
        <w:tc>
          <w:tcPr>
            <w:tcW w:w="800" w:type="pct"/>
            <w:tcBorders>
              <w:top w:val="nil"/>
              <w:left w:val="nil"/>
              <w:bottom w:val="single" w:sz="4" w:space="0" w:color="auto"/>
              <w:right w:val="nil"/>
            </w:tcBorders>
            <w:shd w:val="clear" w:color="auto" w:fill="auto"/>
            <w:vAlign w:val="bottom"/>
            <w:hideMark/>
          </w:tcPr>
          <w:p w14:paraId="3102F363" w14:textId="77777777" w:rsidR="00136A7F" w:rsidRPr="00954AA6" w:rsidRDefault="00136A7F" w:rsidP="002109C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Otros Ingresos</w:t>
            </w:r>
          </w:p>
        </w:tc>
      </w:tr>
      <w:tr w:rsidR="008B1A55" w:rsidRPr="00954AA6" w14:paraId="28D6FEF7" w14:textId="77777777" w:rsidTr="00954AA6">
        <w:trPr>
          <w:trHeight w:val="283"/>
          <w:jc w:val="center"/>
        </w:trPr>
        <w:tc>
          <w:tcPr>
            <w:tcW w:w="1802" w:type="pct"/>
            <w:tcBorders>
              <w:top w:val="nil"/>
              <w:left w:val="nil"/>
              <w:bottom w:val="nil"/>
              <w:right w:val="nil"/>
            </w:tcBorders>
            <w:shd w:val="clear" w:color="auto" w:fill="auto"/>
            <w:vAlign w:val="center"/>
            <w:hideMark/>
          </w:tcPr>
          <w:p w14:paraId="05ACD15B" w14:textId="77777777" w:rsidR="008B1A55" w:rsidRPr="00954AA6" w:rsidRDefault="008B1A55" w:rsidP="00954A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Hotel Escuela de Canarias, S.A.</w:t>
            </w:r>
          </w:p>
        </w:tc>
        <w:tc>
          <w:tcPr>
            <w:tcW w:w="799" w:type="pct"/>
            <w:tcBorders>
              <w:top w:val="nil"/>
              <w:left w:val="nil"/>
              <w:bottom w:val="nil"/>
              <w:right w:val="nil"/>
            </w:tcBorders>
            <w:shd w:val="clear" w:color="auto" w:fill="auto"/>
            <w:vAlign w:val="center"/>
          </w:tcPr>
          <w:p w14:paraId="51E85105" w14:textId="393021A1" w:rsidR="008B1A55" w:rsidRPr="00954AA6" w:rsidRDefault="001B1D99" w:rsidP="001B1D9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54.215,64</w:t>
            </w:r>
          </w:p>
        </w:tc>
        <w:tc>
          <w:tcPr>
            <w:tcW w:w="800" w:type="pct"/>
            <w:tcBorders>
              <w:top w:val="nil"/>
              <w:left w:val="nil"/>
              <w:bottom w:val="nil"/>
              <w:right w:val="nil"/>
            </w:tcBorders>
            <w:shd w:val="clear" w:color="auto" w:fill="auto"/>
            <w:vAlign w:val="center"/>
          </w:tcPr>
          <w:p w14:paraId="58791929" w14:textId="2D46ABA4" w:rsidR="008B1A55" w:rsidRPr="00954AA6" w:rsidRDefault="008B1A55" w:rsidP="008B1A55">
            <w:pPr>
              <w:jc w:val="right"/>
              <w:rPr>
                <w:sz w:val="18"/>
                <w:szCs w:val="18"/>
              </w:rPr>
            </w:pPr>
          </w:p>
        </w:tc>
        <w:tc>
          <w:tcPr>
            <w:tcW w:w="799" w:type="pct"/>
            <w:tcBorders>
              <w:top w:val="nil"/>
              <w:left w:val="nil"/>
              <w:bottom w:val="nil"/>
              <w:right w:val="nil"/>
            </w:tcBorders>
            <w:shd w:val="clear" w:color="auto" w:fill="auto"/>
            <w:vAlign w:val="center"/>
            <w:hideMark/>
          </w:tcPr>
          <w:p w14:paraId="38C72CC3" w14:textId="4647C8BF" w:rsidR="008B1A55" w:rsidRPr="00954AA6" w:rsidRDefault="008B1A55" w:rsidP="008B1A5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55.155,44</w:t>
            </w:r>
          </w:p>
        </w:tc>
        <w:tc>
          <w:tcPr>
            <w:tcW w:w="800" w:type="pct"/>
            <w:tcBorders>
              <w:top w:val="nil"/>
              <w:left w:val="nil"/>
              <w:bottom w:val="nil"/>
              <w:right w:val="nil"/>
            </w:tcBorders>
            <w:shd w:val="clear" w:color="auto" w:fill="auto"/>
            <w:vAlign w:val="center"/>
            <w:hideMark/>
          </w:tcPr>
          <w:p w14:paraId="4C0CF9C6" w14:textId="06263F7D" w:rsidR="008B1A55" w:rsidRPr="00954AA6" w:rsidRDefault="008B1A55" w:rsidP="008B1A55">
            <w:pPr>
              <w:jc w:val="right"/>
              <w:rPr>
                <w:sz w:val="18"/>
                <w:szCs w:val="18"/>
              </w:rPr>
            </w:pPr>
            <w:r w:rsidRPr="00954AA6">
              <w:rPr>
                <w:rFonts w:eastAsia="Times New Roman"/>
                <w:sz w:val="18"/>
                <w:szCs w:val="18"/>
                <w:bdr w:val="none" w:sz="0" w:space="0" w:color="auto"/>
                <w:lang w:eastAsia="es-ES"/>
              </w:rPr>
              <w:t xml:space="preserve"> -</w:t>
            </w:r>
          </w:p>
        </w:tc>
      </w:tr>
      <w:tr w:rsidR="008B1A55" w:rsidRPr="00954AA6" w14:paraId="05749E23" w14:textId="77777777" w:rsidTr="00954AA6">
        <w:trPr>
          <w:trHeight w:val="283"/>
          <w:jc w:val="center"/>
        </w:trPr>
        <w:tc>
          <w:tcPr>
            <w:tcW w:w="1802" w:type="pct"/>
            <w:tcBorders>
              <w:top w:val="nil"/>
              <w:left w:val="nil"/>
              <w:bottom w:val="single" w:sz="4" w:space="0" w:color="auto"/>
              <w:right w:val="nil"/>
            </w:tcBorders>
            <w:shd w:val="clear" w:color="auto" w:fill="auto"/>
            <w:vAlign w:val="center"/>
            <w:hideMark/>
          </w:tcPr>
          <w:p w14:paraId="5B0021FF" w14:textId="77777777" w:rsidR="008B1A55" w:rsidRPr="00954AA6" w:rsidRDefault="008B1A55" w:rsidP="00954A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Canarias Cultura en Red S.A.</w:t>
            </w:r>
          </w:p>
        </w:tc>
        <w:tc>
          <w:tcPr>
            <w:tcW w:w="799" w:type="pct"/>
            <w:tcBorders>
              <w:top w:val="nil"/>
              <w:left w:val="nil"/>
              <w:bottom w:val="nil"/>
              <w:right w:val="nil"/>
            </w:tcBorders>
            <w:shd w:val="clear" w:color="auto" w:fill="auto"/>
            <w:vAlign w:val="center"/>
          </w:tcPr>
          <w:p w14:paraId="2F250C6E" w14:textId="0982795C" w:rsidR="008B1A55" w:rsidRPr="00954AA6" w:rsidRDefault="008B1A55" w:rsidP="008B1A55">
            <w:pPr>
              <w:jc w:val="right"/>
              <w:rPr>
                <w:sz w:val="18"/>
                <w:szCs w:val="18"/>
              </w:rPr>
            </w:pPr>
          </w:p>
        </w:tc>
        <w:tc>
          <w:tcPr>
            <w:tcW w:w="800" w:type="pct"/>
            <w:tcBorders>
              <w:top w:val="nil"/>
              <w:left w:val="nil"/>
              <w:bottom w:val="nil"/>
              <w:right w:val="nil"/>
            </w:tcBorders>
            <w:shd w:val="clear" w:color="auto" w:fill="auto"/>
            <w:vAlign w:val="center"/>
          </w:tcPr>
          <w:p w14:paraId="3B5A94CE" w14:textId="048FA5E2" w:rsidR="008B1A55" w:rsidRPr="00954AA6" w:rsidRDefault="001B1D99" w:rsidP="001B1D9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2.640,72</w:t>
            </w:r>
          </w:p>
        </w:tc>
        <w:tc>
          <w:tcPr>
            <w:tcW w:w="799" w:type="pct"/>
            <w:tcBorders>
              <w:top w:val="nil"/>
              <w:left w:val="nil"/>
              <w:bottom w:val="single" w:sz="4" w:space="0" w:color="auto"/>
              <w:right w:val="nil"/>
            </w:tcBorders>
            <w:shd w:val="clear" w:color="auto" w:fill="auto"/>
            <w:vAlign w:val="center"/>
            <w:hideMark/>
          </w:tcPr>
          <w:p w14:paraId="1D0B6932" w14:textId="302AD224" w:rsidR="008B1A55" w:rsidRPr="00954AA6" w:rsidRDefault="008B1A55" w:rsidP="008B1A55">
            <w:pPr>
              <w:jc w:val="right"/>
              <w:rPr>
                <w:sz w:val="18"/>
                <w:szCs w:val="18"/>
              </w:rPr>
            </w:pPr>
            <w:r w:rsidRPr="00954AA6">
              <w:rPr>
                <w:rFonts w:eastAsia="Times New Roman"/>
                <w:sz w:val="18"/>
                <w:szCs w:val="18"/>
                <w:bdr w:val="none" w:sz="0" w:space="0" w:color="auto"/>
                <w:lang w:eastAsia="es-ES"/>
              </w:rPr>
              <w:t xml:space="preserve"> -</w:t>
            </w:r>
          </w:p>
        </w:tc>
        <w:tc>
          <w:tcPr>
            <w:tcW w:w="800" w:type="pct"/>
            <w:tcBorders>
              <w:top w:val="nil"/>
              <w:left w:val="nil"/>
              <w:bottom w:val="single" w:sz="4" w:space="0" w:color="auto"/>
              <w:right w:val="nil"/>
            </w:tcBorders>
            <w:shd w:val="clear" w:color="auto" w:fill="auto"/>
            <w:vAlign w:val="center"/>
            <w:hideMark/>
          </w:tcPr>
          <w:p w14:paraId="59CF6C25" w14:textId="3F82D583" w:rsidR="008B1A55" w:rsidRPr="00954AA6" w:rsidRDefault="008B1A55" w:rsidP="008B1A55">
            <w:pPr>
              <w:jc w:val="right"/>
              <w:rPr>
                <w:sz w:val="18"/>
                <w:szCs w:val="18"/>
              </w:rPr>
            </w:pPr>
            <w:r w:rsidRPr="00954AA6">
              <w:rPr>
                <w:sz w:val="18"/>
                <w:szCs w:val="18"/>
              </w:rPr>
              <w:t>1.637,81</w:t>
            </w:r>
          </w:p>
        </w:tc>
      </w:tr>
      <w:tr w:rsidR="001B1D99" w:rsidRPr="00954AA6" w14:paraId="7041C1C9" w14:textId="77777777" w:rsidTr="00954AA6">
        <w:trPr>
          <w:trHeight w:val="283"/>
          <w:jc w:val="center"/>
        </w:trPr>
        <w:tc>
          <w:tcPr>
            <w:tcW w:w="1802" w:type="pct"/>
            <w:tcBorders>
              <w:top w:val="nil"/>
              <w:left w:val="nil"/>
              <w:bottom w:val="single" w:sz="4" w:space="0" w:color="auto"/>
              <w:right w:val="nil"/>
            </w:tcBorders>
            <w:shd w:val="clear" w:color="auto" w:fill="auto"/>
            <w:noWrap/>
            <w:vAlign w:val="center"/>
            <w:hideMark/>
          </w:tcPr>
          <w:p w14:paraId="65E35E42" w14:textId="77777777" w:rsidR="001B1D99" w:rsidRPr="00954AA6" w:rsidRDefault="001B1D99" w:rsidP="00954A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rFonts w:eastAsia="Times New Roman"/>
                <w:sz w:val="18"/>
                <w:szCs w:val="18"/>
                <w:bdr w:val="none" w:sz="0" w:space="0" w:color="auto"/>
                <w:lang w:eastAsia="es-ES"/>
              </w:rPr>
            </w:pPr>
            <w:r w:rsidRPr="00954AA6">
              <w:rPr>
                <w:rFonts w:eastAsia="Times New Roman"/>
                <w:b/>
                <w:bCs/>
                <w:sz w:val="18"/>
                <w:szCs w:val="18"/>
                <w:bdr w:val="none" w:sz="0" w:space="0" w:color="auto"/>
                <w:lang w:eastAsia="es-ES"/>
              </w:rPr>
              <w:t>Total</w:t>
            </w:r>
          </w:p>
        </w:tc>
        <w:tc>
          <w:tcPr>
            <w:tcW w:w="799" w:type="pct"/>
            <w:tcBorders>
              <w:top w:val="single" w:sz="4" w:space="0" w:color="auto"/>
              <w:left w:val="nil"/>
              <w:bottom w:val="single" w:sz="4" w:space="0" w:color="auto"/>
              <w:right w:val="nil"/>
            </w:tcBorders>
            <w:shd w:val="clear" w:color="auto" w:fill="auto"/>
            <w:vAlign w:val="center"/>
          </w:tcPr>
          <w:p w14:paraId="5EA3F6FF" w14:textId="77D30F59" w:rsidR="001B1D99" w:rsidRPr="00954AA6" w:rsidRDefault="001B1D99" w:rsidP="001B1D9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8"/>
                <w:szCs w:val="18"/>
                <w:bdr w:val="none" w:sz="0" w:space="0" w:color="auto"/>
                <w:lang w:eastAsia="es-ES"/>
              </w:rPr>
            </w:pPr>
            <w:r w:rsidRPr="00954AA6">
              <w:rPr>
                <w:b/>
                <w:bCs/>
                <w:sz w:val="18"/>
                <w:szCs w:val="18"/>
              </w:rPr>
              <w:t>54.215,64</w:t>
            </w:r>
          </w:p>
        </w:tc>
        <w:tc>
          <w:tcPr>
            <w:tcW w:w="800" w:type="pct"/>
            <w:tcBorders>
              <w:top w:val="single" w:sz="4" w:space="0" w:color="auto"/>
              <w:left w:val="nil"/>
              <w:bottom w:val="single" w:sz="4" w:space="0" w:color="auto"/>
              <w:right w:val="nil"/>
            </w:tcBorders>
            <w:shd w:val="clear" w:color="auto" w:fill="auto"/>
            <w:vAlign w:val="center"/>
          </w:tcPr>
          <w:p w14:paraId="5347797D" w14:textId="7700BDC4" w:rsidR="001B1D99" w:rsidRPr="00954AA6" w:rsidRDefault="001B1D99" w:rsidP="001B1D9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8"/>
                <w:szCs w:val="18"/>
                <w:bdr w:val="none" w:sz="0" w:space="0" w:color="auto"/>
                <w:lang w:eastAsia="es-ES"/>
              </w:rPr>
            </w:pPr>
            <w:r w:rsidRPr="00954AA6">
              <w:rPr>
                <w:b/>
                <w:bCs/>
                <w:sz w:val="18"/>
                <w:szCs w:val="18"/>
              </w:rPr>
              <w:t>2.640,72</w:t>
            </w:r>
          </w:p>
        </w:tc>
        <w:tc>
          <w:tcPr>
            <w:tcW w:w="799" w:type="pct"/>
            <w:tcBorders>
              <w:top w:val="nil"/>
              <w:left w:val="nil"/>
              <w:bottom w:val="single" w:sz="4" w:space="0" w:color="auto"/>
              <w:right w:val="nil"/>
            </w:tcBorders>
            <w:shd w:val="clear" w:color="auto" w:fill="auto"/>
            <w:vAlign w:val="center"/>
            <w:hideMark/>
          </w:tcPr>
          <w:p w14:paraId="780C9CFA" w14:textId="29C42703" w:rsidR="001B1D99" w:rsidRPr="00954AA6" w:rsidRDefault="001B1D99" w:rsidP="001B1D9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b/>
                <w:sz w:val="18"/>
                <w:szCs w:val="18"/>
              </w:rPr>
              <w:t>55.155,44</w:t>
            </w:r>
          </w:p>
        </w:tc>
        <w:tc>
          <w:tcPr>
            <w:tcW w:w="800" w:type="pct"/>
            <w:tcBorders>
              <w:top w:val="nil"/>
              <w:left w:val="nil"/>
              <w:bottom w:val="single" w:sz="4" w:space="0" w:color="auto"/>
              <w:right w:val="nil"/>
            </w:tcBorders>
            <w:shd w:val="clear" w:color="auto" w:fill="auto"/>
            <w:vAlign w:val="center"/>
            <w:hideMark/>
          </w:tcPr>
          <w:p w14:paraId="16EF2A98" w14:textId="1A5796F3" w:rsidR="001B1D99" w:rsidRPr="00954AA6" w:rsidRDefault="001B1D99" w:rsidP="001B1D99">
            <w:pPr>
              <w:jc w:val="right"/>
              <w:rPr>
                <w:sz w:val="18"/>
                <w:szCs w:val="18"/>
              </w:rPr>
            </w:pPr>
            <w:r w:rsidRPr="00954AA6">
              <w:rPr>
                <w:b/>
                <w:sz w:val="18"/>
                <w:szCs w:val="18"/>
              </w:rPr>
              <w:t>1.637,81</w:t>
            </w:r>
          </w:p>
        </w:tc>
      </w:tr>
    </w:tbl>
    <w:p w14:paraId="25B4418B" w14:textId="77777777" w:rsidR="006220A2" w:rsidRPr="00F63441" w:rsidRDefault="006220A2" w:rsidP="003254FA">
      <w:pPr>
        <w:keepNext/>
        <w:keepLines/>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F63441">
        <w:rPr>
          <w:sz w:val="20"/>
          <w:szCs w:val="22"/>
          <w:u w:val="single"/>
        </w:rPr>
        <w:t>Contratos firmados con su Accionista Único</w:t>
      </w:r>
    </w:p>
    <w:p w14:paraId="0F433F5A" w14:textId="45B65D51"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La Sociedad tiene las siguientes encomiendas firmadas afectas al ejercicio 20</w:t>
      </w:r>
      <w:r w:rsidR="009C7621" w:rsidRPr="00176BA0">
        <w:rPr>
          <w:snapToGrid w:val="0"/>
          <w:sz w:val="20"/>
          <w:szCs w:val="22"/>
        </w:rPr>
        <w:t>2</w:t>
      </w:r>
      <w:r w:rsidR="009123B2" w:rsidRPr="00176BA0">
        <w:rPr>
          <w:snapToGrid w:val="0"/>
          <w:sz w:val="20"/>
          <w:szCs w:val="22"/>
        </w:rPr>
        <w:t>1</w:t>
      </w:r>
      <w:r w:rsidRPr="00176BA0">
        <w:rPr>
          <w:snapToGrid w:val="0"/>
          <w:sz w:val="20"/>
          <w:szCs w:val="22"/>
        </w:rPr>
        <w:t xml:space="preserve"> con la Consejería de Turismo, Cultura y Deportes: </w:t>
      </w:r>
    </w:p>
    <w:tbl>
      <w:tblPr>
        <w:tblW w:w="5000" w:type="pct"/>
        <w:jc w:val="center"/>
        <w:tblCellMar>
          <w:left w:w="70" w:type="dxa"/>
          <w:right w:w="70" w:type="dxa"/>
        </w:tblCellMar>
        <w:tblLook w:val="01E0" w:firstRow="1" w:lastRow="1" w:firstColumn="1" w:lastColumn="1" w:noHBand="0" w:noVBand="0"/>
      </w:tblPr>
      <w:tblGrid>
        <w:gridCol w:w="5953"/>
        <w:gridCol w:w="1560"/>
        <w:gridCol w:w="1268"/>
      </w:tblGrid>
      <w:tr w:rsidR="006220A2" w:rsidRPr="00840DE8" w14:paraId="2ACDCEDF" w14:textId="77777777" w:rsidTr="00841182">
        <w:trPr>
          <w:trHeight w:val="283"/>
          <w:jc w:val="center"/>
        </w:trPr>
        <w:tc>
          <w:tcPr>
            <w:tcW w:w="3390" w:type="pct"/>
            <w:tcBorders>
              <w:top w:val="single" w:sz="4" w:space="0" w:color="auto"/>
              <w:left w:val="nil"/>
              <w:bottom w:val="single" w:sz="4" w:space="0" w:color="auto"/>
              <w:right w:val="nil"/>
            </w:tcBorders>
            <w:shd w:val="clear" w:color="auto" w:fill="auto"/>
            <w:vAlign w:val="bottom"/>
            <w:hideMark/>
          </w:tcPr>
          <w:p w14:paraId="21E2089C" w14:textId="77777777" w:rsidR="006220A2" w:rsidRPr="00840DE8" w:rsidRDefault="006220A2" w:rsidP="00954AA6">
            <w:pPr>
              <w:keepNext/>
              <w:keepLines/>
              <w:widowControl w:val="0"/>
              <w:ind w:left="219"/>
              <w:jc w:val="center"/>
              <w:rPr>
                <w:rFonts w:eastAsia="Times New Roman"/>
                <w:sz w:val="16"/>
                <w:szCs w:val="16"/>
              </w:rPr>
            </w:pPr>
          </w:p>
        </w:tc>
        <w:tc>
          <w:tcPr>
            <w:tcW w:w="888" w:type="pct"/>
            <w:tcBorders>
              <w:top w:val="single" w:sz="4" w:space="0" w:color="auto"/>
              <w:left w:val="nil"/>
              <w:bottom w:val="single" w:sz="4" w:space="0" w:color="auto"/>
              <w:right w:val="nil"/>
            </w:tcBorders>
            <w:shd w:val="clear" w:color="auto" w:fill="auto"/>
            <w:vAlign w:val="bottom"/>
            <w:hideMark/>
          </w:tcPr>
          <w:p w14:paraId="777102E3" w14:textId="77777777" w:rsidR="006220A2" w:rsidRPr="00840DE8" w:rsidRDefault="006220A2" w:rsidP="007210BA">
            <w:pPr>
              <w:keepNext/>
              <w:keepLines/>
              <w:widowControl w:val="0"/>
              <w:jc w:val="center"/>
              <w:rPr>
                <w:rFonts w:eastAsia="Times New Roman"/>
                <w:b/>
                <w:bCs/>
                <w:sz w:val="16"/>
                <w:szCs w:val="16"/>
              </w:rPr>
            </w:pPr>
            <w:r w:rsidRPr="00840DE8">
              <w:rPr>
                <w:rFonts w:eastAsia="Times New Roman"/>
                <w:b/>
                <w:bCs/>
                <w:sz w:val="16"/>
                <w:szCs w:val="16"/>
              </w:rPr>
              <w:t>Importe</w:t>
            </w:r>
          </w:p>
        </w:tc>
        <w:tc>
          <w:tcPr>
            <w:tcW w:w="722" w:type="pct"/>
            <w:tcBorders>
              <w:top w:val="single" w:sz="4" w:space="0" w:color="auto"/>
              <w:left w:val="nil"/>
              <w:bottom w:val="single" w:sz="4" w:space="0" w:color="auto"/>
              <w:right w:val="nil"/>
            </w:tcBorders>
            <w:shd w:val="clear" w:color="auto" w:fill="auto"/>
            <w:vAlign w:val="bottom"/>
            <w:hideMark/>
          </w:tcPr>
          <w:p w14:paraId="4588C3D6" w14:textId="77777777" w:rsidR="006220A2" w:rsidRPr="00840DE8" w:rsidRDefault="006220A2" w:rsidP="007210BA">
            <w:pPr>
              <w:keepNext/>
              <w:keepLines/>
              <w:widowControl w:val="0"/>
              <w:jc w:val="center"/>
              <w:rPr>
                <w:rFonts w:eastAsia="Times New Roman"/>
                <w:b/>
                <w:bCs/>
                <w:sz w:val="16"/>
                <w:szCs w:val="16"/>
              </w:rPr>
            </w:pPr>
            <w:r w:rsidRPr="00840DE8">
              <w:rPr>
                <w:rFonts w:eastAsia="Times New Roman"/>
                <w:b/>
                <w:bCs/>
                <w:sz w:val="16"/>
                <w:szCs w:val="16"/>
              </w:rPr>
              <w:t>Periodo</w:t>
            </w:r>
          </w:p>
        </w:tc>
      </w:tr>
      <w:tr w:rsidR="007210BA" w:rsidRPr="00840DE8" w14:paraId="2FC415DC" w14:textId="77777777" w:rsidTr="007210BA">
        <w:trPr>
          <w:trHeight w:val="255"/>
          <w:jc w:val="center"/>
        </w:trPr>
        <w:tc>
          <w:tcPr>
            <w:tcW w:w="3390" w:type="pct"/>
            <w:tcBorders>
              <w:top w:val="nil"/>
              <w:left w:val="nil"/>
              <w:bottom w:val="single" w:sz="4" w:space="0" w:color="auto"/>
              <w:right w:val="nil"/>
            </w:tcBorders>
            <w:shd w:val="clear" w:color="auto" w:fill="auto"/>
            <w:vAlign w:val="center"/>
            <w:hideMark/>
          </w:tcPr>
          <w:p w14:paraId="51B00A96" w14:textId="77777777" w:rsidR="00E34164" w:rsidRDefault="007210BA" w:rsidP="00954A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sz w:val="16"/>
                <w:szCs w:val="16"/>
              </w:rPr>
            </w:pPr>
            <w:r w:rsidRPr="00840DE8">
              <w:rPr>
                <w:sz w:val="16"/>
                <w:szCs w:val="16"/>
              </w:rPr>
              <w:t xml:space="preserve">Proyecto de información tecnológica </w:t>
            </w:r>
            <w:proofErr w:type="spellStart"/>
            <w:r w:rsidRPr="00840DE8">
              <w:rPr>
                <w:sz w:val="16"/>
                <w:szCs w:val="16"/>
              </w:rPr>
              <w:t>management</w:t>
            </w:r>
            <w:proofErr w:type="spellEnd"/>
            <w:r w:rsidRPr="00840DE8">
              <w:rPr>
                <w:sz w:val="16"/>
                <w:szCs w:val="16"/>
              </w:rPr>
              <w:t xml:space="preserve"> office del destino turístico </w:t>
            </w:r>
          </w:p>
          <w:p w14:paraId="34860A98" w14:textId="4CC8E2C2" w:rsidR="007210BA" w:rsidRPr="00840DE8" w:rsidRDefault="007210BA" w:rsidP="00954A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rFonts w:eastAsia="Times New Roman"/>
                <w:sz w:val="16"/>
                <w:szCs w:val="16"/>
                <w:bdr w:val="none" w:sz="0" w:space="0" w:color="auto"/>
                <w:lang w:eastAsia="es-ES"/>
              </w:rPr>
            </w:pPr>
            <w:r w:rsidRPr="00840DE8">
              <w:rPr>
                <w:sz w:val="16"/>
                <w:szCs w:val="16"/>
              </w:rPr>
              <w:t xml:space="preserve">Islas Canarias </w:t>
            </w:r>
          </w:p>
        </w:tc>
        <w:tc>
          <w:tcPr>
            <w:tcW w:w="888" w:type="pct"/>
            <w:tcBorders>
              <w:top w:val="nil"/>
              <w:left w:val="nil"/>
              <w:bottom w:val="single" w:sz="4" w:space="0" w:color="auto"/>
              <w:right w:val="nil"/>
            </w:tcBorders>
            <w:shd w:val="clear" w:color="auto" w:fill="auto"/>
            <w:vAlign w:val="center"/>
            <w:hideMark/>
          </w:tcPr>
          <w:p w14:paraId="15512AEF" w14:textId="77777777" w:rsidR="007210BA" w:rsidRPr="00840DE8" w:rsidRDefault="007210BA" w:rsidP="007210B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40DE8">
              <w:rPr>
                <w:sz w:val="16"/>
                <w:szCs w:val="16"/>
              </w:rPr>
              <w:t>40.434,00</w:t>
            </w:r>
          </w:p>
        </w:tc>
        <w:tc>
          <w:tcPr>
            <w:tcW w:w="722" w:type="pct"/>
            <w:tcBorders>
              <w:top w:val="nil"/>
              <w:left w:val="nil"/>
              <w:bottom w:val="single" w:sz="4" w:space="0" w:color="auto"/>
              <w:right w:val="nil"/>
            </w:tcBorders>
            <w:shd w:val="clear" w:color="auto" w:fill="auto"/>
            <w:vAlign w:val="center"/>
            <w:hideMark/>
          </w:tcPr>
          <w:p w14:paraId="65E8D1C3" w14:textId="77777777" w:rsidR="007210BA" w:rsidRPr="00840DE8" w:rsidRDefault="004208BD" w:rsidP="007210BA">
            <w:pPr>
              <w:keepNext/>
              <w:keepLines/>
              <w:widowControl w:val="0"/>
              <w:jc w:val="center"/>
              <w:rPr>
                <w:sz w:val="16"/>
                <w:szCs w:val="16"/>
              </w:rPr>
            </w:pPr>
            <w:r w:rsidRPr="00840DE8">
              <w:rPr>
                <w:sz w:val="16"/>
                <w:szCs w:val="16"/>
              </w:rPr>
              <w:t>2020</w:t>
            </w:r>
          </w:p>
        </w:tc>
      </w:tr>
      <w:tr w:rsidR="007210BA" w:rsidRPr="00840DE8" w14:paraId="41F012FA" w14:textId="77777777" w:rsidTr="007210BA">
        <w:trPr>
          <w:trHeight w:val="255"/>
          <w:jc w:val="center"/>
        </w:trPr>
        <w:tc>
          <w:tcPr>
            <w:tcW w:w="3390" w:type="pct"/>
            <w:tcBorders>
              <w:top w:val="single" w:sz="4" w:space="0" w:color="auto"/>
              <w:left w:val="nil"/>
              <w:bottom w:val="single" w:sz="4" w:space="0" w:color="auto"/>
              <w:right w:val="nil"/>
            </w:tcBorders>
            <w:shd w:val="clear" w:color="auto" w:fill="auto"/>
            <w:vAlign w:val="center"/>
          </w:tcPr>
          <w:p w14:paraId="1087619B" w14:textId="77777777" w:rsidR="007210BA" w:rsidRPr="00840DE8" w:rsidRDefault="007210BA" w:rsidP="00954AA6">
            <w:pPr>
              <w:keepNext/>
              <w:keepLines/>
              <w:widowControl w:val="0"/>
              <w:ind w:left="219"/>
              <w:rPr>
                <w:sz w:val="16"/>
                <w:szCs w:val="16"/>
              </w:rPr>
            </w:pPr>
            <w:r w:rsidRPr="00840DE8">
              <w:rPr>
                <w:sz w:val="16"/>
                <w:szCs w:val="16"/>
              </w:rPr>
              <w:t>Para la fase de revisión y ampliación de un sistema de información turística sobre los diferentes perfiles de turistas que visitan las Islas Canarias</w:t>
            </w:r>
          </w:p>
        </w:tc>
        <w:tc>
          <w:tcPr>
            <w:tcW w:w="888" w:type="pct"/>
            <w:tcBorders>
              <w:top w:val="single" w:sz="4" w:space="0" w:color="auto"/>
              <w:left w:val="nil"/>
              <w:bottom w:val="single" w:sz="4" w:space="0" w:color="auto"/>
              <w:right w:val="nil"/>
            </w:tcBorders>
            <w:shd w:val="clear" w:color="auto" w:fill="auto"/>
            <w:vAlign w:val="center"/>
          </w:tcPr>
          <w:p w14:paraId="34B83221" w14:textId="77777777" w:rsidR="007210BA" w:rsidRPr="00840DE8" w:rsidRDefault="004208BD" w:rsidP="007210BA">
            <w:pPr>
              <w:keepNext/>
              <w:keepLines/>
              <w:widowControl w:val="0"/>
              <w:jc w:val="right"/>
              <w:rPr>
                <w:sz w:val="16"/>
                <w:szCs w:val="16"/>
              </w:rPr>
            </w:pPr>
            <w:r w:rsidRPr="00840DE8">
              <w:rPr>
                <w:sz w:val="16"/>
                <w:szCs w:val="16"/>
              </w:rPr>
              <w:t>80.000,00</w:t>
            </w:r>
          </w:p>
        </w:tc>
        <w:tc>
          <w:tcPr>
            <w:tcW w:w="722" w:type="pct"/>
            <w:tcBorders>
              <w:top w:val="single" w:sz="4" w:space="0" w:color="auto"/>
              <w:left w:val="nil"/>
              <w:bottom w:val="single" w:sz="4" w:space="0" w:color="auto"/>
              <w:right w:val="nil"/>
            </w:tcBorders>
            <w:shd w:val="clear" w:color="auto" w:fill="auto"/>
            <w:vAlign w:val="center"/>
          </w:tcPr>
          <w:p w14:paraId="1967E605" w14:textId="77777777" w:rsidR="007210BA" w:rsidRPr="00840DE8" w:rsidRDefault="004208BD" w:rsidP="007210BA">
            <w:pPr>
              <w:keepNext/>
              <w:keepLines/>
              <w:widowControl w:val="0"/>
              <w:jc w:val="center"/>
              <w:rPr>
                <w:sz w:val="16"/>
                <w:szCs w:val="16"/>
              </w:rPr>
            </w:pPr>
            <w:r w:rsidRPr="00840DE8">
              <w:rPr>
                <w:sz w:val="16"/>
                <w:szCs w:val="16"/>
              </w:rPr>
              <w:t>2020</w:t>
            </w:r>
          </w:p>
        </w:tc>
      </w:tr>
      <w:tr w:rsidR="00170181" w:rsidRPr="00840DE8" w14:paraId="3BB4553D" w14:textId="77777777" w:rsidTr="007210BA">
        <w:trPr>
          <w:trHeight w:val="255"/>
          <w:jc w:val="center"/>
        </w:trPr>
        <w:tc>
          <w:tcPr>
            <w:tcW w:w="3390" w:type="pct"/>
            <w:tcBorders>
              <w:top w:val="single" w:sz="4" w:space="0" w:color="auto"/>
              <w:left w:val="nil"/>
              <w:bottom w:val="single" w:sz="4" w:space="0" w:color="auto"/>
              <w:right w:val="nil"/>
            </w:tcBorders>
            <w:shd w:val="clear" w:color="auto" w:fill="auto"/>
            <w:vAlign w:val="center"/>
          </w:tcPr>
          <w:p w14:paraId="735529DE" w14:textId="727BD93E" w:rsidR="00170181" w:rsidRPr="00170181" w:rsidRDefault="00170181" w:rsidP="00954AA6">
            <w:pPr>
              <w:keepNext/>
              <w:keepLines/>
              <w:widowControl w:val="0"/>
              <w:ind w:left="219"/>
              <w:rPr>
                <w:sz w:val="16"/>
                <w:szCs w:val="16"/>
              </w:rPr>
            </w:pPr>
            <w:r w:rsidRPr="00170181">
              <w:rPr>
                <w:sz w:val="16"/>
                <w:szCs w:val="16"/>
              </w:rPr>
              <w:t>Para la gestión de subvenciones destinadas al restablecimiento de las rutas aéreas con las Islas Canarias y la recuperación de la conectividad y el turismo del archipiélago</w:t>
            </w:r>
          </w:p>
        </w:tc>
        <w:tc>
          <w:tcPr>
            <w:tcW w:w="888" w:type="pct"/>
            <w:tcBorders>
              <w:top w:val="single" w:sz="4" w:space="0" w:color="auto"/>
              <w:left w:val="nil"/>
              <w:bottom w:val="single" w:sz="4" w:space="0" w:color="auto"/>
              <w:right w:val="nil"/>
            </w:tcBorders>
            <w:shd w:val="clear" w:color="auto" w:fill="auto"/>
            <w:vAlign w:val="center"/>
          </w:tcPr>
          <w:p w14:paraId="2534243C" w14:textId="45FF2C1B" w:rsidR="00170181" w:rsidRPr="00170181" w:rsidRDefault="00170181" w:rsidP="00170181">
            <w:pPr>
              <w:keepNext/>
              <w:keepLines/>
              <w:widowControl w:val="0"/>
              <w:jc w:val="right"/>
              <w:rPr>
                <w:sz w:val="16"/>
                <w:szCs w:val="16"/>
              </w:rPr>
            </w:pPr>
            <w:r w:rsidRPr="00170181">
              <w:rPr>
                <w:sz w:val="16"/>
                <w:szCs w:val="16"/>
              </w:rPr>
              <w:t>16.050,00</w:t>
            </w:r>
          </w:p>
        </w:tc>
        <w:tc>
          <w:tcPr>
            <w:tcW w:w="722" w:type="pct"/>
            <w:tcBorders>
              <w:top w:val="single" w:sz="4" w:space="0" w:color="auto"/>
              <w:left w:val="nil"/>
              <w:bottom w:val="single" w:sz="4" w:space="0" w:color="auto"/>
              <w:right w:val="nil"/>
            </w:tcBorders>
            <w:shd w:val="clear" w:color="auto" w:fill="auto"/>
            <w:vAlign w:val="center"/>
          </w:tcPr>
          <w:p w14:paraId="5C5ECB91" w14:textId="694BEAC9" w:rsidR="00170181" w:rsidRPr="00170181" w:rsidRDefault="00170181" w:rsidP="00170181">
            <w:pPr>
              <w:keepNext/>
              <w:keepLines/>
              <w:widowControl w:val="0"/>
              <w:jc w:val="center"/>
              <w:rPr>
                <w:sz w:val="16"/>
                <w:szCs w:val="16"/>
              </w:rPr>
            </w:pPr>
            <w:r w:rsidRPr="00170181">
              <w:rPr>
                <w:sz w:val="16"/>
                <w:szCs w:val="16"/>
              </w:rPr>
              <w:t>2021</w:t>
            </w:r>
          </w:p>
        </w:tc>
      </w:tr>
      <w:tr w:rsidR="00170181" w:rsidRPr="00840DE8" w14:paraId="053E95DE" w14:textId="77777777" w:rsidTr="007210BA">
        <w:trPr>
          <w:trHeight w:val="255"/>
          <w:jc w:val="center"/>
        </w:trPr>
        <w:tc>
          <w:tcPr>
            <w:tcW w:w="3390" w:type="pct"/>
            <w:tcBorders>
              <w:top w:val="single" w:sz="4" w:space="0" w:color="auto"/>
              <w:left w:val="nil"/>
              <w:bottom w:val="single" w:sz="4" w:space="0" w:color="auto"/>
              <w:right w:val="nil"/>
            </w:tcBorders>
            <w:shd w:val="clear" w:color="auto" w:fill="auto"/>
            <w:vAlign w:val="center"/>
          </w:tcPr>
          <w:p w14:paraId="26A6684D" w14:textId="144A07AD" w:rsidR="00170181" w:rsidRPr="00170181" w:rsidRDefault="00170181" w:rsidP="00954AA6">
            <w:pPr>
              <w:keepNext/>
              <w:keepLines/>
              <w:widowControl w:val="0"/>
              <w:ind w:left="219"/>
              <w:rPr>
                <w:sz w:val="16"/>
                <w:szCs w:val="16"/>
              </w:rPr>
            </w:pPr>
            <w:r w:rsidRPr="00170181">
              <w:rPr>
                <w:sz w:val="16"/>
                <w:szCs w:val="16"/>
              </w:rPr>
              <w:t>Para la gestión de subvenciones dirigidas a cubrir el coste del IBI soportado por empresas titulares de alojamientos turísticos canarios afectadas por la crisis del Covid-19</w:t>
            </w:r>
          </w:p>
        </w:tc>
        <w:tc>
          <w:tcPr>
            <w:tcW w:w="888" w:type="pct"/>
            <w:tcBorders>
              <w:top w:val="single" w:sz="4" w:space="0" w:color="auto"/>
              <w:left w:val="nil"/>
              <w:bottom w:val="single" w:sz="4" w:space="0" w:color="auto"/>
              <w:right w:val="nil"/>
            </w:tcBorders>
            <w:shd w:val="clear" w:color="auto" w:fill="auto"/>
            <w:vAlign w:val="center"/>
          </w:tcPr>
          <w:p w14:paraId="58FC1987" w14:textId="207B1F33" w:rsidR="00170181" w:rsidRPr="00170181" w:rsidRDefault="00170181" w:rsidP="00170181">
            <w:pPr>
              <w:keepNext/>
              <w:keepLines/>
              <w:widowControl w:val="0"/>
              <w:jc w:val="right"/>
              <w:rPr>
                <w:sz w:val="16"/>
                <w:szCs w:val="16"/>
              </w:rPr>
            </w:pPr>
            <w:r w:rsidRPr="00170181">
              <w:rPr>
                <w:sz w:val="16"/>
                <w:szCs w:val="16"/>
              </w:rPr>
              <w:t>99.686,83</w:t>
            </w:r>
          </w:p>
        </w:tc>
        <w:tc>
          <w:tcPr>
            <w:tcW w:w="722" w:type="pct"/>
            <w:tcBorders>
              <w:top w:val="single" w:sz="4" w:space="0" w:color="auto"/>
              <w:left w:val="nil"/>
              <w:bottom w:val="single" w:sz="4" w:space="0" w:color="auto"/>
              <w:right w:val="nil"/>
            </w:tcBorders>
            <w:shd w:val="clear" w:color="auto" w:fill="auto"/>
            <w:vAlign w:val="center"/>
          </w:tcPr>
          <w:p w14:paraId="5A6C3BCA" w14:textId="2E68BCDF" w:rsidR="00170181" w:rsidRPr="00170181" w:rsidRDefault="00170181" w:rsidP="00170181">
            <w:pPr>
              <w:keepNext/>
              <w:keepLines/>
              <w:widowControl w:val="0"/>
              <w:jc w:val="center"/>
              <w:rPr>
                <w:sz w:val="16"/>
                <w:szCs w:val="16"/>
              </w:rPr>
            </w:pPr>
            <w:r w:rsidRPr="00170181">
              <w:rPr>
                <w:sz w:val="16"/>
                <w:szCs w:val="16"/>
              </w:rPr>
              <w:t>2021</w:t>
            </w:r>
          </w:p>
        </w:tc>
      </w:tr>
    </w:tbl>
    <w:p w14:paraId="3214CD66" w14:textId="77777777" w:rsidR="006220A2" w:rsidRPr="0083433F" w:rsidRDefault="006220A2" w:rsidP="003254FA">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284"/>
          <w:tab w:val="num" w:pos="644"/>
        </w:tabs>
        <w:spacing w:before="200"/>
        <w:ind w:left="0" w:firstLine="0"/>
        <w:outlineLvl w:val="9"/>
        <w:rPr>
          <w:sz w:val="20"/>
          <w:szCs w:val="22"/>
          <w:u w:val="single"/>
        </w:rPr>
      </w:pPr>
      <w:r w:rsidRPr="0083433F">
        <w:rPr>
          <w:sz w:val="20"/>
          <w:szCs w:val="22"/>
          <w:u w:val="single"/>
        </w:rPr>
        <w:t>Retribución al Consejo de Administración y Alta Dirección</w:t>
      </w:r>
    </w:p>
    <w:p w14:paraId="63188DF5" w14:textId="34EF6528"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 xml:space="preserve">No se han satisfecho retribuciones, durante el ejercicio </w:t>
      </w:r>
      <w:r w:rsidR="009C7621" w:rsidRPr="00176BA0">
        <w:rPr>
          <w:snapToGrid w:val="0"/>
          <w:sz w:val="20"/>
          <w:szCs w:val="22"/>
        </w:rPr>
        <w:t>202</w:t>
      </w:r>
      <w:r w:rsidR="00DC4561" w:rsidRPr="00176BA0">
        <w:rPr>
          <w:snapToGrid w:val="0"/>
          <w:sz w:val="20"/>
          <w:szCs w:val="22"/>
        </w:rPr>
        <w:t>1</w:t>
      </w:r>
      <w:r w:rsidR="009C7621" w:rsidRPr="00176BA0">
        <w:rPr>
          <w:snapToGrid w:val="0"/>
          <w:sz w:val="20"/>
          <w:szCs w:val="22"/>
        </w:rPr>
        <w:t xml:space="preserve"> y 20</w:t>
      </w:r>
      <w:r w:rsidR="00DC4561" w:rsidRPr="00176BA0">
        <w:rPr>
          <w:snapToGrid w:val="0"/>
          <w:sz w:val="20"/>
          <w:szCs w:val="22"/>
        </w:rPr>
        <w:t>20</w:t>
      </w:r>
      <w:r w:rsidR="009C7621" w:rsidRPr="00176BA0">
        <w:rPr>
          <w:snapToGrid w:val="0"/>
          <w:sz w:val="20"/>
          <w:szCs w:val="22"/>
        </w:rPr>
        <w:t xml:space="preserve"> </w:t>
      </w:r>
      <w:r w:rsidRPr="00176BA0">
        <w:rPr>
          <w:snapToGrid w:val="0"/>
          <w:sz w:val="20"/>
          <w:szCs w:val="22"/>
        </w:rPr>
        <w:t xml:space="preserve">a los Administradores de la Sociedad. Las retribuciones por Alta Dirección ascienden a </w:t>
      </w:r>
      <w:r w:rsidR="00BB1445" w:rsidRPr="00176BA0">
        <w:rPr>
          <w:snapToGrid w:val="0"/>
          <w:sz w:val="20"/>
          <w:szCs w:val="22"/>
        </w:rPr>
        <w:t>6</w:t>
      </w:r>
      <w:r w:rsidR="00F63441" w:rsidRPr="00176BA0">
        <w:rPr>
          <w:snapToGrid w:val="0"/>
          <w:sz w:val="20"/>
          <w:szCs w:val="22"/>
        </w:rPr>
        <w:t>2.049,36</w:t>
      </w:r>
      <w:r w:rsidR="004208BD" w:rsidRPr="00176BA0">
        <w:rPr>
          <w:snapToGrid w:val="0"/>
          <w:sz w:val="20"/>
          <w:szCs w:val="22"/>
        </w:rPr>
        <w:t xml:space="preserve"> </w:t>
      </w:r>
      <w:r w:rsidRPr="00176BA0">
        <w:rPr>
          <w:snapToGrid w:val="0"/>
          <w:sz w:val="20"/>
          <w:szCs w:val="22"/>
        </w:rPr>
        <w:t>euros (</w:t>
      </w:r>
      <w:r w:rsidR="00DC4561" w:rsidRPr="00176BA0">
        <w:rPr>
          <w:snapToGrid w:val="0"/>
          <w:sz w:val="20"/>
          <w:szCs w:val="22"/>
        </w:rPr>
        <w:t xml:space="preserve">60.055,27 </w:t>
      </w:r>
      <w:r w:rsidRPr="00176BA0">
        <w:rPr>
          <w:snapToGrid w:val="0"/>
          <w:sz w:val="20"/>
          <w:szCs w:val="22"/>
        </w:rPr>
        <w:t xml:space="preserve">euros en </w:t>
      </w:r>
      <w:r w:rsidR="00954AA6">
        <w:rPr>
          <w:snapToGrid w:val="0"/>
          <w:sz w:val="20"/>
          <w:szCs w:val="22"/>
        </w:rPr>
        <w:t>el ejercicio anterior</w:t>
      </w:r>
      <w:r w:rsidRPr="00176BA0">
        <w:rPr>
          <w:snapToGrid w:val="0"/>
          <w:sz w:val="20"/>
          <w:szCs w:val="22"/>
        </w:rPr>
        <w:t>).</w:t>
      </w:r>
    </w:p>
    <w:p w14:paraId="400AC9EB"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lastRenderedPageBreak/>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Asimismo, tanto ellos como las personas a ellos vinculadas, se han abstenido de incurrir en los supuestos de conflicto de interés previstos en el artículo 229 de dicha ley, excepto en los casos en que haya sido obtenida la correspondiente autorización.</w:t>
      </w:r>
    </w:p>
    <w:p w14:paraId="78F11502" w14:textId="77777777" w:rsidR="006220A2" w:rsidRPr="0083433F" w:rsidRDefault="006220A2" w:rsidP="006220A2">
      <w:pPr>
        <w:rPr>
          <w:sz w:val="20"/>
          <w:szCs w:val="22"/>
          <w:u w:val="single"/>
        </w:rPr>
      </w:pPr>
    </w:p>
    <w:p w14:paraId="53BFE95B" w14:textId="77777777" w:rsidR="002109C5" w:rsidRPr="0083433F" w:rsidRDefault="002109C5" w:rsidP="006220A2">
      <w:pPr>
        <w:rPr>
          <w:sz w:val="20"/>
          <w:szCs w:val="22"/>
          <w:u w:val="single"/>
        </w:rPr>
      </w:pPr>
    </w:p>
    <w:p w14:paraId="04683D2D" w14:textId="20AE60D7" w:rsidR="006220A2" w:rsidRPr="0083433F" w:rsidRDefault="00052BF5"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Pr>
          <w:b/>
          <w:snapToGrid w:val="0"/>
          <w:sz w:val="22"/>
          <w:szCs w:val="22"/>
        </w:rPr>
        <w:t xml:space="preserve"> </w:t>
      </w:r>
      <w:r w:rsidR="006220A2" w:rsidRPr="0083433F">
        <w:rPr>
          <w:b/>
          <w:snapToGrid w:val="0"/>
          <w:sz w:val="22"/>
          <w:szCs w:val="22"/>
        </w:rPr>
        <w:t>Otra información</w:t>
      </w:r>
    </w:p>
    <w:p w14:paraId="2DFF9727"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El número medio de empleados en el curso del ejercicio distribuido por categorías y sexo es el siguiente:</w:t>
      </w:r>
    </w:p>
    <w:tbl>
      <w:tblPr>
        <w:tblW w:w="5000" w:type="pct"/>
        <w:jc w:val="center"/>
        <w:tblCellMar>
          <w:left w:w="70" w:type="dxa"/>
          <w:right w:w="70" w:type="dxa"/>
        </w:tblCellMar>
        <w:tblLook w:val="04A0" w:firstRow="1" w:lastRow="0" w:firstColumn="1" w:lastColumn="0" w:noHBand="0" w:noVBand="1"/>
      </w:tblPr>
      <w:tblGrid>
        <w:gridCol w:w="3587"/>
        <w:gridCol w:w="1298"/>
        <w:gridCol w:w="1300"/>
        <w:gridCol w:w="1298"/>
        <w:gridCol w:w="1298"/>
      </w:tblGrid>
      <w:tr w:rsidR="00734BAD" w:rsidRPr="00176BA0" w14:paraId="4C6360E1" w14:textId="77777777" w:rsidTr="00176BA0">
        <w:trPr>
          <w:trHeight w:val="283"/>
          <w:jc w:val="center"/>
        </w:trPr>
        <w:tc>
          <w:tcPr>
            <w:tcW w:w="2042" w:type="pct"/>
            <w:tcBorders>
              <w:top w:val="single" w:sz="4" w:space="0" w:color="auto"/>
              <w:left w:val="nil"/>
              <w:bottom w:val="nil"/>
              <w:right w:val="nil"/>
            </w:tcBorders>
            <w:shd w:val="clear" w:color="auto" w:fill="auto"/>
            <w:vAlign w:val="bottom"/>
            <w:hideMark/>
          </w:tcPr>
          <w:p w14:paraId="415688A9" w14:textId="77777777" w:rsidR="00734BAD" w:rsidRPr="00176BA0" w:rsidRDefault="00734BAD" w:rsidP="00176BA0">
            <w:pPr>
              <w:keepNext/>
              <w:keepLines/>
              <w:widowControl w:val="0"/>
              <w:ind w:left="215"/>
              <w:jc w:val="center"/>
              <w:rPr>
                <w:rFonts w:eastAsia="Times New Roman"/>
                <w:sz w:val="18"/>
                <w:szCs w:val="18"/>
              </w:rPr>
            </w:pPr>
          </w:p>
        </w:tc>
        <w:tc>
          <w:tcPr>
            <w:tcW w:w="1479" w:type="pct"/>
            <w:gridSpan w:val="2"/>
            <w:tcBorders>
              <w:top w:val="single" w:sz="4" w:space="0" w:color="auto"/>
              <w:left w:val="nil"/>
              <w:bottom w:val="single" w:sz="4" w:space="0" w:color="auto"/>
              <w:right w:val="nil"/>
            </w:tcBorders>
            <w:shd w:val="clear" w:color="auto" w:fill="auto"/>
            <w:vAlign w:val="bottom"/>
            <w:hideMark/>
          </w:tcPr>
          <w:p w14:paraId="2FC59EE7" w14:textId="42259920" w:rsidR="00734BAD" w:rsidRPr="00176BA0" w:rsidRDefault="00734BAD" w:rsidP="00734BAD">
            <w:pPr>
              <w:keepNext/>
              <w:keepLines/>
              <w:widowControl w:val="0"/>
              <w:jc w:val="center"/>
              <w:rPr>
                <w:rFonts w:eastAsia="Times New Roman"/>
                <w:b/>
                <w:bCs/>
                <w:sz w:val="18"/>
                <w:szCs w:val="18"/>
              </w:rPr>
            </w:pPr>
            <w:r w:rsidRPr="00176BA0">
              <w:rPr>
                <w:rFonts w:eastAsia="Times New Roman"/>
                <w:b/>
                <w:bCs/>
                <w:sz w:val="18"/>
                <w:szCs w:val="18"/>
              </w:rPr>
              <w:t>2021</w:t>
            </w:r>
          </w:p>
        </w:tc>
        <w:tc>
          <w:tcPr>
            <w:tcW w:w="1478" w:type="pct"/>
            <w:gridSpan w:val="2"/>
            <w:tcBorders>
              <w:top w:val="single" w:sz="4" w:space="0" w:color="auto"/>
              <w:left w:val="nil"/>
              <w:bottom w:val="single" w:sz="4" w:space="0" w:color="auto"/>
              <w:right w:val="nil"/>
            </w:tcBorders>
            <w:shd w:val="clear" w:color="auto" w:fill="auto"/>
            <w:vAlign w:val="bottom"/>
            <w:hideMark/>
          </w:tcPr>
          <w:p w14:paraId="4B6DBFC9" w14:textId="7DF04149" w:rsidR="00734BAD" w:rsidRPr="00176BA0" w:rsidRDefault="00734BAD" w:rsidP="00734BAD">
            <w:pPr>
              <w:keepNext/>
              <w:keepLines/>
              <w:widowControl w:val="0"/>
              <w:jc w:val="center"/>
              <w:rPr>
                <w:rFonts w:eastAsia="Times New Roman"/>
                <w:b/>
                <w:bCs/>
                <w:sz w:val="18"/>
                <w:szCs w:val="18"/>
              </w:rPr>
            </w:pPr>
            <w:r w:rsidRPr="00176BA0">
              <w:rPr>
                <w:rFonts w:eastAsia="Times New Roman"/>
                <w:b/>
                <w:bCs/>
                <w:sz w:val="18"/>
                <w:szCs w:val="18"/>
              </w:rPr>
              <w:t>2020</w:t>
            </w:r>
          </w:p>
        </w:tc>
      </w:tr>
      <w:tr w:rsidR="00734BAD" w:rsidRPr="00176BA0" w14:paraId="1BE40B15" w14:textId="77777777" w:rsidTr="00176BA0">
        <w:trPr>
          <w:trHeight w:val="283"/>
          <w:jc w:val="center"/>
        </w:trPr>
        <w:tc>
          <w:tcPr>
            <w:tcW w:w="2042" w:type="pct"/>
            <w:tcBorders>
              <w:top w:val="nil"/>
              <w:left w:val="nil"/>
              <w:bottom w:val="single" w:sz="4" w:space="0" w:color="auto"/>
              <w:right w:val="nil"/>
            </w:tcBorders>
            <w:shd w:val="clear" w:color="auto" w:fill="auto"/>
            <w:vAlign w:val="bottom"/>
            <w:hideMark/>
          </w:tcPr>
          <w:p w14:paraId="1B886FEE" w14:textId="77777777" w:rsidR="00734BAD" w:rsidRPr="00176BA0" w:rsidRDefault="00734BAD" w:rsidP="00176BA0">
            <w:pPr>
              <w:keepNext/>
              <w:keepLines/>
              <w:widowControl w:val="0"/>
              <w:ind w:left="215"/>
              <w:jc w:val="center"/>
              <w:rPr>
                <w:rFonts w:eastAsia="Times New Roman"/>
                <w:b/>
                <w:bCs/>
                <w:sz w:val="18"/>
                <w:szCs w:val="18"/>
              </w:rPr>
            </w:pPr>
            <w:r w:rsidRPr="00176BA0">
              <w:rPr>
                <w:rFonts w:eastAsia="Times New Roman"/>
                <w:b/>
                <w:bCs/>
                <w:sz w:val="18"/>
                <w:szCs w:val="18"/>
              </w:rPr>
              <w:t>Categoría</w:t>
            </w:r>
          </w:p>
        </w:tc>
        <w:tc>
          <w:tcPr>
            <w:tcW w:w="739" w:type="pct"/>
            <w:tcBorders>
              <w:top w:val="nil"/>
              <w:left w:val="nil"/>
              <w:bottom w:val="single" w:sz="4" w:space="0" w:color="auto"/>
              <w:right w:val="nil"/>
            </w:tcBorders>
            <w:shd w:val="clear" w:color="auto" w:fill="auto"/>
            <w:vAlign w:val="bottom"/>
            <w:hideMark/>
          </w:tcPr>
          <w:p w14:paraId="5C3ACF48" w14:textId="77777777" w:rsidR="00734BAD" w:rsidRPr="00176BA0" w:rsidRDefault="00734BAD" w:rsidP="00734BAD">
            <w:pPr>
              <w:keepNext/>
              <w:keepLines/>
              <w:widowControl w:val="0"/>
              <w:jc w:val="center"/>
              <w:rPr>
                <w:rFonts w:eastAsia="Times New Roman"/>
                <w:b/>
                <w:bCs/>
                <w:sz w:val="18"/>
                <w:szCs w:val="18"/>
              </w:rPr>
            </w:pPr>
            <w:r w:rsidRPr="00176BA0">
              <w:rPr>
                <w:rFonts w:eastAsia="Times New Roman"/>
                <w:b/>
                <w:bCs/>
                <w:sz w:val="18"/>
                <w:szCs w:val="18"/>
              </w:rPr>
              <w:t>Hombres</w:t>
            </w:r>
          </w:p>
        </w:tc>
        <w:tc>
          <w:tcPr>
            <w:tcW w:w="740" w:type="pct"/>
            <w:tcBorders>
              <w:top w:val="nil"/>
              <w:left w:val="nil"/>
              <w:bottom w:val="single" w:sz="4" w:space="0" w:color="auto"/>
              <w:right w:val="nil"/>
            </w:tcBorders>
            <w:shd w:val="clear" w:color="auto" w:fill="auto"/>
            <w:vAlign w:val="bottom"/>
            <w:hideMark/>
          </w:tcPr>
          <w:p w14:paraId="572EE47B" w14:textId="77777777" w:rsidR="00734BAD" w:rsidRPr="00176BA0" w:rsidRDefault="00734BAD" w:rsidP="00734BAD">
            <w:pPr>
              <w:keepNext/>
              <w:keepLines/>
              <w:widowControl w:val="0"/>
              <w:jc w:val="center"/>
              <w:rPr>
                <w:rFonts w:eastAsia="Times New Roman"/>
                <w:b/>
                <w:bCs/>
                <w:sz w:val="18"/>
                <w:szCs w:val="18"/>
              </w:rPr>
            </w:pPr>
            <w:r w:rsidRPr="00176BA0">
              <w:rPr>
                <w:rFonts w:eastAsia="Times New Roman"/>
                <w:b/>
                <w:bCs/>
                <w:sz w:val="18"/>
                <w:szCs w:val="18"/>
              </w:rPr>
              <w:t>Mujeres</w:t>
            </w:r>
          </w:p>
        </w:tc>
        <w:tc>
          <w:tcPr>
            <w:tcW w:w="739" w:type="pct"/>
            <w:tcBorders>
              <w:top w:val="nil"/>
              <w:left w:val="nil"/>
              <w:bottom w:val="single" w:sz="4" w:space="0" w:color="auto"/>
              <w:right w:val="nil"/>
            </w:tcBorders>
            <w:shd w:val="clear" w:color="auto" w:fill="auto"/>
            <w:vAlign w:val="bottom"/>
            <w:hideMark/>
          </w:tcPr>
          <w:p w14:paraId="3D002F08" w14:textId="1B5C6DF5" w:rsidR="00734BAD" w:rsidRPr="00176BA0" w:rsidRDefault="00734BAD" w:rsidP="00734BAD">
            <w:pPr>
              <w:keepNext/>
              <w:keepLines/>
              <w:widowControl w:val="0"/>
              <w:jc w:val="center"/>
              <w:rPr>
                <w:rFonts w:eastAsia="Times New Roman"/>
                <w:b/>
                <w:bCs/>
                <w:sz w:val="18"/>
                <w:szCs w:val="18"/>
              </w:rPr>
            </w:pPr>
            <w:r w:rsidRPr="00176BA0">
              <w:rPr>
                <w:rFonts w:eastAsia="Times New Roman"/>
                <w:b/>
                <w:bCs/>
                <w:sz w:val="18"/>
                <w:szCs w:val="18"/>
              </w:rPr>
              <w:t>Hombres</w:t>
            </w:r>
          </w:p>
        </w:tc>
        <w:tc>
          <w:tcPr>
            <w:tcW w:w="739" w:type="pct"/>
            <w:tcBorders>
              <w:top w:val="nil"/>
              <w:left w:val="nil"/>
              <w:bottom w:val="single" w:sz="4" w:space="0" w:color="auto"/>
              <w:right w:val="nil"/>
            </w:tcBorders>
            <w:shd w:val="clear" w:color="auto" w:fill="auto"/>
            <w:vAlign w:val="bottom"/>
            <w:hideMark/>
          </w:tcPr>
          <w:p w14:paraId="4B191268" w14:textId="1D082D7F" w:rsidR="00734BAD" w:rsidRPr="00176BA0" w:rsidRDefault="00734BAD" w:rsidP="00734BAD">
            <w:pPr>
              <w:keepNext/>
              <w:keepLines/>
              <w:widowControl w:val="0"/>
              <w:jc w:val="center"/>
              <w:rPr>
                <w:rFonts w:eastAsia="Times New Roman"/>
                <w:b/>
                <w:bCs/>
                <w:sz w:val="18"/>
                <w:szCs w:val="18"/>
              </w:rPr>
            </w:pPr>
            <w:r w:rsidRPr="00176BA0">
              <w:rPr>
                <w:rFonts w:eastAsia="Times New Roman"/>
                <w:b/>
                <w:bCs/>
                <w:sz w:val="18"/>
                <w:szCs w:val="18"/>
              </w:rPr>
              <w:t>Hombres</w:t>
            </w:r>
          </w:p>
        </w:tc>
      </w:tr>
      <w:tr w:rsidR="00FC7D65" w:rsidRPr="00176BA0" w14:paraId="09657CC4" w14:textId="77777777" w:rsidTr="00176BA0">
        <w:trPr>
          <w:trHeight w:val="283"/>
          <w:jc w:val="center"/>
        </w:trPr>
        <w:tc>
          <w:tcPr>
            <w:tcW w:w="2042" w:type="pct"/>
            <w:tcBorders>
              <w:top w:val="nil"/>
              <w:left w:val="nil"/>
              <w:bottom w:val="nil"/>
              <w:right w:val="nil"/>
            </w:tcBorders>
            <w:shd w:val="clear" w:color="auto" w:fill="auto"/>
            <w:vAlign w:val="center"/>
            <w:hideMark/>
          </w:tcPr>
          <w:p w14:paraId="1689DC4E" w14:textId="77777777" w:rsidR="00FC7D65" w:rsidRPr="00176BA0" w:rsidRDefault="00FC7D65" w:rsidP="00176BA0">
            <w:pPr>
              <w:keepNext/>
              <w:keepLines/>
              <w:widowControl w:val="0"/>
              <w:ind w:left="215"/>
              <w:rPr>
                <w:rFonts w:eastAsia="Times New Roman"/>
                <w:sz w:val="18"/>
                <w:szCs w:val="18"/>
              </w:rPr>
            </w:pPr>
            <w:r w:rsidRPr="00176BA0">
              <w:rPr>
                <w:rFonts w:eastAsia="Times New Roman"/>
                <w:sz w:val="18"/>
                <w:szCs w:val="18"/>
              </w:rPr>
              <w:t>Directivos</w:t>
            </w:r>
          </w:p>
        </w:tc>
        <w:tc>
          <w:tcPr>
            <w:tcW w:w="739" w:type="pct"/>
            <w:tcBorders>
              <w:top w:val="nil"/>
              <w:left w:val="nil"/>
              <w:bottom w:val="nil"/>
              <w:right w:val="nil"/>
            </w:tcBorders>
            <w:shd w:val="clear" w:color="auto" w:fill="auto"/>
            <w:vAlign w:val="center"/>
          </w:tcPr>
          <w:p w14:paraId="41D54E3D" w14:textId="502F6CB9" w:rsidR="00FC7D65" w:rsidRPr="00176BA0" w:rsidRDefault="00FC7D65" w:rsidP="00FC7D6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highlight w:val="yellow"/>
                <w:bdr w:val="none" w:sz="0" w:space="0" w:color="auto"/>
                <w:lang w:eastAsia="es-ES"/>
              </w:rPr>
            </w:pPr>
            <w:r w:rsidRPr="00176BA0">
              <w:rPr>
                <w:sz w:val="18"/>
                <w:szCs w:val="18"/>
              </w:rPr>
              <w:t>2</w:t>
            </w:r>
          </w:p>
        </w:tc>
        <w:tc>
          <w:tcPr>
            <w:tcW w:w="740" w:type="pct"/>
            <w:tcBorders>
              <w:top w:val="nil"/>
              <w:left w:val="nil"/>
              <w:bottom w:val="nil"/>
              <w:right w:val="nil"/>
            </w:tcBorders>
            <w:shd w:val="clear" w:color="auto" w:fill="auto"/>
            <w:vAlign w:val="center"/>
          </w:tcPr>
          <w:p w14:paraId="2F2752F4" w14:textId="466AD7F6" w:rsidR="00FC7D65" w:rsidRPr="00176BA0" w:rsidRDefault="00FC7D65" w:rsidP="00FC7D65">
            <w:pPr>
              <w:keepNext/>
              <w:keepLines/>
              <w:widowControl w:val="0"/>
              <w:jc w:val="center"/>
              <w:rPr>
                <w:sz w:val="18"/>
                <w:szCs w:val="18"/>
                <w:highlight w:val="yellow"/>
              </w:rPr>
            </w:pPr>
            <w:r w:rsidRPr="00176BA0">
              <w:rPr>
                <w:sz w:val="18"/>
                <w:szCs w:val="18"/>
              </w:rPr>
              <w:t>3</w:t>
            </w:r>
          </w:p>
        </w:tc>
        <w:tc>
          <w:tcPr>
            <w:tcW w:w="739" w:type="pct"/>
            <w:tcBorders>
              <w:top w:val="nil"/>
              <w:left w:val="nil"/>
              <w:bottom w:val="nil"/>
              <w:right w:val="nil"/>
            </w:tcBorders>
            <w:shd w:val="clear" w:color="auto" w:fill="auto"/>
            <w:vAlign w:val="center"/>
          </w:tcPr>
          <w:p w14:paraId="12A6177C" w14:textId="21B0B62A" w:rsidR="00FC7D65" w:rsidRPr="00176BA0" w:rsidRDefault="00FC7D65" w:rsidP="00FC7D6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176BA0">
              <w:rPr>
                <w:sz w:val="18"/>
                <w:szCs w:val="18"/>
              </w:rPr>
              <w:t>1</w:t>
            </w:r>
          </w:p>
        </w:tc>
        <w:tc>
          <w:tcPr>
            <w:tcW w:w="739" w:type="pct"/>
            <w:tcBorders>
              <w:top w:val="nil"/>
              <w:left w:val="nil"/>
              <w:bottom w:val="nil"/>
              <w:right w:val="nil"/>
            </w:tcBorders>
            <w:shd w:val="clear" w:color="auto" w:fill="auto"/>
            <w:vAlign w:val="center"/>
          </w:tcPr>
          <w:p w14:paraId="08DFB669" w14:textId="795B6D62" w:rsidR="00FC7D65" w:rsidRPr="00176BA0" w:rsidRDefault="00FC7D65" w:rsidP="00FC7D65">
            <w:pPr>
              <w:keepNext/>
              <w:keepLines/>
              <w:widowControl w:val="0"/>
              <w:jc w:val="center"/>
              <w:rPr>
                <w:sz w:val="18"/>
                <w:szCs w:val="18"/>
              </w:rPr>
            </w:pPr>
            <w:r w:rsidRPr="00176BA0">
              <w:rPr>
                <w:sz w:val="18"/>
                <w:szCs w:val="18"/>
              </w:rPr>
              <w:t>3</w:t>
            </w:r>
          </w:p>
        </w:tc>
      </w:tr>
      <w:tr w:rsidR="00FC7D65" w:rsidRPr="00176BA0" w14:paraId="342D2A05" w14:textId="77777777" w:rsidTr="00176BA0">
        <w:trPr>
          <w:trHeight w:val="283"/>
          <w:jc w:val="center"/>
        </w:trPr>
        <w:tc>
          <w:tcPr>
            <w:tcW w:w="2042" w:type="pct"/>
            <w:tcBorders>
              <w:top w:val="nil"/>
              <w:left w:val="nil"/>
              <w:bottom w:val="nil"/>
              <w:right w:val="nil"/>
            </w:tcBorders>
            <w:shd w:val="clear" w:color="auto" w:fill="auto"/>
            <w:vAlign w:val="center"/>
            <w:hideMark/>
          </w:tcPr>
          <w:p w14:paraId="15701B89" w14:textId="77777777" w:rsidR="00FC7D65" w:rsidRPr="00176BA0" w:rsidRDefault="00FC7D65" w:rsidP="00176BA0">
            <w:pPr>
              <w:keepNext/>
              <w:keepLines/>
              <w:widowControl w:val="0"/>
              <w:ind w:left="215"/>
              <w:rPr>
                <w:rFonts w:eastAsia="Times New Roman"/>
                <w:sz w:val="18"/>
                <w:szCs w:val="18"/>
              </w:rPr>
            </w:pPr>
            <w:r w:rsidRPr="00176BA0">
              <w:rPr>
                <w:rFonts w:eastAsia="Times New Roman"/>
                <w:sz w:val="18"/>
                <w:szCs w:val="18"/>
              </w:rPr>
              <w:t>Técnicos superiores</w:t>
            </w:r>
          </w:p>
        </w:tc>
        <w:tc>
          <w:tcPr>
            <w:tcW w:w="739" w:type="pct"/>
            <w:tcBorders>
              <w:top w:val="nil"/>
              <w:left w:val="nil"/>
              <w:bottom w:val="nil"/>
              <w:right w:val="nil"/>
            </w:tcBorders>
            <w:shd w:val="clear" w:color="auto" w:fill="auto"/>
            <w:vAlign w:val="center"/>
          </w:tcPr>
          <w:p w14:paraId="08DD1051" w14:textId="0BEBE1A5" w:rsidR="00FC7D65" w:rsidRPr="00176BA0" w:rsidRDefault="00FC7D65" w:rsidP="00FC7D65">
            <w:pPr>
              <w:keepNext/>
              <w:keepLines/>
              <w:widowControl w:val="0"/>
              <w:jc w:val="center"/>
              <w:rPr>
                <w:sz w:val="18"/>
                <w:szCs w:val="18"/>
                <w:highlight w:val="yellow"/>
              </w:rPr>
            </w:pPr>
            <w:r w:rsidRPr="00176BA0">
              <w:rPr>
                <w:sz w:val="18"/>
                <w:szCs w:val="18"/>
              </w:rPr>
              <w:t>5</w:t>
            </w:r>
          </w:p>
        </w:tc>
        <w:tc>
          <w:tcPr>
            <w:tcW w:w="740" w:type="pct"/>
            <w:tcBorders>
              <w:top w:val="nil"/>
              <w:left w:val="nil"/>
              <w:bottom w:val="nil"/>
              <w:right w:val="nil"/>
            </w:tcBorders>
            <w:shd w:val="clear" w:color="auto" w:fill="auto"/>
            <w:vAlign w:val="center"/>
          </w:tcPr>
          <w:p w14:paraId="23C7BA16" w14:textId="733C3248" w:rsidR="00FC7D65" w:rsidRPr="00176BA0" w:rsidRDefault="00FC7D65" w:rsidP="00FC7D65">
            <w:pPr>
              <w:keepNext/>
              <w:keepLines/>
              <w:widowControl w:val="0"/>
              <w:jc w:val="center"/>
              <w:rPr>
                <w:sz w:val="18"/>
                <w:szCs w:val="18"/>
                <w:highlight w:val="yellow"/>
              </w:rPr>
            </w:pPr>
            <w:r w:rsidRPr="00176BA0">
              <w:rPr>
                <w:sz w:val="18"/>
                <w:szCs w:val="18"/>
              </w:rPr>
              <w:t>13</w:t>
            </w:r>
          </w:p>
        </w:tc>
        <w:tc>
          <w:tcPr>
            <w:tcW w:w="739" w:type="pct"/>
            <w:tcBorders>
              <w:top w:val="nil"/>
              <w:left w:val="nil"/>
              <w:bottom w:val="nil"/>
              <w:right w:val="nil"/>
            </w:tcBorders>
            <w:shd w:val="clear" w:color="auto" w:fill="auto"/>
            <w:vAlign w:val="center"/>
          </w:tcPr>
          <w:p w14:paraId="403A9C7C" w14:textId="2CE2E83C" w:rsidR="00FC7D65" w:rsidRPr="00176BA0" w:rsidRDefault="00FC7D65" w:rsidP="00FC7D65">
            <w:pPr>
              <w:keepNext/>
              <w:keepLines/>
              <w:widowControl w:val="0"/>
              <w:jc w:val="center"/>
              <w:rPr>
                <w:sz w:val="18"/>
                <w:szCs w:val="18"/>
              </w:rPr>
            </w:pPr>
            <w:r w:rsidRPr="00176BA0">
              <w:rPr>
                <w:sz w:val="18"/>
                <w:szCs w:val="18"/>
              </w:rPr>
              <w:t>5</w:t>
            </w:r>
          </w:p>
        </w:tc>
        <w:tc>
          <w:tcPr>
            <w:tcW w:w="739" w:type="pct"/>
            <w:tcBorders>
              <w:top w:val="nil"/>
              <w:left w:val="nil"/>
              <w:bottom w:val="nil"/>
              <w:right w:val="nil"/>
            </w:tcBorders>
            <w:shd w:val="clear" w:color="auto" w:fill="auto"/>
            <w:vAlign w:val="center"/>
          </w:tcPr>
          <w:p w14:paraId="23920742" w14:textId="09C23529" w:rsidR="00FC7D65" w:rsidRPr="00176BA0" w:rsidRDefault="00FC7D65" w:rsidP="00FC7D65">
            <w:pPr>
              <w:keepNext/>
              <w:keepLines/>
              <w:widowControl w:val="0"/>
              <w:jc w:val="center"/>
              <w:rPr>
                <w:sz w:val="18"/>
                <w:szCs w:val="18"/>
              </w:rPr>
            </w:pPr>
            <w:r w:rsidRPr="00176BA0">
              <w:rPr>
                <w:sz w:val="18"/>
                <w:szCs w:val="18"/>
              </w:rPr>
              <w:t>9</w:t>
            </w:r>
          </w:p>
        </w:tc>
      </w:tr>
      <w:tr w:rsidR="00FC7D65" w:rsidRPr="00176BA0" w14:paraId="55AD752C" w14:textId="77777777" w:rsidTr="00176BA0">
        <w:trPr>
          <w:trHeight w:val="283"/>
          <w:jc w:val="center"/>
        </w:trPr>
        <w:tc>
          <w:tcPr>
            <w:tcW w:w="2042" w:type="pct"/>
            <w:tcBorders>
              <w:top w:val="nil"/>
              <w:left w:val="nil"/>
              <w:bottom w:val="nil"/>
              <w:right w:val="nil"/>
            </w:tcBorders>
            <w:shd w:val="clear" w:color="auto" w:fill="auto"/>
            <w:vAlign w:val="center"/>
            <w:hideMark/>
          </w:tcPr>
          <w:p w14:paraId="43B1E0C0" w14:textId="77777777" w:rsidR="00FC7D65" w:rsidRPr="00176BA0" w:rsidRDefault="00FC7D65" w:rsidP="00176BA0">
            <w:pPr>
              <w:keepNext/>
              <w:keepLines/>
              <w:widowControl w:val="0"/>
              <w:ind w:left="215"/>
              <w:rPr>
                <w:rFonts w:eastAsia="Times New Roman"/>
                <w:sz w:val="18"/>
                <w:szCs w:val="18"/>
              </w:rPr>
            </w:pPr>
            <w:r w:rsidRPr="00176BA0">
              <w:rPr>
                <w:rFonts w:eastAsia="Times New Roman"/>
                <w:sz w:val="18"/>
                <w:szCs w:val="18"/>
              </w:rPr>
              <w:t>Técnicos medios</w:t>
            </w:r>
          </w:p>
        </w:tc>
        <w:tc>
          <w:tcPr>
            <w:tcW w:w="739" w:type="pct"/>
            <w:tcBorders>
              <w:top w:val="nil"/>
              <w:left w:val="nil"/>
              <w:bottom w:val="nil"/>
              <w:right w:val="nil"/>
            </w:tcBorders>
            <w:shd w:val="clear" w:color="auto" w:fill="auto"/>
            <w:vAlign w:val="center"/>
          </w:tcPr>
          <w:p w14:paraId="1A0804E9" w14:textId="6761EEF6" w:rsidR="00FC7D65" w:rsidRPr="00176BA0" w:rsidRDefault="00FC7D65" w:rsidP="00FC7D65">
            <w:pPr>
              <w:keepNext/>
              <w:keepLines/>
              <w:widowControl w:val="0"/>
              <w:jc w:val="center"/>
              <w:rPr>
                <w:sz w:val="18"/>
                <w:szCs w:val="18"/>
                <w:highlight w:val="yellow"/>
              </w:rPr>
            </w:pPr>
            <w:r w:rsidRPr="00176BA0">
              <w:rPr>
                <w:sz w:val="18"/>
                <w:szCs w:val="18"/>
              </w:rPr>
              <w:t>2</w:t>
            </w:r>
          </w:p>
        </w:tc>
        <w:tc>
          <w:tcPr>
            <w:tcW w:w="740" w:type="pct"/>
            <w:tcBorders>
              <w:top w:val="nil"/>
              <w:left w:val="nil"/>
              <w:bottom w:val="nil"/>
              <w:right w:val="nil"/>
            </w:tcBorders>
            <w:shd w:val="clear" w:color="auto" w:fill="auto"/>
            <w:vAlign w:val="center"/>
          </w:tcPr>
          <w:p w14:paraId="40B12C58" w14:textId="3319487B" w:rsidR="00FC7D65" w:rsidRPr="00176BA0" w:rsidRDefault="00FC7D65" w:rsidP="00FC7D65">
            <w:pPr>
              <w:keepNext/>
              <w:keepLines/>
              <w:widowControl w:val="0"/>
              <w:jc w:val="center"/>
              <w:rPr>
                <w:sz w:val="18"/>
                <w:szCs w:val="18"/>
                <w:highlight w:val="yellow"/>
              </w:rPr>
            </w:pPr>
            <w:r w:rsidRPr="00176BA0">
              <w:rPr>
                <w:sz w:val="18"/>
                <w:szCs w:val="18"/>
              </w:rPr>
              <w:t>17</w:t>
            </w:r>
          </w:p>
        </w:tc>
        <w:tc>
          <w:tcPr>
            <w:tcW w:w="739" w:type="pct"/>
            <w:tcBorders>
              <w:top w:val="nil"/>
              <w:left w:val="nil"/>
              <w:bottom w:val="nil"/>
              <w:right w:val="nil"/>
            </w:tcBorders>
            <w:shd w:val="clear" w:color="auto" w:fill="auto"/>
            <w:vAlign w:val="center"/>
          </w:tcPr>
          <w:p w14:paraId="67FF13AB" w14:textId="52978392" w:rsidR="00FC7D65" w:rsidRPr="00176BA0" w:rsidRDefault="00FC7D65" w:rsidP="00FC7D65">
            <w:pPr>
              <w:keepNext/>
              <w:keepLines/>
              <w:widowControl w:val="0"/>
              <w:jc w:val="center"/>
              <w:rPr>
                <w:sz w:val="18"/>
                <w:szCs w:val="18"/>
              </w:rPr>
            </w:pPr>
            <w:r w:rsidRPr="00176BA0">
              <w:rPr>
                <w:sz w:val="18"/>
                <w:szCs w:val="18"/>
              </w:rPr>
              <w:t>1</w:t>
            </w:r>
          </w:p>
        </w:tc>
        <w:tc>
          <w:tcPr>
            <w:tcW w:w="739" w:type="pct"/>
            <w:tcBorders>
              <w:top w:val="nil"/>
              <w:left w:val="nil"/>
              <w:bottom w:val="nil"/>
              <w:right w:val="nil"/>
            </w:tcBorders>
            <w:shd w:val="clear" w:color="auto" w:fill="auto"/>
            <w:vAlign w:val="center"/>
          </w:tcPr>
          <w:p w14:paraId="3FA26FF2" w14:textId="11E0E1B9" w:rsidR="00FC7D65" w:rsidRPr="00176BA0" w:rsidRDefault="00FC7D65" w:rsidP="00FC7D65">
            <w:pPr>
              <w:keepNext/>
              <w:keepLines/>
              <w:widowControl w:val="0"/>
              <w:jc w:val="center"/>
              <w:rPr>
                <w:sz w:val="18"/>
                <w:szCs w:val="18"/>
              </w:rPr>
            </w:pPr>
            <w:r w:rsidRPr="00176BA0">
              <w:rPr>
                <w:sz w:val="18"/>
                <w:szCs w:val="18"/>
              </w:rPr>
              <w:t>14</w:t>
            </w:r>
          </w:p>
        </w:tc>
      </w:tr>
      <w:tr w:rsidR="00FC7D65" w:rsidRPr="00176BA0" w14:paraId="21B38E40" w14:textId="77777777" w:rsidTr="00176BA0">
        <w:trPr>
          <w:trHeight w:val="283"/>
          <w:jc w:val="center"/>
        </w:trPr>
        <w:tc>
          <w:tcPr>
            <w:tcW w:w="2042" w:type="pct"/>
            <w:tcBorders>
              <w:top w:val="nil"/>
              <w:left w:val="nil"/>
              <w:bottom w:val="nil"/>
              <w:right w:val="nil"/>
            </w:tcBorders>
            <w:shd w:val="clear" w:color="auto" w:fill="auto"/>
            <w:vAlign w:val="center"/>
            <w:hideMark/>
          </w:tcPr>
          <w:p w14:paraId="7A750627" w14:textId="77777777" w:rsidR="00FC7D65" w:rsidRPr="00176BA0" w:rsidRDefault="00FC7D65" w:rsidP="00176BA0">
            <w:pPr>
              <w:keepNext/>
              <w:keepLines/>
              <w:widowControl w:val="0"/>
              <w:ind w:left="215"/>
              <w:rPr>
                <w:rFonts w:eastAsia="Times New Roman"/>
                <w:sz w:val="18"/>
                <w:szCs w:val="18"/>
              </w:rPr>
            </w:pPr>
            <w:r w:rsidRPr="00176BA0">
              <w:rPr>
                <w:rFonts w:eastAsia="Times New Roman"/>
                <w:sz w:val="18"/>
                <w:szCs w:val="18"/>
              </w:rPr>
              <w:t>Administrativos/Coordinadores</w:t>
            </w:r>
          </w:p>
        </w:tc>
        <w:tc>
          <w:tcPr>
            <w:tcW w:w="739" w:type="pct"/>
            <w:tcBorders>
              <w:top w:val="nil"/>
              <w:left w:val="nil"/>
              <w:bottom w:val="nil"/>
              <w:right w:val="nil"/>
            </w:tcBorders>
            <w:shd w:val="clear" w:color="auto" w:fill="auto"/>
            <w:vAlign w:val="center"/>
          </w:tcPr>
          <w:p w14:paraId="7679F8F5" w14:textId="6BFE6CD9" w:rsidR="00FC7D65" w:rsidRPr="00176BA0" w:rsidRDefault="00FC7D65" w:rsidP="00FC7D65">
            <w:pPr>
              <w:keepNext/>
              <w:keepLines/>
              <w:widowControl w:val="0"/>
              <w:jc w:val="center"/>
              <w:rPr>
                <w:sz w:val="18"/>
                <w:szCs w:val="18"/>
                <w:highlight w:val="yellow"/>
              </w:rPr>
            </w:pPr>
            <w:r w:rsidRPr="00176BA0">
              <w:rPr>
                <w:sz w:val="18"/>
                <w:szCs w:val="18"/>
              </w:rPr>
              <w:t>2</w:t>
            </w:r>
          </w:p>
        </w:tc>
        <w:tc>
          <w:tcPr>
            <w:tcW w:w="740" w:type="pct"/>
            <w:tcBorders>
              <w:top w:val="nil"/>
              <w:left w:val="nil"/>
              <w:bottom w:val="nil"/>
              <w:right w:val="nil"/>
            </w:tcBorders>
            <w:shd w:val="clear" w:color="auto" w:fill="auto"/>
            <w:vAlign w:val="center"/>
          </w:tcPr>
          <w:p w14:paraId="4050B355" w14:textId="1AA2BCB1" w:rsidR="00FC7D65" w:rsidRPr="00176BA0" w:rsidRDefault="00FC7D65" w:rsidP="00FC7D65">
            <w:pPr>
              <w:keepNext/>
              <w:keepLines/>
              <w:widowControl w:val="0"/>
              <w:jc w:val="center"/>
              <w:rPr>
                <w:sz w:val="18"/>
                <w:szCs w:val="18"/>
                <w:highlight w:val="yellow"/>
              </w:rPr>
            </w:pPr>
            <w:r w:rsidRPr="00176BA0">
              <w:rPr>
                <w:sz w:val="18"/>
                <w:szCs w:val="18"/>
              </w:rPr>
              <w:t>10</w:t>
            </w:r>
          </w:p>
        </w:tc>
        <w:tc>
          <w:tcPr>
            <w:tcW w:w="739" w:type="pct"/>
            <w:tcBorders>
              <w:top w:val="nil"/>
              <w:left w:val="nil"/>
              <w:bottom w:val="nil"/>
              <w:right w:val="nil"/>
            </w:tcBorders>
            <w:shd w:val="clear" w:color="auto" w:fill="auto"/>
            <w:vAlign w:val="center"/>
          </w:tcPr>
          <w:p w14:paraId="72FCA61B" w14:textId="6666BD6F" w:rsidR="00FC7D65" w:rsidRPr="00176BA0" w:rsidRDefault="00FC7D65" w:rsidP="00FC7D65">
            <w:pPr>
              <w:keepNext/>
              <w:keepLines/>
              <w:widowControl w:val="0"/>
              <w:jc w:val="center"/>
              <w:rPr>
                <w:sz w:val="18"/>
                <w:szCs w:val="18"/>
              </w:rPr>
            </w:pPr>
            <w:r w:rsidRPr="00176BA0">
              <w:rPr>
                <w:sz w:val="18"/>
                <w:szCs w:val="18"/>
              </w:rPr>
              <w:t>1</w:t>
            </w:r>
          </w:p>
        </w:tc>
        <w:tc>
          <w:tcPr>
            <w:tcW w:w="739" w:type="pct"/>
            <w:tcBorders>
              <w:top w:val="nil"/>
              <w:left w:val="nil"/>
              <w:bottom w:val="nil"/>
              <w:right w:val="nil"/>
            </w:tcBorders>
            <w:shd w:val="clear" w:color="auto" w:fill="auto"/>
            <w:vAlign w:val="center"/>
          </w:tcPr>
          <w:p w14:paraId="617D5F08" w14:textId="1DD3CF57" w:rsidR="00FC7D65" w:rsidRPr="00176BA0" w:rsidRDefault="00FC7D65" w:rsidP="00FC7D65">
            <w:pPr>
              <w:keepNext/>
              <w:keepLines/>
              <w:widowControl w:val="0"/>
              <w:jc w:val="center"/>
              <w:rPr>
                <w:sz w:val="18"/>
                <w:szCs w:val="18"/>
              </w:rPr>
            </w:pPr>
            <w:r w:rsidRPr="00176BA0">
              <w:rPr>
                <w:sz w:val="18"/>
                <w:szCs w:val="18"/>
              </w:rPr>
              <w:t>6</w:t>
            </w:r>
          </w:p>
        </w:tc>
      </w:tr>
      <w:tr w:rsidR="00FC7D65" w:rsidRPr="00176BA0" w14:paraId="549589B0" w14:textId="77777777" w:rsidTr="00176BA0">
        <w:trPr>
          <w:trHeight w:val="283"/>
          <w:jc w:val="center"/>
        </w:trPr>
        <w:tc>
          <w:tcPr>
            <w:tcW w:w="2042" w:type="pct"/>
            <w:tcBorders>
              <w:top w:val="nil"/>
              <w:left w:val="nil"/>
              <w:bottom w:val="single" w:sz="4" w:space="0" w:color="auto"/>
              <w:right w:val="nil"/>
            </w:tcBorders>
            <w:shd w:val="clear" w:color="auto" w:fill="auto"/>
            <w:vAlign w:val="center"/>
            <w:hideMark/>
          </w:tcPr>
          <w:p w14:paraId="0064E6A6" w14:textId="77777777" w:rsidR="00FC7D65" w:rsidRPr="00176BA0" w:rsidRDefault="00FC7D65" w:rsidP="00176BA0">
            <w:pPr>
              <w:keepNext/>
              <w:keepLines/>
              <w:widowControl w:val="0"/>
              <w:ind w:left="215"/>
              <w:rPr>
                <w:rFonts w:eastAsia="Times New Roman"/>
                <w:sz w:val="18"/>
                <w:szCs w:val="18"/>
              </w:rPr>
            </w:pPr>
            <w:r w:rsidRPr="00176BA0">
              <w:rPr>
                <w:rFonts w:eastAsia="Times New Roman"/>
                <w:sz w:val="18"/>
                <w:szCs w:val="18"/>
              </w:rPr>
              <w:t>Otros</w:t>
            </w:r>
          </w:p>
        </w:tc>
        <w:tc>
          <w:tcPr>
            <w:tcW w:w="739" w:type="pct"/>
            <w:tcBorders>
              <w:top w:val="nil"/>
              <w:left w:val="nil"/>
              <w:bottom w:val="single" w:sz="4" w:space="0" w:color="auto"/>
              <w:right w:val="nil"/>
            </w:tcBorders>
            <w:shd w:val="clear" w:color="auto" w:fill="auto"/>
            <w:vAlign w:val="center"/>
          </w:tcPr>
          <w:p w14:paraId="39F12707" w14:textId="702D8F84" w:rsidR="00FC7D65" w:rsidRPr="00176BA0" w:rsidRDefault="00FC7D65" w:rsidP="00FC7D65">
            <w:pPr>
              <w:keepNext/>
              <w:keepLines/>
              <w:widowControl w:val="0"/>
              <w:jc w:val="center"/>
              <w:rPr>
                <w:sz w:val="18"/>
                <w:szCs w:val="18"/>
                <w:highlight w:val="yellow"/>
              </w:rPr>
            </w:pPr>
            <w:r w:rsidRPr="00176BA0">
              <w:rPr>
                <w:sz w:val="18"/>
                <w:szCs w:val="18"/>
              </w:rPr>
              <w:t>1</w:t>
            </w:r>
          </w:p>
        </w:tc>
        <w:tc>
          <w:tcPr>
            <w:tcW w:w="740" w:type="pct"/>
            <w:tcBorders>
              <w:top w:val="nil"/>
              <w:left w:val="nil"/>
              <w:bottom w:val="single" w:sz="4" w:space="0" w:color="auto"/>
              <w:right w:val="nil"/>
            </w:tcBorders>
            <w:shd w:val="clear" w:color="auto" w:fill="auto"/>
            <w:vAlign w:val="center"/>
          </w:tcPr>
          <w:p w14:paraId="7372FE46" w14:textId="1EE7A428" w:rsidR="00FC7D65" w:rsidRPr="00176BA0" w:rsidRDefault="00FC7D65" w:rsidP="00FC7D65">
            <w:pPr>
              <w:keepNext/>
              <w:keepLines/>
              <w:widowControl w:val="0"/>
              <w:jc w:val="center"/>
              <w:rPr>
                <w:sz w:val="18"/>
                <w:szCs w:val="18"/>
                <w:highlight w:val="yellow"/>
              </w:rPr>
            </w:pPr>
            <w:r w:rsidRPr="00176BA0">
              <w:rPr>
                <w:sz w:val="18"/>
                <w:szCs w:val="18"/>
              </w:rPr>
              <w:t>1</w:t>
            </w:r>
          </w:p>
        </w:tc>
        <w:tc>
          <w:tcPr>
            <w:tcW w:w="739" w:type="pct"/>
            <w:tcBorders>
              <w:top w:val="nil"/>
              <w:left w:val="nil"/>
              <w:bottom w:val="single" w:sz="4" w:space="0" w:color="auto"/>
              <w:right w:val="nil"/>
            </w:tcBorders>
            <w:shd w:val="clear" w:color="auto" w:fill="auto"/>
            <w:vAlign w:val="center"/>
          </w:tcPr>
          <w:p w14:paraId="1D91BDA4" w14:textId="01926790" w:rsidR="00FC7D65" w:rsidRPr="00176BA0" w:rsidRDefault="00FC7D65" w:rsidP="00FC7D65">
            <w:pPr>
              <w:keepNext/>
              <w:keepLines/>
              <w:widowControl w:val="0"/>
              <w:jc w:val="center"/>
              <w:rPr>
                <w:sz w:val="18"/>
                <w:szCs w:val="18"/>
              </w:rPr>
            </w:pPr>
            <w:r w:rsidRPr="00176BA0">
              <w:rPr>
                <w:sz w:val="18"/>
                <w:szCs w:val="18"/>
              </w:rPr>
              <w:t>1</w:t>
            </w:r>
          </w:p>
        </w:tc>
        <w:tc>
          <w:tcPr>
            <w:tcW w:w="739" w:type="pct"/>
            <w:tcBorders>
              <w:top w:val="nil"/>
              <w:left w:val="nil"/>
              <w:bottom w:val="single" w:sz="4" w:space="0" w:color="auto"/>
              <w:right w:val="nil"/>
            </w:tcBorders>
            <w:shd w:val="clear" w:color="auto" w:fill="auto"/>
            <w:vAlign w:val="center"/>
          </w:tcPr>
          <w:p w14:paraId="7B24F9F1" w14:textId="3951B39B" w:rsidR="00FC7D65" w:rsidRPr="00176BA0" w:rsidRDefault="00FC7D65" w:rsidP="00FC7D65">
            <w:pPr>
              <w:keepNext/>
              <w:keepLines/>
              <w:widowControl w:val="0"/>
              <w:jc w:val="center"/>
              <w:rPr>
                <w:sz w:val="18"/>
                <w:szCs w:val="18"/>
              </w:rPr>
            </w:pPr>
            <w:r w:rsidRPr="00176BA0">
              <w:rPr>
                <w:sz w:val="18"/>
                <w:szCs w:val="18"/>
              </w:rPr>
              <w:t>1</w:t>
            </w:r>
          </w:p>
        </w:tc>
      </w:tr>
      <w:tr w:rsidR="00FC7D65" w:rsidRPr="00176BA0" w14:paraId="63EDE037" w14:textId="77777777" w:rsidTr="00176BA0">
        <w:trPr>
          <w:trHeight w:val="283"/>
          <w:jc w:val="center"/>
        </w:trPr>
        <w:tc>
          <w:tcPr>
            <w:tcW w:w="2042" w:type="pct"/>
            <w:tcBorders>
              <w:top w:val="nil"/>
              <w:left w:val="nil"/>
              <w:bottom w:val="single" w:sz="4" w:space="0" w:color="auto"/>
              <w:right w:val="nil"/>
            </w:tcBorders>
            <w:shd w:val="clear" w:color="auto" w:fill="auto"/>
            <w:vAlign w:val="center"/>
            <w:hideMark/>
          </w:tcPr>
          <w:p w14:paraId="07CFF796" w14:textId="77777777" w:rsidR="00FC7D65" w:rsidRPr="00176BA0" w:rsidRDefault="00FC7D65" w:rsidP="00176BA0">
            <w:pPr>
              <w:keepNext/>
              <w:keepLines/>
              <w:widowControl w:val="0"/>
              <w:ind w:left="215"/>
              <w:rPr>
                <w:rFonts w:eastAsia="Times New Roman"/>
                <w:b/>
                <w:sz w:val="18"/>
                <w:szCs w:val="18"/>
              </w:rPr>
            </w:pPr>
            <w:r w:rsidRPr="00176BA0">
              <w:rPr>
                <w:rFonts w:eastAsia="Times New Roman"/>
                <w:sz w:val="18"/>
                <w:szCs w:val="18"/>
              </w:rPr>
              <w:t> </w:t>
            </w:r>
            <w:r w:rsidRPr="00176BA0">
              <w:rPr>
                <w:rFonts w:eastAsia="Times New Roman"/>
                <w:b/>
                <w:sz w:val="18"/>
                <w:szCs w:val="18"/>
              </w:rPr>
              <w:t>Total</w:t>
            </w:r>
          </w:p>
        </w:tc>
        <w:tc>
          <w:tcPr>
            <w:tcW w:w="739" w:type="pct"/>
            <w:tcBorders>
              <w:top w:val="nil"/>
              <w:left w:val="nil"/>
              <w:bottom w:val="single" w:sz="4" w:space="0" w:color="auto"/>
              <w:right w:val="nil"/>
            </w:tcBorders>
            <w:shd w:val="clear" w:color="auto" w:fill="auto"/>
            <w:vAlign w:val="center"/>
          </w:tcPr>
          <w:p w14:paraId="5059F661" w14:textId="379146E8" w:rsidR="00FC7D65" w:rsidRPr="00176BA0" w:rsidRDefault="00FC7D65" w:rsidP="00FC7D65">
            <w:pPr>
              <w:keepNext/>
              <w:keepLines/>
              <w:widowControl w:val="0"/>
              <w:jc w:val="center"/>
              <w:rPr>
                <w:b/>
                <w:bCs/>
                <w:sz w:val="18"/>
                <w:szCs w:val="18"/>
                <w:highlight w:val="yellow"/>
              </w:rPr>
            </w:pPr>
            <w:r w:rsidRPr="00176BA0">
              <w:rPr>
                <w:b/>
                <w:bCs/>
                <w:sz w:val="18"/>
                <w:szCs w:val="18"/>
              </w:rPr>
              <w:t>12</w:t>
            </w:r>
          </w:p>
        </w:tc>
        <w:tc>
          <w:tcPr>
            <w:tcW w:w="740" w:type="pct"/>
            <w:tcBorders>
              <w:top w:val="nil"/>
              <w:left w:val="nil"/>
              <w:bottom w:val="single" w:sz="4" w:space="0" w:color="auto"/>
              <w:right w:val="nil"/>
            </w:tcBorders>
            <w:shd w:val="clear" w:color="auto" w:fill="auto"/>
            <w:vAlign w:val="center"/>
          </w:tcPr>
          <w:p w14:paraId="264DCC9E" w14:textId="5B5A0AD8" w:rsidR="00FC7D65" w:rsidRPr="00176BA0" w:rsidRDefault="00FC7D65" w:rsidP="00FC7D65">
            <w:pPr>
              <w:keepNext/>
              <w:keepLines/>
              <w:widowControl w:val="0"/>
              <w:jc w:val="center"/>
              <w:rPr>
                <w:b/>
                <w:bCs/>
                <w:sz w:val="18"/>
                <w:szCs w:val="18"/>
                <w:highlight w:val="yellow"/>
              </w:rPr>
            </w:pPr>
            <w:r w:rsidRPr="00176BA0">
              <w:rPr>
                <w:b/>
                <w:bCs/>
                <w:sz w:val="18"/>
                <w:szCs w:val="18"/>
              </w:rPr>
              <w:t>44</w:t>
            </w:r>
          </w:p>
        </w:tc>
        <w:tc>
          <w:tcPr>
            <w:tcW w:w="739" w:type="pct"/>
            <w:tcBorders>
              <w:top w:val="nil"/>
              <w:left w:val="nil"/>
              <w:bottom w:val="single" w:sz="4" w:space="0" w:color="auto"/>
              <w:right w:val="nil"/>
            </w:tcBorders>
            <w:shd w:val="clear" w:color="auto" w:fill="auto"/>
            <w:vAlign w:val="center"/>
          </w:tcPr>
          <w:p w14:paraId="11AF9A06" w14:textId="321BEAD9" w:rsidR="00FC7D65" w:rsidRPr="00176BA0" w:rsidRDefault="00FC7D65" w:rsidP="00FC7D65">
            <w:pPr>
              <w:keepNext/>
              <w:keepLines/>
              <w:widowControl w:val="0"/>
              <w:jc w:val="center"/>
              <w:rPr>
                <w:b/>
                <w:bCs/>
                <w:sz w:val="18"/>
                <w:szCs w:val="18"/>
              </w:rPr>
            </w:pPr>
            <w:r w:rsidRPr="00176BA0">
              <w:rPr>
                <w:b/>
                <w:bCs/>
                <w:sz w:val="18"/>
                <w:szCs w:val="18"/>
              </w:rPr>
              <w:t>10</w:t>
            </w:r>
          </w:p>
        </w:tc>
        <w:tc>
          <w:tcPr>
            <w:tcW w:w="739" w:type="pct"/>
            <w:tcBorders>
              <w:top w:val="nil"/>
              <w:left w:val="nil"/>
              <w:bottom w:val="single" w:sz="4" w:space="0" w:color="auto"/>
              <w:right w:val="nil"/>
            </w:tcBorders>
            <w:shd w:val="clear" w:color="auto" w:fill="auto"/>
            <w:vAlign w:val="center"/>
          </w:tcPr>
          <w:p w14:paraId="18B49CBE" w14:textId="3E3FEF4E" w:rsidR="00FC7D65" w:rsidRPr="00176BA0" w:rsidRDefault="00FC7D65" w:rsidP="00FC7D65">
            <w:pPr>
              <w:keepNext/>
              <w:keepLines/>
              <w:widowControl w:val="0"/>
              <w:jc w:val="center"/>
              <w:rPr>
                <w:b/>
                <w:bCs/>
                <w:sz w:val="18"/>
                <w:szCs w:val="18"/>
              </w:rPr>
            </w:pPr>
            <w:r w:rsidRPr="00176BA0">
              <w:rPr>
                <w:b/>
                <w:bCs/>
                <w:sz w:val="18"/>
                <w:szCs w:val="18"/>
              </w:rPr>
              <w:t>34</w:t>
            </w:r>
          </w:p>
        </w:tc>
      </w:tr>
    </w:tbl>
    <w:p w14:paraId="37BF8ADA" w14:textId="5B3A4468"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El total de empleados medios del ejercicio 20</w:t>
      </w:r>
      <w:r w:rsidR="00322E9D" w:rsidRPr="00176BA0">
        <w:rPr>
          <w:snapToGrid w:val="0"/>
          <w:sz w:val="20"/>
          <w:szCs w:val="22"/>
        </w:rPr>
        <w:t>2</w:t>
      </w:r>
      <w:r w:rsidR="00734BAD" w:rsidRPr="00176BA0">
        <w:rPr>
          <w:snapToGrid w:val="0"/>
          <w:sz w:val="20"/>
          <w:szCs w:val="22"/>
        </w:rPr>
        <w:t>1</w:t>
      </w:r>
      <w:r w:rsidRPr="00176BA0">
        <w:rPr>
          <w:snapToGrid w:val="0"/>
          <w:sz w:val="20"/>
          <w:szCs w:val="22"/>
        </w:rPr>
        <w:t xml:space="preserve"> ascendió </w:t>
      </w:r>
      <w:r w:rsidR="009E1CF7" w:rsidRPr="00176BA0">
        <w:rPr>
          <w:snapToGrid w:val="0"/>
          <w:sz w:val="20"/>
          <w:szCs w:val="22"/>
        </w:rPr>
        <w:t xml:space="preserve">a </w:t>
      </w:r>
      <w:r w:rsidR="00FC7D65" w:rsidRPr="00176BA0">
        <w:rPr>
          <w:snapToGrid w:val="0"/>
          <w:sz w:val="20"/>
          <w:szCs w:val="22"/>
        </w:rPr>
        <w:t>56</w:t>
      </w:r>
      <w:r w:rsidR="00E721DC" w:rsidRPr="00176BA0">
        <w:rPr>
          <w:snapToGrid w:val="0"/>
          <w:sz w:val="20"/>
          <w:szCs w:val="22"/>
        </w:rPr>
        <w:t xml:space="preserve"> </w:t>
      </w:r>
      <w:r w:rsidR="00A14949" w:rsidRPr="00176BA0">
        <w:rPr>
          <w:snapToGrid w:val="0"/>
          <w:sz w:val="20"/>
          <w:szCs w:val="22"/>
        </w:rPr>
        <w:t>(4</w:t>
      </w:r>
      <w:r w:rsidR="00734BAD" w:rsidRPr="00176BA0">
        <w:rPr>
          <w:snapToGrid w:val="0"/>
          <w:sz w:val="20"/>
          <w:szCs w:val="22"/>
        </w:rPr>
        <w:t>4</w:t>
      </w:r>
      <w:r w:rsidR="00A14949" w:rsidRPr="00176BA0">
        <w:rPr>
          <w:snapToGrid w:val="0"/>
          <w:sz w:val="20"/>
          <w:szCs w:val="22"/>
        </w:rPr>
        <w:t xml:space="preserve"> en </w:t>
      </w:r>
      <w:r w:rsidR="00954AA6">
        <w:rPr>
          <w:snapToGrid w:val="0"/>
          <w:sz w:val="20"/>
          <w:szCs w:val="22"/>
        </w:rPr>
        <w:t>el ejercicio anterior</w:t>
      </w:r>
      <w:r w:rsidRPr="00176BA0">
        <w:rPr>
          <w:snapToGrid w:val="0"/>
          <w:sz w:val="20"/>
          <w:szCs w:val="22"/>
        </w:rPr>
        <w:t xml:space="preserve">). </w:t>
      </w:r>
    </w:p>
    <w:p w14:paraId="4A3EA41D"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 xml:space="preserve">Incluidas en el cuadro anterior, el desglose de las personas empleadas en el curso del ejercicio con discapacidad mayor o igual del 33% por categorías, es el siguiente: </w:t>
      </w:r>
    </w:p>
    <w:tbl>
      <w:tblPr>
        <w:tblW w:w="5000" w:type="pct"/>
        <w:jc w:val="center"/>
        <w:tblCellMar>
          <w:left w:w="70" w:type="dxa"/>
          <w:right w:w="70" w:type="dxa"/>
        </w:tblCellMar>
        <w:tblLook w:val="04A0" w:firstRow="1" w:lastRow="0" w:firstColumn="1" w:lastColumn="0" w:noHBand="0" w:noVBand="1"/>
      </w:tblPr>
      <w:tblGrid>
        <w:gridCol w:w="4981"/>
        <w:gridCol w:w="1900"/>
        <w:gridCol w:w="1900"/>
      </w:tblGrid>
      <w:tr w:rsidR="007B27DA" w:rsidRPr="00176BA0" w14:paraId="2DCE7CA8" w14:textId="77777777" w:rsidTr="00176BA0">
        <w:trPr>
          <w:trHeight w:val="283"/>
          <w:jc w:val="center"/>
        </w:trPr>
        <w:tc>
          <w:tcPr>
            <w:tcW w:w="2835" w:type="pct"/>
            <w:tcBorders>
              <w:top w:val="single" w:sz="4" w:space="0" w:color="auto"/>
              <w:left w:val="nil"/>
              <w:bottom w:val="single" w:sz="4" w:space="0" w:color="auto"/>
              <w:right w:val="nil"/>
            </w:tcBorders>
            <w:shd w:val="clear" w:color="auto" w:fill="auto"/>
            <w:vAlign w:val="bottom"/>
            <w:hideMark/>
          </w:tcPr>
          <w:p w14:paraId="602ABAFC" w14:textId="77777777" w:rsidR="007B27DA" w:rsidRPr="00176BA0" w:rsidRDefault="007B27DA" w:rsidP="00176BA0">
            <w:pPr>
              <w:keepNext/>
              <w:keepLines/>
              <w:ind w:left="215"/>
              <w:jc w:val="center"/>
              <w:rPr>
                <w:rFonts w:eastAsia="Times New Roman"/>
                <w:b/>
                <w:bCs/>
                <w:sz w:val="18"/>
                <w:szCs w:val="18"/>
              </w:rPr>
            </w:pPr>
            <w:r w:rsidRPr="00176BA0">
              <w:rPr>
                <w:rFonts w:eastAsia="Times New Roman"/>
                <w:b/>
                <w:bCs/>
                <w:sz w:val="18"/>
                <w:szCs w:val="18"/>
              </w:rPr>
              <w:t>Categoría</w:t>
            </w:r>
          </w:p>
        </w:tc>
        <w:tc>
          <w:tcPr>
            <w:tcW w:w="1082" w:type="pct"/>
            <w:tcBorders>
              <w:top w:val="single" w:sz="4" w:space="0" w:color="auto"/>
              <w:left w:val="nil"/>
              <w:bottom w:val="single" w:sz="4" w:space="0" w:color="auto"/>
              <w:right w:val="nil"/>
            </w:tcBorders>
            <w:shd w:val="clear" w:color="auto" w:fill="auto"/>
            <w:vAlign w:val="bottom"/>
            <w:hideMark/>
          </w:tcPr>
          <w:p w14:paraId="62543634" w14:textId="585AB83D" w:rsidR="007B27DA" w:rsidRPr="00176BA0" w:rsidRDefault="007B27DA" w:rsidP="007B27DA">
            <w:pPr>
              <w:keepNext/>
              <w:keepLines/>
              <w:jc w:val="center"/>
              <w:rPr>
                <w:rFonts w:eastAsia="Times New Roman"/>
                <w:b/>
                <w:bCs/>
                <w:sz w:val="18"/>
                <w:szCs w:val="18"/>
              </w:rPr>
            </w:pPr>
            <w:r w:rsidRPr="00176BA0">
              <w:rPr>
                <w:rFonts w:eastAsia="Times New Roman"/>
                <w:b/>
                <w:bCs/>
                <w:sz w:val="18"/>
                <w:szCs w:val="18"/>
              </w:rPr>
              <w:t>202</w:t>
            </w:r>
            <w:r w:rsidR="00F80C42" w:rsidRPr="00176BA0">
              <w:rPr>
                <w:rFonts w:eastAsia="Times New Roman"/>
                <w:b/>
                <w:bCs/>
                <w:sz w:val="18"/>
                <w:szCs w:val="18"/>
              </w:rPr>
              <w:t>1</w:t>
            </w:r>
          </w:p>
        </w:tc>
        <w:tc>
          <w:tcPr>
            <w:tcW w:w="1082" w:type="pct"/>
            <w:tcBorders>
              <w:top w:val="single" w:sz="4" w:space="0" w:color="auto"/>
              <w:left w:val="nil"/>
              <w:bottom w:val="single" w:sz="4" w:space="0" w:color="auto"/>
              <w:right w:val="nil"/>
            </w:tcBorders>
            <w:vAlign w:val="bottom"/>
          </w:tcPr>
          <w:p w14:paraId="53B04EDE" w14:textId="591C81BD" w:rsidR="007B27DA" w:rsidRPr="00176BA0" w:rsidRDefault="007B27DA" w:rsidP="007B27DA">
            <w:pPr>
              <w:keepNext/>
              <w:keepLines/>
              <w:jc w:val="center"/>
              <w:rPr>
                <w:rFonts w:eastAsia="Times New Roman"/>
                <w:b/>
                <w:bCs/>
                <w:sz w:val="18"/>
                <w:szCs w:val="18"/>
              </w:rPr>
            </w:pPr>
            <w:r w:rsidRPr="00176BA0">
              <w:rPr>
                <w:rFonts w:eastAsia="Times New Roman"/>
                <w:b/>
                <w:bCs/>
                <w:sz w:val="18"/>
                <w:szCs w:val="18"/>
              </w:rPr>
              <w:t>20</w:t>
            </w:r>
            <w:r w:rsidR="00F80C42" w:rsidRPr="00176BA0">
              <w:rPr>
                <w:rFonts w:eastAsia="Times New Roman"/>
                <w:b/>
                <w:bCs/>
                <w:sz w:val="18"/>
                <w:szCs w:val="18"/>
              </w:rPr>
              <w:t>20</w:t>
            </w:r>
          </w:p>
        </w:tc>
      </w:tr>
      <w:tr w:rsidR="007B27DA" w:rsidRPr="00176BA0" w14:paraId="6F5B66F7" w14:textId="77777777" w:rsidTr="00176BA0">
        <w:trPr>
          <w:trHeight w:val="283"/>
          <w:jc w:val="center"/>
        </w:trPr>
        <w:tc>
          <w:tcPr>
            <w:tcW w:w="2835" w:type="pct"/>
            <w:tcBorders>
              <w:top w:val="nil"/>
              <w:left w:val="nil"/>
              <w:bottom w:val="nil"/>
              <w:right w:val="nil"/>
            </w:tcBorders>
            <w:shd w:val="clear" w:color="auto" w:fill="auto"/>
            <w:vAlign w:val="center"/>
            <w:hideMark/>
          </w:tcPr>
          <w:p w14:paraId="659102FC" w14:textId="77777777" w:rsidR="007B27DA" w:rsidRPr="00176BA0" w:rsidRDefault="007B27DA" w:rsidP="00176BA0">
            <w:pPr>
              <w:keepNext/>
              <w:keepLines/>
              <w:ind w:left="215"/>
              <w:rPr>
                <w:rFonts w:eastAsia="Times New Roman"/>
                <w:sz w:val="18"/>
                <w:szCs w:val="18"/>
              </w:rPr>
            </w:pPr>
            <w:r w:rsidRPr="00176BA0">
              <w:rPr>
                <w:rFonts w:eastAsia="Times New Roman"/>
                <w:sz w:val="18"/>
                <w:szCs w:val="18"/>
              </w:rPr>
              <w:t>Técnicos medios</w:t>
            </w:r>
          </w:p>
        </w:tc>
        <w:tc>
          <w:tcPr>
            <w:tcW w:w="1082" w:type="pct"/>
            <w:tcBorders>
              <w:top w:val="nil"/>
              <w:left w:val="nil"/>
              <w:bottom w:val="nil"/>
              <w:right w:val="nil"/>
            </w:tcBorders>
            <w:shd w:val="clear" w:color="auto" w:fill="auto"/>
            <w:vAlign w:val="center"/>
            <w:hideMark/>
          </w:tcPr>
          <w:p w14:paraId="072C621B" w14:textId="77777777" w:rsidR="007B27DA" w:rsidRPr="00176BA0" w:rsidRDefault="007B27DA" w:rsidP="007B27DA">
            <w:pPr>
              <w:keepNext/>
              <w:keepLines/>
              <w:jc w:val="center"/>
              <w:rPr>
                <w:rFonts w:eastAsia="Times New Roman"/>
                <w:sz w:val="18"/>
                <w:szCs w:val="18"/>
              </w:rPr>
            </w:pPr>
            <w:r w:rsidRPr="00176BA0">
              <w:rPr>
                <w:rFonts w:eastAsia="Times New Roman"/>
                <w:sz w:val="18"/>
                <w:szCs w:val="18"/>
              </w:rPr>
              <w:t>1</w:t>
            </w:r>
          </w:p>
        </w:tc>
        <w:tc>
          <w:tcPr>
            <w:tcW w:w="1082" w:type="pct"/>
            <w:tcBorders>
              <w:top w:val="nil"/>
              <w:left w:val="nil"/>
              <w:bottom w:val="nil"/>
              <w:right w:val="nil"/>
            </w:tcBorders>
            <w:vAlign w:val="center"/>
          </w:tcPr>
          <w:p w14:paraId="4CBC5025" w14:textId="77777777" w:rsidR="007B27DA" w:rsidRPr="00176BA0" w:rsidRDefault="007B27DA" w:rsidP="007B27DA">
            <w:pPr>
              <w:keepNext/>
              <w:keepLines/>
              <w:jc w:val="center"/>
              <w:rPr>
                <w:rFonts w:eastAsia="Times New Roman"/>
                <w:sz w:val="18"/>
                <w:szCs w:val="18"/>
              </w:rPr>
            </w:pPr>
            <w:r w:rsidRPr="00176BA0">
              <w:rPr>
                <w:rFonts w:eastAsia="Times New Roman"/>
                <w:sz w:val="18"/>
                <w:szCs w:val="18"/>
              </w:rPr>
              <w:t>1</w:t>
            </w:r>
          </w:p>
        </w:tc>
      </w:tr>
      <w:tr w:rsidR="007B27DA" w:rsidRPr="00176BA0" w14:paraId="5F74C10A" w14:textId="77777777" w:rsidTr="00176BA0">
        <w:trPr>
          <w:trHeight w:val="283"/>
          <w:jc w:val="center"/>
        </w:trPr>
        <w:tc>
          <w:tcPr>
            <w:tcW w:w="2835" w:type="pct"/>
            <w:tcBorders>
              <w:top w:val="single" w:sz="4" w:space="0" w:color="auto"/>
              <w:left w:val="nil"/>
              <w:bottom w:val="single" w:sz="4" w:space="0" w:color="auto"/>
              <w:right w:val="nil"/>
            </w:tcBorders>
            <w:shd w:val="clear" w:color="auto" w:fill="auto"/>
            <w:vAlign w:val="center"/>
            <w:hideMark/>
          </w:tcPr>
          <w:p w14:paraId="208A1588" w14:textId="77777777" w:rsidR="007B27DA" w:rsidRPr="00176BA0" w:rsidRDefault="007B27DA" w:rsidP="00176BA0">
            <w:pPr>
              <w:ind w:left="215"/>
              <w:rPr>
                <w:rFonts w:eastAsia="Times New Roman"/>
                <w:b/>
                <w:sz w:val="18"/>
                <w:szCs w:val="18"/>
              </w:rPr>
            </w:pPr>
            <w:r w:rsidRPr="00176BA0">
              <w:rPr>
                <w:rFonts w:eastAsia="Times New Roman"/>
                <w:sz w:val="18"/>
                <w:szCs w:val="18"/>
              </w:rPr>
              <w:t> </w:t>
            </w:r>
            <w:r w:rsidRPr="00176BA0">
              <w:rPr>
                <w:rFonts w:eastAsia="Times New Roman"/>
                <w:b/>
                <w:sz w:val="18"/>
                <w:szCs w:val="18"/>
              </w:rPr>
              <w:t>Total</w:t>
            </w:r>
          </w:p>
        </w:tc>
        <w:tc>
          <w:tcPr>
            <w:tcW w:w="1082" w:type="pct"/>
            <w:tcBorders>
              <w:top w:val="single" w:sz="4" w:space="0" w:color="auto"/>
              <w:left w:val="nil"/>
              <w:bottom w:val="single" w:sz="4" w:space="0" w:color="auto"/>
              <w:right w:val="nil"/>
            </w:tcBorders>
            <w:shd w:val="clear" w:color="auto" w:fill="auto"/>
            <w:vAlign w:val="center"/>
            <w:hideMark/>
          </w:tcPr>
          <w:p w14:paraId="6C68C95C" w14:textId="77777777" w:rsidR="007B27DA" w:rsidRPr="00176BA0" w:rsidRDefault="007B27DA" w:rsidP="007B27DA">
            <w:pPr>
              <w:jc w:val="center"/>
              <w:rPr>
                <w:rFonts w:eastAsia="Times New Roman"/>
                <w:b/>
                <w:bCs/>
                <w:sz w:val="18"/>
                <w:szCs w:val="18"/>
              </w:rPr>
            </w:pPr>
            <w:r w:rsidRPr="00176BA0">
              <w:rPr>
                <w:rFonts w:eastAsia="Times New Roman"/>
                <w:b/>
                <w:bCs/>
                <w:sz w:val="18"/>
                <w:szCs w:val="18"/>
              </w:rPr>
              <w:t>1</w:t>
            </w:r>
          </w:p>
        </w:tc>
        <w:tc>
          <w:tcPr>
            <w:tcW w:w="1082" w:type="pct"/>
            <w:tcBorders>
              <w:top w:val="single" w:sz="4" w:space="0" w:color="auto"/>
              <w:left w:val="nil"/>
              <w:bottom w:val="single" w:sz="4" w:space="0" w:color="auto"/>
              <w:right w:val="nil"/>
            </w:tcBorders>
            <w:vAlign w:val="center"/>
          </w:tcPr>
          <w:p w14:paraId="0B01CF27" w14:textId="77777777" w:rsidR="007B27DA" w:rsidRPr="00176BA0" w:rsidRDefault="007B27DA" w:rsidP="007B27DA">
            <w:pPr>
              <w:jc w:val="center"/>
              <w:rPr>
                <w:rFonts w:eastAsia="Times New Roman"/>
                <w:b/>
                <w:bCs/>
                <w:sz w:val="18"/>
                <w:szCs w:val="18"/>
              </w:rPr>
            </w:pPr>
            <w:r w:rsidRPr="00176BA0">
              <w:rPr>
                <w:rFonts w:eastAsia="Times New Roman"/>
                <w:b/>
                <w:bCs/>
                <w:sz w:val="18"/>
                <w:szCs w:val="18"/>
              </w:rPr>
              <w:t>1</w:t>
            </w:r>
          </w:p>
        </w:tc>
      </w:tr>
    </w:tbl>
    <w:p w14:paraId="1D1E8D7A" w14:textId="77777777"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El número de empleados al cierre del ejercicio en curso distribuido por categorías y sexo es el siguiente:</w:t>
      </w:r>
    </w:p>
    <w:tbl>
      <w:tblPr>
        <w:tblW w:w="5000" w:type="pct"/>
        <w:jc w:val="center"/>
        <w:tblCellMar>
          <w:left w:w="70" w:type="dxa"/>
          <w:right w:w="70" w:type="dxa"/>
        </w:tblCellMar>
        <w:tblLook w:val="04A0" w:firstRow="1" w:lastRow="0" w:firstColumn="1" w:lastColumn="0" w:noHBand="0" w:noVBand="1"/>
      </w:tblPr>
      <w:tblGrid>
        <w:gridCol w:w="3585"/>
        <w:gridCol w:w="1298"/>
        <w:gridCol w:w="1300"/>
        <w:gridCol w:w="1298"/>
        <w:gridCol w:w="1300"/>
      </w:tblGrid>
      <w:tr w:rsidR="000612E0" w:rsidRPr="00176BA0" w14:paraId="7E5FFCC3" w14:textId="77777777" w:rsidTr="00176BA0">
        <w:trPr>
          <w:trHeight w:val="283"/>
          <w:jc w:val="center"/>
        </w:trPr>
        <w:tc>
          <w:tcPr>
            <w:tcW w:w="2041" w:type="pct"/>
            <w:tcBorders>
              <w:top w:val="single" w:sz="4" w:space="0" w:color="auto"/>
              <w:left w:val="nil"/>
              <w:bottom w:val="nil"/>
              <w:right w:val="nil"/>
            </w:tcBorders>
            <w:shd w:val="clear" w:color="auto" w:fill="auto"/>
            <w:vAlign w:val="bottom"/>
            <w:hideMark/>
          </w:tcPr>
          <w:p w14:paraId="382649ED" w14:textId="77777777" w:rsidR="000612E0" w:rsidRPr="00176BA0" w:rsidRDefault="000612E0" w:rsidP="00176BA0">
            <w:pPr>
              <w:keepNext/>
              <w:keepLines/>
              <w:widowControl w:val="0"/>
              <w:ind w:left="215"/>
              <w:jc w:val="center"/>
              <w:rPr>
                <w:rFonts w:eastAsia="Times New Roman"/>
                <w:sz w:val="18"/>
                <w:szCs w:val="18"/>
              </w:rPr>
            </w:pPr>
          </w:p>
        </w:tc>
        <w:tc>
          <w:tcPr>
            <w:tcW w:w="1479" w:type="pct"/>
            <w:gridSpan w:val="2"/>
            <w:tcBorders>
              <w:top w:val="single" w:sz="4" w:space="0" w:color="auto"/>
              <w:left w:val="nil"/>
              <w:bottom w:val="single" w:sz="4" w:space="0" w:color="auto"/>
              <w:right w:val="nil"/>
            </w:tcBorders>
            <w:shd w:val="clear" w:color="auto" w:fill="auto"/>
            <w:vAlign w:val="bottom"/>
            <w:hideMark/>
          </w:tcPr>
          <w:p w14:paraId="2FEEE350" w14:textId="10090054" w:rsidR="000612E0" w:rsidRPr="00176BA0" w:rsidRDefault="000612E0" w:rsidP="000612E0">
            <w:pPr>
              <w:keepNext/>
              <w:keepLines/>
              <w:widowControl w:val="0"/>
              <w:jc w:val="center"/>
              <w:rPr>
                <w:rFonts w:eastAsia="Times New Roman"/>
                <w:b/>
                <w:bCs/>
                <w:sz w:val="18"/>
                <w:szCs w:val="18"/>
              </w:rPr>
            </w:pPr>
            <w:r w:rsidRPr="00176BA0">
              <w:rPr>
                <w:rFonts w:eastAsia="Times New Roman"/>
                <w:b/>
                <w:bCs/>
                <w:sz w:val="18"/>
                <w:szCs w:val="18"/>
              </w:rPr>
              <w:t>31/12/202</w:t>
            </w:r>
            <w:r w:rsidR="00F80C42" w:rsidRPr="00176BA0">
              <w:rPr>
                <w:rFonts w:eastAsia="Times New Roman"/>
                <w:b/>
                <w:bCs/>
                <w:sz w:val="18"/>
                <w:szCs w:val="18"/>
              </w:rPr>
              <w:t>1</w:t>
            </w:r>
          </w:p>
        </w:tc>
        <w:tc>
          <w:tcPr>
            <w:tcW w:w="1479" w:type="pct"/>
            <w:gridSpan w:val="2"/>
            <w:tcBorders>
              <w:top w:val="single" w:sz="4" w:space="0" w:color="auto"/>
              <w:left w:val="nil"/>
              <w:bottom w:val="single" w:sz="4" w:space="0" w:color="auto"/>
              <w:right w:val="nil"/>
            </w:tcBorders>
            <w:shd w:val="clear" w:color="auto" w:fill="auto"/>
            <w:vAlign w:val="bottom"/>
            <w:hideMark/>
          </w:tcPr>
          <w:p w14:paraId="7A934236" w14:textId="5D9F65E6" w:rsidR="000612E0" w:rsidRPr="00176BA0" w:rsidRDefault="000612E0" w:rsidP="000612E0">
            <w:pPr>
              <w:keepNext/>
              <w:keepLines/>
              <w:widowControl w:val="0"/>
              <w:jc w:val="center"/>
              <w:rPr>
                <w:rFonts w:eastAsia="Times New Roman"/>
                <w:b/>
                <w:bCs/>
                <w:sz w:val="18"/>
                <w:szCs w:val="18"/>
              </w:rPr>
            </w:pPr>
            <w:r w:rsidRPr="00176BA0">
              <w:rPr>
                <w:rFonts w:eastAsia="Times New Roman"/>
                <w:b/>
                <w:bCs/>
                <w:sz w:val="18"/>
                <w:szCs w:val="18"/>
              </w:rPr>
              <w:t>31/12/20</w:t>
            </w:r>
            <w:r w:rsidR="00F80C42" w:rsidRPr="00176BA0">
              <w:rPr>
                <w:rFonts w:eastAsia="Times New Roman"/>
                <w:b/>
                <w:bCs/>
                <w:sz w:val="18"/>
                <w:szCs w:val="18"/>
              </w:rPr>
              <w:t>20</w:t>
            </w:r>
          </w:p>
        </w:tc>
      </w:tr>
      <w:tr w:rsidR="000612E0" w:rsidRPr="00176BA0" w14:paraId="296FD789" w14:textId="77777777" w:rsidTr="00176BA0">
        <w:trPr>
          <w:trHeight w:val="283"/>
          <w:jc w:val="center"/>
        </w:trPr>
        <w:tc>
          <w:tcPr>
            <w:tcW w:w="2041" w:type="pct"/>
            <w:tcBorders>
              <w:top w:val="nil"/>
              <w:left w:val="nil"/>
              <w:bottom w:val="single" w:sz="4" w:space="0" w:color="auto"/>
              <w:right w:val="nil"/>
            </w:tcBorders>
            <w:shd w:val="clear" w:color="auto" w:fill="auto"/>
            <w:vAlign w:val="bottom"/>
            <w:hideMark/>
          </w:tcPr>
          <w:p w14:paraId="4370BB74" w14:textId="77777777" w:rsidR="000612E0" w:rsidRPr="00176BA0" w:rsidRDefault="000612E0" w:rsidP="00176BA0">
            <w:pPr>
              <w:keepNext/>
              <w:keepLines/>
              <w:widowControl w:val="0"/>
              <w:ind w:left="215"/>
              <w:jc w:val="center"/>
              <w:rPr>
                <w:rFonts w:eastAsia="Times New Roman"/>
                <w:b/>
                <w:bCs/>
                <w:sz w:val="18"/>
                <w:szCs w:val="18"/>
              </w:rPr>
            </w:pPr>
            <w:r w:rsidRPr="00176BA0">
              <w:rPr>
                <w:rFonts w:eastAsia="Times New Roman"/>
                <w:b/>
                <w:bCs/>
                <w:sz w:val="18"/>
                <w:szCs w:val="18"/>
              </w:rPr>
              <w:t>Categoría</w:t>
            </w:r>
          </w:p>
        </w:tc>
        <w:tc>
          <w:tcPr>
            <w:tcW w:w="739" w:type="pct"/>
            <w:tcBorders>
              <w:top w:val="nil"/>
              <w:left w:val="nil"/>
              <w:bottom w:val="single" w:sz="4" w:space="0" w:color="auto"/>
              <w:right w:val="nil"/>
            </w:tcBorders>
            <w:shd w:val="clear" w:color="auto" w:fill="auto"/>
            <w:vAlign w:val="bottom"/>
            <w:hideMark/>
          </w:tcPr>
          <w:p w14:paraId="56D4194C" w14:textId="77777777" w:rsidR="000612E0" w:rsidRPr="00176BA0" w:rsidRDefault="000612E0" w:rsidP="000612E0">
            <w:pPr>
              <w:keepNext/>
              <w:keepLines/>
              <w:widowControl w:val="0"/>
              <w:jc w:val="center"/>
              <w:rPr>
                <w:rFonts w:eastAsia="Times New Roman"/>
                <w:b/>
                <w:bCs/>
                <w:sz w:val="18"/>
                <w:szCs w:val="18"/>
              </w:rPr>
            </w:pPr>
            <w:r w:rsidRPr="00176BA0">
              <w:rPr>
                <w:rFonts w:eastAsia="Times New Roman"/>
                <w:b/>
                <w:bCs/>
                <w:sz w:val="18"/>
                <w:szCs w:val="18"/>
              </w:rPr>
              <w:t>Hombres</w:t>
            </w:r>
          </w:p>
        </w:tc>
        <w:tc>
          <w:tcPr>
            <w:tcW w:w="740" w:type="pct"/>
            <w:tcBorders>
              <w:top w:val="nil"/>
              <w:left w:val="nil"/>
              <w:bottom w:val="single" w:sz="4" w:space="0" w:color="auto"/>
              <w:right w:val="nil"/>
            </w:tcBorders>
            <w:shd w:val="clear" w:color="auto" w:fill="auto"/>
            <w:vAlign w:val="bottom"/>
            <w:hideMark/>
          </w:tcPr>
          <w:p w14:paraId="21DB4F61" w14:textId="54C1420F" w:rsidR="000612E0" w:rsidRPr="00176BA0" w:rsidRDefault="00411C50" w:rsidP="000612E0">
            <w:pPr>
              <w:keepNext/>
              <w:keepLines/>
              <w:widowControl w:val="0"/>
              <w:jc w:val="center"/>
              <w:rPr>
                <w:rFonts w:eastAsia="Times New Roman"/>
                <w:b/>
                <w:bCs/>
                <w:sz w:val="18"/>
                <w:szCs w:val="18"/>
              </w:rPr>
            </w:pPr>
            <w:r w:rsidRPr="00176BA0">
              <w:rPr>
                <w:rFonts w:eastAsia="Times New Roman"/>
                <w:b/>
                <w:bCs/>
                <w:sz w:val="18"/>
                <w:szCs w:val="18"/>
              </w:rPr>
              <w:t>Mujere</w:t>
            </w:r>
            <w:r w:rsidR="000612E0" w:rsidRPr="00176BA0">
              <w:rPr>
                <w:rFonts w:eastAsia="Times New Roman"/>
                <w:b/>
                <w:bCs/>
                <w:sz w:val="18"/>
                <w:szCs w:val="18"/>
              </w:rPr>
              <w:t>s</w:t>
            </w:r>
          </w:p>
        </w:tc>
        <w:tc>
          <w:tcPr>
            <w:tcW w:w="739" w:type="pct"/>
            <w:tcBorders>
              <w:top w:val="nil"/>
              <w:left w:val="nil"/>
              <w:bottom w:val="single" w:sz="4" w:space="0" w:color="auto"/>
              <w:right w:val="nil"/>
            </w:tcBorders>
            <w:shd w:val="clear" w:color="auto" w:fill="auto"/>
            <w:vAlign w:val="bottom"/>
            <w:hideMark/>
          </w:tcPr>
          <w:p w14:paraId="7580FCC0" w14:textId="77777777" w:rsidR="000612E0" w:rsidRPr="00176BA0" w:rsidRDefault="000612E0" w:rsidP="000612E0">
            <w:pPr>
              <w:keepNext/>
              <w:keepLines/>
              <w:widowControl w:val="0"/>
              <w:jc w:val="center"/>
              <w:rPr>
                <w:rFonts w:eastAsia="Times New Roman"/>
                <w:b/>
                <w:bCs/>
                <w:sz w:val="18"/>
                <w:szCs w:val="18"/>
              </w:rPr>
            </w:pPr>
            <w:r w:rsidRPr="00176BA0">
              <w:rPr>
                <w:rFonts w:eastAsia="Times New Roman"/>
                <w:b/>
                <w:bCs/>
                <w:sz w:val="18"/>
                <w:szCs w:val="18"/>
              </w:rPr>
              <w:t>Hombres</w:t>
            </w:r>
          </w:p>
        </w:tc>
        <w:tc>
          <w:tcPr>
            <w:tcW w:w="740" w:type="pct"/>
            <w:tcBorders>
              <w:top w:val="nil"/>
              <w:left w:val="nil"/>
              <w:bottom w:val="single" w:sz="4" w:space="0" w:color="auto"/>
              <w:right w:val="nil"/>
            </w:tcBorders>
            <w:shd w:val="clear" w:color="auto" w:fill="auto"/>
            <w:vAlign w:val="bottom"/>
            <w:hideMark/>
          </w:tcPr>
          <w:p w14:paraId="706D3AA6" w14:textId="77777777" w:rsidR="000612E0" w:rsidRPr="00176BA0" w:rsidRDefault="000612E0" w:rsidP="000612E0">
            <w:pPr>
              <w:keepNext/>
              <w:keepLines/>
              <w:widowControl w:val="0"/>
              <w:jc w:val="center"/>
              <w:rPr>
                <w:rFonts w:eastAsia="Times New Roman"/>
                <w:b/>
                <w:bCs/>
                <w:sz w:val="18"/>
                <w:szCs w:val="18"/>
              </w:rPr>
            </w:pPr>
            <w:r w:rsidRPr="00176BA0">
              <w:rPr>
                <w:rFonts w:eastAsia="Times New Roman"/>
                <w:b/>
                <w:bCs/>
                <w:sz w:val="18"/>
                <w:szCs w:val="18"/>
              </w:rPr>
              <w:t>Mujeres</w:t>
            </w:r>
          </w:p>
        </w:tc>
      </w:tr>
      <w:tr w:rsidR="00F47B3B" w:rsidRPr="00176BA0" w14:paraId="758D6251" w14:textId="77777777" w:rsidTr="00176BA0">
        <w:trPr>
          <w:trHeight w:val="283"/>
          <w:jc w:val="center"/>
        </w:trPr>
        <w:tc>
          <w:tcPr>
            <w:tcW w:w="2041" w:type="pct"/>
            <w:tcBorders>
              <w:top w:val="nil"/>
              <w:left w:val="nil"/>
              <w:bottom w:val="nil"/>
              <w:right w:val="nil"/>
            </w:tcBorders>
            <w:shd w:val="clear" w:color="auto" w:fill="auto"/>
            <w:vAlign w:val="center"/>
            <w:hideMark/>
          </w:tcPr>
          <w:p w14:paraId="42AC6588" w14:textId="77777777" w:rsidR="00F47B3B" w:rsidRPr="00176BA0" w:rsidRDefault="00F47B3B" w:rsidP="00176BA0">
            <w:pPr>
              <w:keepNext/>
              <w:keepLines/>
              <w:widowControl w:val="0"/>
              <w:ind w:left="215"/>
              <w:rPr>
                <w:rFonts w:eastAsia="Times New Roman"/>
                <w:sz w:val="18"/>
                <w:szCs w:val="18"/>
              </w:rPr>
            </w:pPr>
            <w:r w:rsidRPr="00176BA0">
              <w:rPr>
                <w:rFonts w:eastAsia="Times New Roman"/>
                <w:sz w:val="18"/>
                <w:szCs w:val="18"/>
              </w:rPr>
              <w:t>Directivos</w:t>
            </w:r>
          </w:p>
        </w:tc>
        <w:tc>
          <w:tcPr>
            <w:tcW w:w="739" w:type="pct"/>
            <w:tcBorders>
              <w:top w:val="nil"/>
              <w:left w:val="nil"/>
              <w:bottom w:val="nil"/>
              <w:right w:val="nil"/>
            </w:tcBorders>
            <w:shd w:val="clear" w:color="auto" w:fill="auto"/>
            <w:vAlign w:val="center"/>
          </w:tcPr>
          <w:p w14:paraId="6ABFE62C" w14:textId="6A03162B" w:rsidR="00F47B3B" w:rsidRPr="00176BA0" w:rsidRDefault="00F47B3B" w:rsidP="00F47B3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176BA0">
              <w:rPr>
                <w:sz w:val="18"/>
                <w:szCs w:val="18"/>
              </w:rPr>
              <w:t>2</w:t>
            </w:r>
          </w:p>
        </w:tc>
        <w:tc>
          <w:tcPr>
            <w:tcW w:w="740" w:type="pct"/>
            <w:tcBorders>
              <w:top w:val="nil"/>
              <w:left w:val="nil"/>
              <w:bottom w:val="nil"/>
              <w:right w:val="nil"/>
            </w:tcBorders>
            <w:shd w:val="clear" w:color="auto" w:fill="auto"/>
            <w:vAlign w:val="center"/>
          </w:tcPr>
          <w:p w14:paraId="5EEE2908" w14:textId="13766124" w:rsidR="00F47B3B" w:rsidRPr="00176BA0" w:rsidRDefault="00F47B3B" w:rsidP="00F47B3B">
            <w:pPr>
              <w:keepNext/>
              <w:keepLines/>
              <w:widowControl w:val="0"/>
              <w:jc w:val="center"/>
              <w:rPr>
                <w:sz w:val="18"/>
                <w:szCs w:val="18"/>
              </w:rPr>
            </w:pPr>
            <w:r w:rsidRPr="00176BA0">
              <w:rPr>
                <w:sz w:val="18"/>
                <w:szCs w:val="18"/>
              </w:rPr>
              <w:t>3</w:t>
            </w:r>
          </w:p>
        </w:tc>
        <w:tc>
          <w:tcPr>
            <w:tcW w:w="739" w:type="pct"/>
            <w:tcBorders>
              <w:top w:val="nil"/>
              <w:left w:val="nil"/>
              <w:bottom w:val="nil"/>
              <w:right w:val="nil"/>
            </w:tcBorders>
            <w:shd w:val="clear" w:color="auto" w:fill="auto"/>
            <w:vAlign w:val="center"/>
          </w:tcPr>
          <w:p w14:paraId="71A90C31" w14:textId="7CC7E226" w:rsidR="00F47B3B" w:rsidRPr="00176BA0" w:rsidRDefault="00F47B3B" w:rsidP="00F47B3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2</w:t>
            </w:r>
          </w:p>
        </w:tc>
        <w:tc>
          <w:tcPr>
            <w:tcW w:w="740" w:type="pct"/>
            <w:tcBorders>
              <w:top w:val="nil"/>
              <w:left w:val="nil"/>
              <w:bottom w:val="nil"/>
              <w:right w:val="nil"/>
            </w:tcBorders>
            <w:shd w:val="clear" w:color="auto" w:fill="auto"/>
            <w:vAlign w:val="center"/>
          </w:tcPr>
          <w:p w14:paraId="7D45B067" w14:textId="60C911FE" w:rsidR="00F47B3B" w:rsidRPr="00176BA0" w:rsidRDefault="00F47B3B" w:rsidP="00F47B3B">
            <w:pPr>
              <w:keepNext/>
              <w:keepLines/>
              <w:widowControl w:val="0"/>
              <w:jc w:val="center"/>
              <w:rPr>
                <w:sz w:val="18"/>
                <w:szCs w:val="18"/>
              </w:rPr>
            </w:pPr>
            <w:r w:rsidRPr="00176BA0">
              <w:rPr>
                <w:sz w:val="18"/>
                <w:szCs w:val="18"/>
              </w:rPr>
              <w:t>3</w:t>
            </w:r>
          </w:p>
        </w:tc>
      </w:tr>
      <w:tr w:rsidR="00F47B3B" w:rsidRPr="00176BA0" w14:paraId="606C8263" w14:textId="77777777" w:rsidTr="00176BA0">
        <w:trPr>
          <w:trHeight w:val="283"/>
          <w:jc w:val="center"/>
        </w:trPr>
        <w:tc>
          <w:tcPr>
            <w:tcW w:w="2041" w:type="pct"/>
            <w:tcBorders>
              <w:top w:val="nil"/>
              <w:left w:val="nil"/>
              <w:bottom w:val="nil"/>
              <w:right w:val="nil"/>
            </w:tcBorders>
            <w:shd w:val="clear" w:color="auto" w:fill="auto"/>
            <w:vAlign w:val="center"/>
            <w:hideMark/>
          </w:tcPr>
          <w:p w14:paraId="4C01A3DA" w14:textId="77777777" w:rsidR="00F47B3B" w:rsidRPr="00176BA0" w:rsidRDefault="00F47B3B" w:rsidP="00176BA0">
            <w:pPr>
              <w:keepNext/>
              <w:keepLines/>
              <w:widowControl w:val="0"/>
              <w:ind w:left="215"/>
              <w:rPr>
                <w:rFonts w:eastAsia="Times New Roman"/>
                <w:sz w:val="18"/>
                <w:szCs w:val="18"/>
              </w:rPr>
            </w:pPr>
            <w:r w:rsidRPr="00176BA0">
              <w:rPr>
                <w:rFonts w:eastAsia="Times New Roman"/>
                <w:sz w:val="18"/>
                <w:szCs w:val="18"/>
              </w:rPr>
              <w:t>Técnicos superiores</w:t>
            </w:r>
          </w:p>
        </w:tc>
        <w:tc>
          <w:tcPr>
            <w:tcW w:w="739" w:type="pct"/>
            <w:tcBorders>
              <w:top w:val="nil"/>
              <w:left w:val="nil"/>
              <w:bottom w:val="nil"/>
              <w:right w:val="nil"/>
            </w:tcBorders>
            <w:shd w:val="clear" w:color="auto" w:fill="auto"/>
            <w:vAlign w:val="center"/>
          </w:tcPr>
          <w:p w14:paraId="75F7C7B8" w14:textId="3F795CAC" w:rsidR="00F47B3B" w:rsidRPr="00176BA0" w:rsidRDefault="00F47B3B" w:rsidP="00F47B3B">
            <w:pPr>
              <w:keepNext/>
              <w:keepLines/>
              <w:widowControl w:val="0"/>
              <w:jc w:val="center"/>
              <w:rPr>
                <w:sz w:val="18"/>
                <w:szCs w:val="18"/>
              </w:rPr>
            </w:pPr>
            <w:r w:rsidRPr="00176BA0">
              <w:rPr>
                <w:sz w:val="18"/>
                <w:szCs w:val="18"/>
              </w:rPr>
              <w:t>5</w:t>
            </w:r>
          </w:p>
        </w:tc>
        <w:tc>
          <w:tcPr>
            <w:tcW w:w="740" w:type="pct"/>
            <w:tcBorders>
              <w:top w:val="nil"/>
              <w:left w:val="nil"/>
              <w:bottom w:val="nil"/>
              <w:right w:val="nil"/>
            </w:tcBorders>
            <w:shd w:val="clear" w:color="auto" w:fill="auto"/>
            <w:vAlign w:val="center"/>
          </w:tcPr>
          <w:p w14:paraId="3DB5E2C4" w14:textId="2DE50DF9" w:rsidR="00F47B3B" w:rsidRPr="00176BA0" w:rsidRDefault="00F47B3B" w:rsidP="00F47B3B">
            <w:pPr>
              <w:keepNext/>
              <w:keepLines/>
              <w:widowControl w:val="0"/>
              <w:jc w:val="center"/>
              <w:rPr>
                <w:sz w:val="18"/>
                <w:szCs w:val="18"/>
              </w:rPr>
            </w:pPr>
            <w:r w:rsidRPr="00176BA0">
              <w:rPr>
                <w:sz w:val="18"/>
                <w:szCs w:val="18"/>
              </w:rPr>
              <w:t>14</w:t>
            </w:r>
          </w:p>
        </w:tc>
        <w:tc>
          <w:tcPr>
            <w:tcW w:w="739" w:type="pct"/>
            <w:tcBorders>
              <w:top w:val="nil"/>
              <w:left w:val="nil"/>
              <w:bottom w:val="nil"/>
              <w:right w:val="nil"/>
            </w:tcBorders>
            <w:shd w:val="clear" w:color="auto" w:fill="auto"/>
            <w:vAlign w:val="center"/>
          </w:tcPr>
          <w:p w14:paraId="05C95C0A" w14:textId="29C024D2" w:rsidR="00F47B3B" w:rsidRPr="00176BA0" w:rsidRDefault="00F47B3B" w:rsidP="00F47B3B">
            <w:pPr>
              <w:keepNext/>
              <w:keepLines/>
              <w:widowControl w:val="0"/>
              <w:jc w:val="center"/>
              <w:rPr>
                <w:sz w:val="18"/>
                <w:szCs w:val="18"/>
              </w:rPr>
            </w:pPr>
            <w:r w:rsidRPr="00176BA0">
              <w:rPr>
                <w:sz w:val="18"/>
                <w:szCs w:val="18"/>
              </w:rPr>
              <w:t>5</w:t>
            </w:r>
          </w:p>
        </w:tc>
        <w:tc>
          <w:tcPr>
            <w:tcW w:w="740" w:type="pct"/>
            <w:tcBorders>
              <w:top w:val="nil"/>
              <w:left w:val="nil"/>
              <w:bottom w:val="nil"/>
              <w:right w:val="nil"/>
            </w:tcBorders>
            <w:shd w:val="clear" w:color="auto" w:fill="auto"/>
            <w:vAlign w:val="center"/>
          </w:tcPr>
          <w:p w14:paraId="18DC8F27" w14:textId="0ADC47C7" w:rsidR="00F47B3B" w:rsidRPr="00176BA0" w:rsidRDefault="00F47B3B" w:rsidP="00F47B3B">
            <w:pPr>
              <w:keepNext/>
              <w:keepLines/>
              <w:widowControl w:val="0"/>
              <w:jc w:val="center"/>
              <w:rPr>
                <w:sz w:val="18"/>
                <w:szCs w:val="18"/>
              </w:rPr>
            </w:pPr>
            <w:r w:rsidRPr="00176BA0">
              <w:rPr>
                <w:sz w:val="18"/>
                <w:szCs w:val="18"/>
              </w:rPr>
              <w:t>10</w:t>
            </w:r>
          </w:p>
        </w:tc>
      </w:tr>
      <w:tr w:rsidR="00F47B3B" w:rsidRPr="00176BA0" w14:paraId="0F17FE16" w14:textId="77777777" w:rsidTr="00176BA0">
        <w:trPr>
          <w:trHeight w:val="283"/>
          <w:jc w:val="center"/>
        </w:trPr>
        <w:tc>
          <w:tcPr>
            <w:tcW w:w="2041" w:type="pct"/>
            <w:tcBorders>
              <w:top w:val="nil"/>
              <w:left w:val="nil"/>
              <w:bottom w:val="nil"/>
              <w:right w:val="nil"/>
            </w:tcBorders>
            <w:shd w:val="clear" w:color="auto" w:fill="auto"/>
            <w:vAlign w:val="center"/>
            <w:hideMark/>
          </w:tcPr>
          <w:p w14:paraId="3DD30B26" w14:textId="77777777" w:rsidR="00F47B3B" w:rsidRPr="00176BA0" w:rsidRDefault="00F47B3B" w:rsidP="00176BA0">
            <w:pPr>
              <w:keepNext/>
              <w:keepLines/>
              <w:widowControl w:val="0"/>
              <w:ind w:left="215"/>
              <w:rPr>
                <w:rFonts w:eastAsia="Times New Roman"/>
                <w:sz w:val="18"/>
                <w:szCs w:val="18"/>
              </w:rPr>
            </w:pPr>
            <w:r w:rsidRPr="00176BA0">
              <w:rPr>
                <w:rFonts w:eastAsia="Times New Roman"/>
                <w:sz w:val="18"/>
                <w:szCs w:val="18"/>
              </w:rPr>
              <w:t>Técnicos medios</w:t>
            </w:r>
          </w:p>
        </w:tc>
        <w:tc>
          <w:tcPr>
            <w:tcW w:w="739" w:type="pct"/>
            <w:tcBorders>
              <w:top w:val="nil"/>
              <w:left w:val="nil"/>
              <w:bottom w:val="nil"/>
              <w:right w:val="nil"/>
            </w:tcBorders>
            <w:shd w:val="clear" w:color="auto" w:fill="auto"/>
            <w:vAlign w:val="center"/>
          </w:tcPr>
          <w:p w14:paraId="645F7BF5" w14:textId="4755DAFB" w:rsidR="00F47B3B" w:rsidRPr="00176BA0" w:rsidRDefault="00F47B3B" w:rsidP="00F47B3B">
            <w:pPr>
              <w:keepNext/>
              <w:keepLines/>
              <w:widowControl w:val="0"/>
              <w:jc w:val="center"/>
              <w:rPr>
                <w:sz w:val="18"/>
                <w:szCs w:val="18"/>
              </w:rPr>
            </w:pPr>
            <w:r w:rsidRPr="00176BA0">
              <w:rPr>
                <w:sz w:val="18"/>
                <w:szCs w:val="18"/>
              </w:rPr>
              <w:t>2</w:t>
            </w:r>
          </w:p>
        </w:tc>
        <w:tc>
          <w:tcPr>
            <w:tcW w:w="740" w:type="pct"/>
            <w:tcBorders>
              <w:top w:val="nil"/>
              <w:left w:val="nil"/>
              <w:bottom w:val="nil"/>
              <w:right w:val="nil"/>
            </w:tcBorders>
            <w:shd w:val="clear" w:color="auto" w:fill="auto"/>
            <w:vAlign w:val="center"/>
          </w:tcPr>
          <w:p w14:paraId="3E2346F6" w14:textId="43BE9AA3" w:rsidR="00F47B3B" w:rsidRPr="00176BA0" w:rsidRDefault="00F47B3B" w:rsidP="00F47B3B">
            <w:pPr>
              <w:keepNext/>
              <w:keepLines/>
              <w:widowControl w:val="0"/>
              <w:jc w:val="center"/>
              <w:rPr>
                <w:sz w:val="18"/>
                <w:szCs w:val="18"/>
              </w:rPr>
            </w:pPr>
            <w:r w:rsidRPr="00176BA0">
              <w:rPr>
                <w:sz w:val="18"/>
                <w:szCs w:val="18"/>
              </w:rPr>
              <w:t>18</w:t>
            </w:r>
          </w:p>
        </w:tc>
        <w:tc>
          <w:tcPr>
            <w:tcW w:w="739" w:type="pct"/>
            <w:tcBorders>
              <w:top w:val="nil"/>
              <w:left w:val="nil"/>
              <w:bottom w:val="nil"/>
              <w:right w:val="nil"/>
            </w:tcBorders>
            <w:shd w:val="clear" w:color="auto" w:fill="auto"/>
            <w:vAlign w:val="center"/>
          </w:tcPr>
          <w:p w14:paraId="6A6626DA" w14:textId="6BC76F92" w:rsidR="00F47B3B" w:rsidRPr="00176BA0" w:rsidRDefault="00F47B3B" w:rsidP="00F47B3B">
            <w:pPr>
              <w:keepNext/>
              <w:keepLines/>
              <w:widowControl w:val="0"/>
              <w:jc w:val="center"/>
              <w:rPr>
                <w:sz w:val="18"/>
                <w:szCs w:val="18"/>
              </w:rPr>
            </w:pPr>
            <w:r w:rsidRPr="00176BA0">
              <w:rPr>
                <w:sz w:val="18"/>
                <w:szCs w:val="18"/>
              </w:rPr>
              <w:t>1</w:t>
            </w:r>
          </w:p>
        </w:tc>
        <w:tc>
          <w:tcPr>
            <w:tcW w:w="740" w:type="pct"/>
            <w:tcBorders>
              <w:top w:val="nil"/>
              <w:left w:val="nil"/>
              <w:bottom w:val="nil"/>
              <w:right w:val="nil"/>
            </w:tcBorders>
            <w:shd w:val="clear" w:color="auto" w:fill="auto"/>
            <w:vAlign w:val="center"/>
          </w:tcPr>
          <w:p w14:paraId="6BED7114" w14:textId="4DD70C8E" w:rsidR="00F47B3B" w:rsidRPr="00176BA0" w:rsidRDefault="00F47B3B" w:rsidP="00F47B3B">
            <w:pPr>
              <w:keepNext/>
              <w:keepLines/>
              <w:widowControl w:val="0"/>
              <w:jc w:val="center"/>
              <w:rPr>
                <w:sz w:val="18"/>
                <w:szCs w:val="18"/>
              </w:rPr>
            </w:pPr>
            <w:r w:rsidRPr="00176BA0">
              <w:rPr>
                <w:sz w:val="18"/>
                <w:szCs w:val="18"/>
              </w:rPr>
              <w:t>15</w:t>
            </w:r>
          </w:p>
        </w:tc>
      </w:tr>
      <w:tr w:rsidR="00F47B3B" w:rsidRPr="00176BA0" w14:paraId="427BE537" w14:textId="77777777" w:rsidTr="00176BA0">
        <w:trPr>
          <w:trHeight w:val="283"/>
          <w:jc w:val="center"/>
        </w:trPr>
        <w:tc>
          <w:tcPr>
            <w:tcW w:w="2041" w:type="pct"/>
            <w:tcBorders>
              <w:top w:val="nil"/>
              <w:left w:val="nil"/>
              <w:bottom w:val="nil"/>
              <w:right w:val="nil"/>
            </w:tcBorders>
            <w:shd w:val="clear" w:color="auto" w:fill="auto"/>
            <w:vAlign w:val="center"/>
            <w:hideMark/>
          </w:tcPr>
          <w:p w14:paraId="267B422C" w14:textId="77777777" w:rsidR="00F47B3B" w:rsidRPr="00176BA0" w:rsidRDefault="00F47B3B" w:rsidP="00176BA0">
            <w:pPr>
              <w:keepNext/>
              <w:keepLines/>
              <w:widowControl w:val="0"/>
              <w:ind w:left="215"/>
              <w:rPr>
                <w:rFonts w:eastAsia="Times New Roman"/>
                <w:sz w:val="18"/>
                <w:szCs w:val="18"/>
              </w:rPr>
            </w:pPr>
            <w:r w:rsidRPr="00176BA0">
              <w:rPr>
                <w:rFonts w:eastAsia="Times New Roman"/>
                <w:sz w:val="18"/>
                <w:szCs w:val="18"/>
              </w:rPr>
              <w:t>Administrativos/Coordinadores</w:t>
            </w:r>
          </w:p>
        </w:tc>
        <w:tc>
          <w:tcPr>
            <w:tcW w:w="739" w:type="pct"/>
            <w:tcBorders>
              <w:top w:val="nil"/>
              <w:left w:val="nil"/>
              <w:bottom w:val="nil"/>
              <w:right w:val="nil"/>
            </w:tcBorders>
            <w:shd w:val="clear" w:color="auto" w:fill="auto"/>
            <w:vAlign w:val="center"/>
          </w:tcPr>
          <w:p w14:paraId="61A663F4" w14:textId="023F35B0" w:rsidR="00F47B3B" w:rsidRPr="00176BA0" w:rsidRDefault="00F47B3B" w:rsidP="00F47B3B">
            <w:pPr>
              <w:keepNext/>
              <w:keepLines/>
              <w:widowControl w:val="0"/>
              <w:jc w:val="center"/>
              <w:rPr>
                <w:sz w:val="18"/>
                <w:szCs w:val="18"/>
              </w:rPr>
            </w:pPr>
            <w:r w:rsidRPr="00176BA0">
              <w:rPr>
                <w:sz w:val="18"/>
                <w:szCs w:val="18"/>
              </w:rPr>
              <w:t>5</w:t>
            </w:r>
          </w:p>
        </w:tc>
        <w:tc>
          <w:tcPr>
            <w:tcW w:w="740" w:type="pct"/>
            <w:tcBorders>
              <w:top w:val="nil"/>
              <w:left w:val="nil"/>
              <w:bottom w:val="nil"/>
              <w:right w:val="nil"/>
            </w:tcBorders>
            <w:shd w:val="clear" w:color="auto" w:fill="auto"/>
            <w:vAlign w:val="center"/>
          </w:tcPr>
          <w:p w14:paraId="47557CE7" w14:textId="4DFB4594" w:rsidR="00F47B3B" w:rsidRPr="00176BA0" w:rsidRDefault="00F47B3B" w:rsidP="00F47B3B">
            <w:pPr>
              <w:keepNext/>
              <w:keepLines/>
              <w:widowControl w:val="0"/>
              <w:jc w:val="center"/>
              <w:rPr>
                <w:sz w:val="18"/>
                <w:szCs w:val="18"/>
              </w:rPr>
            </w:pPr>
            <w:r w:rsidRPr="00176BA0">
              <w:rPr>
                <w:sz w:val="18"/>
                <w:szCs w:val="18"/>
              </w:rPr>
              <w:t>16</w:t>
            </w:r>
          </w:p>
        </w:tc>
        <w:tc>
          <w:tcPr>
            <w:tcW w:w="739" w:type="pct"/>
            <w:tcBorders>
              <w:top w:val="nil"/>
              <w:left w:val="nil"/>
              <w:bottom w:val="nil"/>
              <w:right w:val="nil"/>
            </w:tcBorders>
            <w:shd w:val="clear" w:color="auto" w:fill="auto"/>
            <w:vAlign w:val="center"/>
          </w:tcPr>
          <w:p w14:paraId="35A58E06" w14:textId="5C293B43" w:rsidR="00F47B3B" w:rsidRPr="00176BA0" w:rsidRDefault="00F47B3B" w:rsidP="00F47B3B">
            <w:pPr>
              <w:keepNext/>
              <w:keepLines/>
              <w:widowControl w:val="0"/>
              <w:jc w:val="center"/>
              <w:rPr>
                <w:sz w:val="18"/>
                <w:szCs w:val="18"/>
              </w:rPr>
            </w:pPr>
            <w:r w:rsidRPr="00176BA0">
              <w:rPr>
                <w:sz w:val="18"/>
                <w:szCs w:val="18"/>
              </w:rPr>
              <w:t>1</w:t>
            </w:r>
          </w:p>
        </w:tc>
        <w:tc>
          <w:tcPr>
            <w:tcW w:w="740" w:type="pct"/>
            <w:tcBorders>
              <w:top w:val="nil"/>
              <w:left w:val="nil"/>
              <w:bottom w:val="nil"/>
              <w:right w:val="nil"/>
            </w:tcBorders>
            <w:shd w:val="clear" w:color="auto" w:fill="auto"/>
            <w:vAlign w:val="center"/>
          </w:tcPr>
          <w:p w14:paraId="2B46496F" w14:textId="2ADA357F" w:rsidR="00F47B3B" w:rsidRPr="00176BA0" w:rsidRDefault="00F47B3B" w:rsidP="00F47B3B">
            <w:pPr>
              <w:keepNext/>
              <w:keepLines/>
              <w:widowControl w:val="0"/>
              <w:jc w:val="center"/>
              <w:rPr>
                <w:sz w:val="18"/>
                <w:szCs w:val="18"/>
              </w:rPr>
            </w:pPr>
            <w:r w:rsidRPr="00176BA0">
              <w:rPr>
                <w:sz w:val="18"/>
                <w:szCs w:val="18"/>
              </w:rPr>
              <w:t>7</w:t>
            </w:r>
          </w:p>
        </w:tc>
      </w:tr>
      <w:tr w:rsidR="00F47B3B" w:rsidRPr="00176BA0" w14:paraId="28774BBD" w14:textId="77777777" w:rsidTr="00176BA0">
        <w:trPr>
          <w:trHeight w:val="283"/>
          <w:jc w:val="center"/>
        </w:trPr>
        <w:tc>
          <w:tcPr>
            <w:tcW w:w="2041" w:type="pct"/>
            <w:tcBorders>
              <w:top w:val="nil"/>
              <w:left w:val="nil"/>
              <w:bottom w:val="single" w:sz="4" w:space="0" w:color="auto"/>
              <w:right w:val="nil"/>
            </w:tcBorders>
            <w:shd w:val="clear" w:color="auto" w:fill="auto"/>
            <w:vAlign w:val="center"/>
            <w:hideMark/>
          </w:tcPr>
          <w:p w14:paraId="26154A2C" w14:textId="77777777" w:rsidR="00F47B3B" w:rsidRPr="00176BA0" w:rsidRDefault="00F47B3B" w:rsidP="00176BA0">
            <w:pPr>
              <w:keepNext/>
              <w:keepLines/>
              <w:widowControl w:val="0"/>
              <w:ind w:left="215"/>
              <w:rPr>
                <w:rFonts w:eastAsia="Times New Roman"/>
                <w:sz w:val="18"/>
                <w:szCs w:val="18"/>
              </w:rPr>
            </w:pPr>
            <w:r w:rsidRPr="00176BA0">
              <w:rPr>
                <w:rFonts w:eastAsia="Times New Roman"/>
                <w:sz w:val="18"/>
                <w:szCs w:val="18"/>
              </w:rPr>
              <w:t>Otros</w:t>
            </w:r>
          </w:p>
        </w:tc>
        <w:tc>
          <w:tcPr>
            <w:tcW w:w="739" w:type="pct"/>
            <w:tcBorders>
              <w:top w:val="nil"/>
              <w:left w:val="nil"/>
              <w:bottom w:val="single" w:sz="4" w:space="0" w:color="auto"/>
              <w:right w:val="nil"/>
            </w:tcBorders>
            <w:shd w:val="clear" w:color="auto" w:fill="auto"/>
            <w:vAlign w:val="center"/>
          </w:tcPr>
          <w:p w14:paraId="19CB2FA3" w14:textId="3BA911CA" w:rsidR="00F47B3B" w:rsidRPr="00176BA0" w:rsidRDefault="00F47B3B" w:rsidP="00F47B3B">
            <w:pPr>
              <w:keepNext/>
              <w:keepLines/>
              <w:widowControl w:val="0"/>
              <w:jc w:val="center"/>
              <w:rPr>
                <w:sz w:val="18"/>
                <w:szCs w:val="18"/>
              </w:rPr>
            </w:pPr>
            <w:r w:rsidRPr="00176BA0">
              <w:rPr>
                <w:sz w:val="18"/>
                <w:szCs w:val="18"/>
              </w:rPr>
              <w:t>1</w:t>
            </w:r>
          </w:p>
        </w:tc>
        <w:tc>
          <w:tcPr>
            <w:tcW w:w="740" w:type="pct"/>
            <w:tcBorders>
              <w:top w:val="nil"/>
              <w:left w:val="nil"/>
              <w:bottom w:val="single" w:sz="4" w:space="0" w:color="auto"/>
              <w:right w:val="nil"/>
            </w:tcBorders>
            <w:shd w:val="clear" w:color="auto" w:fill="auto"/>
            <w:vAlign w:val="center"/>
          </w:tcPr>
          <w:p w14:paraId="22EF35CA" w14:textId="601C46C0" w:rsidR="00F47B3B" w:rsidRPr="00176BA0" w:rsidRDefault="00F47B3B" w:rsidP="00F47B3B">
            <w:pPr>
              <w:keepNext/>
              <w:keepLines/>
              <w:widowControl w:val="0"/>
              <w:jc w:val="center"/>
              <w:rPr>
                <w:sz w:val="18"/>
                <w:szCs w:val="18"/>
              </w:rPr>
            </w:pPr>
            <w:r w:rsidRPr="00176BA0">
              <w:rPr>
                <w:sz w:val="18"/>
                <w:szCs w:val="18"/>
              </w:rPr>
              <w:t>1</w:t>
            </w:r>
          </w:p>
        </w:tc>
        <w:tc>
          <w:tcPr>
            <w:tcW w:w="739" w:type="pct"/>
            <w:tcBorders>
              <w:top w:val="nil"/>
              <w:left w:val="nil"/>
              <w:bottom w:val="single" w:sz="4" w:space="0" w:color="auto"/>
              <w:right w:val="nil"/>
            </w:tcBorders>
            <w:shd w:val="clear" w:color="auto" w:fill="auto"/>
            <w:vAlign w:val="center"/>
          </w:tcPr>
          <w:p w14:paraId="4DEF5B5A" w14:textId="7762E7DD" w:rsidR="00F47B3B" w:rsidRPr="00176BA0" w:rsidRDefault="00F47B3B" w:rsidP="00F47B3B">
            <w:pPr>
              <w:keepNext/>
              <w:keepLines/>
              <w:widowControl w:val="0"/>
              <w:jc w:val="center"/>
              <w:rPr>
                <w:sz w:val="18"/>
                <w:szCs w:val="18"/>
              </w:rPr>
            </w:pPr>
            <w:r w:rsidRPr="00176BA0">
              <w:rPr>
                <w:sz w:val="18"/>
                <w:szCs w:val="18"/>
              </w:rPr>
              <w:t>1</w:t>
            </w:r>
          </w:p>
        </w:tc>
        <w:tc>
          <w:tcPr>
            <w:tcW w:w="740" w:type="pct"/>
            <w:tcBorders>
              <w:top w:val="nil"/>
              <w:left w:val="nil"/>
              <w:bottom w:val="single" w:sz="4" w:space="0" w:color="auto"/>
              <w:right w:val="nil"/>
            </w:tcBorders>
            <w:shd w:val="clear" w:color="auto" w:fill="auto"/>
            <w:vAlign w:val="center"/>
          </w:tcPr>
          <w:p w14:paraId="729064C8" w14:textId="6DB7AFE2" w:rsidR="00F47B3B" w:rsidRPr="00176BA0" w:rsidRDefault="00F47B3B" w:rsidP="00F47B3B">
            <w:pPr>
              <w:keepNext/>
              <w:keepLines/>
              <w:widowControl w:val="0"/>
              <w:jc w:val="center"/>
              <w:rPr>
                <w:sz w:val="18"/>
                <w:szCs w:val="18"/>
              </w:rPr>
            </w:pPr>
            <w:r w:rsidRPr="00176BA0">
              <w:rPr>
                <w:sz w:val="18"/>
                <w:szCs w:val="18"/>
              </w:rPr>
              <w:t>1</w:t>
            </w:r>
          </w:p>
        </w:tc>
      </w:tr>
      <w:tr w:rsidR="00F47B3B" w:rsidRPr="00176BA0" w14:paraId="1601077E" w14:textId="77777777" w:rsidTr="00176BA0">
        <w:trPr>
          <w:trHeight w:val="283"/>
          <w:jc w:val="center"/>
        </w:trPr>
        <w:tc>
          <w:tcPr>
            <w:tcW w:w="2041" w:type="pct"/>
            <w:tcBorders>
              <w:top w:val="nil"/>
              <w:left w:val="nil"/>
              <w:bottom w:val="single" w:sz="4" w:space="0" w:color="auto"/>
              <w:right w:val="nil"/>
            </w:tcBorders>
            <w:shd w:val="clear" w:color="auto" w:fill="auto"/>
            <w:vAlign w:val="center"/>
            <w:hideMark/>
          </w:tcPr>
          <w:p w14:paraId="03A1478A" w14:textId="77777777" w:rsidR="00F47B3B" w:rsidRPr="00176BA0" w:rsidRDefault="00F47B3B" w:rsidP="00176BA0">
            <w:pPr>
              <w:ind w:left="215"/>
              <w:rPr>
                <w:rFonts w:eastAsia="Times New Roman"/>
                <w:b/>
                <w:sz w:val="18"/>
                <w:szCs w:val="18"/>
              </w:rPr>
            </w:pPr>
            <w:r w:rsidRPr="00176BA0">
              <w:rPr>
                <w:rFonts w:eastAsia="Times New Roman"/>
                <w:sz w:val="18"/>
                <w:szCs w:val="18"/>
              </w:rPr>
              <w:t> </w:t>
            </w:r>
            <w:r w:rsidRPr="00176BA0">
              <w:rPr>
                <w:rFonts w:eastAsia="Times New Roman"/>
                <w:b/>
                <w:sz w:val="18"/>
                <w:szCs w:val="18"/>
              </w:rPr>
              <w:t>Total</w:t>
            </w:r>
          </w:p>
        </w:tc>
        <w:tc>
          <w:tcPr>
            <w:tcW w:w="739" w:type="pct"/>
            <w:tcBorders>
              <w:top w:val="nil"/>
              <w:left w:val="nil"/>
              <w:bottom w:val="single" w:sz="4" w:space="0" w:color="auto"/>
              <w:right w:val="nil"/>
            </w:tcBorders>
            <w:shd w:val="clear" w:color="auto" w:fill="auto"/>
            <w:vAlign w:val="center"/>
          </w:tcPr>
          <w:p w14:paraId="5D421D3F" w14:textId="37D321D2" w:rsidR="00F47B3B" w:rsidRPr="00176BA0" w:rsidRDefault="00F47B3B" w:rsidP="00F47B3B">
            <w:pPr>
              <w:jc w:val="center"/>
              <w:rPr>
                <w:b/>
                <w:bCs/>
                <w:sz w:val="18"/>
                <w:szCs w:val="18"/>
              </w:rPr>
            </w:pPr>
            <w:r w:rsidRPr="00176BA0">
              <w:rPr>
                <w:b/>
                <w:bCs/>
                <w:sz w:val="18"/>
                <w:szCs w:val="18"/>
              </w:rPr>
              <w:t>15</w:t>
            </w:r>
          </w:p>
        </w:tc>
        <w:tc>
          <w:tcPr>
            <w:tcW w:w="740" w:type="pct"/>
            <w:tcBorders>
              <w:top w:val="nil"/>
              <w:left w:val="nil"/>
              <w:bottom w:val="single" w:sz="4" w:space="0" w:color="auto"/>
              <w:right w:val="nil"/>
            </w:tcBorders>
            <w:shd w:val="clear" w:color="auto" w:fill="auto"/>
            <w:vAlign w:val="center"/>
          </w:tcPr>
          <w:p w14:paraId="4C68E8DB" w14:textId="39C5489C" w:rsidR="00F47B3B" w:rsidRPr="00176BA0" w:rsidRDefault="00F47B3B" w:rsidP="00F47B3B">
            <w:pPr>
              <w:jc w:val="center"/>
              <w:rPr>
                <w:b/>
                <w:bCs/>
                <w:sz w:val="18"/>
                <w:szCs w:val="18"/>
              </w:rPr>
            </w:pPr>
            <w:r w:rsidRPr="00176BA0">
              <w:rPr>
                <w:b/>
                <w:bCs/>
                <w:sz w:val="18"/>
                <w:szCs w:val="18"/>
              </w:rPr>
              <w:t>52</w:t>
            </w:r>
          </w:p>
        </w:tc>
        <w:tc>
          <w:tcPr>
            <w:tcW w:w="739" w:type="pct"/>
            <w:tcBorders>
              <w:top w:val="nil"/>
              <w:left w:val="nil"/>
              <w:bottom w:val="single" w:sz="4" w:space="0" w:color="auto"/>
              <w:right w:val="nil"/>
            </w:tcBorders>
            <w:shd w:val="clear" w:color="auto" w:fill="auto"/>
            <w:vAlign w:val="center"/>
          </w:tcPr>
          <w:p w14:paraId="6FB9F3C5" w14:textId="3DAD66A4" w:rsidR="00F47B3B" w:rsidRPr="00176BA0" w:rsidRDefault="00F47B3B" w:rsidP="00F47B3B">
            <w:pPr>
              <w:jc w:val="center"/>
              <w:rPr>
                <w:b/>
                <w:bCs/>
                <w:sz w:val="18"/>
                <w:szCs w:val="18"/>
              </w:rPr>
            </w:pPr>
            <w:r w:rsidRPr="00176BA0">
              <w:rPr>
                <w:b/>
                <w:bCs/>
                <w:sz w:val="18"/>
                <w:szCs w:val="18"/>
              </w:rPr>
              <w:t>10</w:t>
            </w:r>
          </w:p>
        </w:tc>
        <w:tc>
          <w:tcPr>
            <w:tcW w:w="740" w:type="pct"/>
            <w:tcBorders>
              <w:top w:val="nil"/>
              <w:left w:val="nil"/>
              <w:bottom w:val="single" w:sz="4" w:space="0" w:color="auto"/>
              <w:right w:val="nil"/>
            </w:tcBorders>
            <w:shd w:val="clear" w:color="auto" w:fill="auto"/>
            <w:vAlign w:val="center"/>
          </w:tcPr>
          <w:p w14:paraId="4BC9C114" w14:textId="0E17CEEC" w:rsidR="00F47B3B" w:rsidRPr="00176BA0" w:rsidRDefault="00F47B3B" w:rsidP="00F47B3B">
            <w:pPr>
              <w:jc w:val="center"/>
              <w:rPr>
                <w:b/>
                <w:bCs/>
                <w:sz w:val="18"/>
                <w:szCs w:val="18"/>
              </w:rPr>
            </w:pPr>
            <w:r w:rsidRPr="00176BA0">
              <w:rPr>
                <w:b/>
                <w:bCs/>
                <w:sz w:val="18"/>
                <w:szCs w:val="18"/>
              </w:rPr>
              <w:t>36</w:t>
            </w:r>
          </w:p>
        </w:tc>
      </w:tr>
    </w:tbl>
    <w:p w14:paraId="40891D7A" w14:textId="01C4F532"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El total de emp</w:t>
      </w:r>
      <w:r w:rsidR="00792C0E" w:rsidRPr="00176BA0">
        <w:rPr>
          <w:snapToGrid w:val="0"/>
          <w:sz w:val="20"/>
          <w:szCs w:val="22"/>
        </w:rPr>
        <w:t>leados del ejercicio 20</w:t>
      </w:r>
      <w:r w:rsidR="00322E9D" w:rsidRPr="00176BA0">
        <w:rPr>
          <w:snapToGrid w:val="0"/>
          <w:sz w:val="20"/>
          <w:szCs w:val="22"/>
        </w:rPr>
        <w:t>2</w:t>
      </w:r>
      <w:r w:rsidR="00F80C42" w:rsidRPr="00176BA0">
        <w:rPr>
          <w:snapToGrid w:val="0"/>
          <w:sz w:val="20"/>
          <w:szCs w:val="22"/>
        </w:rPr>
        <w:t>1</w:t>
      </w:r>
      <w:r w:rsidR="003801D3" w:rsidRPr="00176BA0">
        <w:rPr>
          <w:snapToGrid w:val="0"/>
          <w:sz w:val="20"/>
          <w:szCs w:val="22"/>
        </w:rPr>
        <w:t xml:space="preserve"> ascendió a </w:t>
      </w:r>
      <w:r w:rsidR="00F47B3B" w:rsidRPr="00176BA0">
        <w:rPr>
          <w:snapToGrid w:val="0"/>
          <w:sz w:val="20"/>
          <w:szCs w:val="22"/>
        </w:rPr>
        <w:t>67</w:t>
      </w:r>
      <w:r w:rsidRPr="00176BA0">
        <w:rPr>
          <w:snapToGrid w:val="0"/>
          <w:sz w:val="20"/>
          <w:szCs w:val="22"/>
        </w:rPr>
        <w:t xml:space="preserve"> (</w:t>
      </w:r>
      <w:r w:rsidR="00322E9D" w:rsidRPr="00176BA0">
        <w:rPr>
          <w:snapToGrid w:val="0"/>
          <w:sz w:val="20"/>
          <w:szCs w:val="22"/>
        </w:rPr>
        <w:t>4</w:t>
      </w:r>
      <w:r w:rsidR="00F80C42" w:rsidRPr="00176BA0">
        <w:rPr>
          <w:snapToGrid w:val="0"/>
          <w:sz w:val="20"/>
          <w:szCs w:val="22"/>
        </w:rPr>
        <w:t>6</w:t>
      </w:r>
      <w:r w:rsidRPr="00176BA0">
        <w:rPr>
          <w:snapToGrid w:val="0"/>
          <w:sz w:val="20"/>
          <w:szCs w:val="22"/>
        </w:rPr>
        <w:t xml:space="preserve"> en </w:t>
      </w:r>
      <w:r w:rsidR="00954AA6">
        <w:rPr>
          <w:snapToGrid w:val="0"/>
          <w:sz w:val="20"/>
          <w:szCs w:val="22"/>
        </w:rPr>
        <w:t>el ejercicio anterior</w:t>
      </w:r>
      <w:r w:rsidRPr="00176BA0">
        <w:rPr>
          <w:snapToGrid w:val="0"/>
          <w:sz w:val="20"/>
          <w:szCs w:val="22"/>
        </w:rPr>
        <w:t xml:space="preserve">). </w:t>
      </w:r>
    </w:p>
    <w:p w14:paraId="673CADB4" w14:textId="77777777" w:rsidR="006220A2" w:rsidRPr="0083433F" w:rsidRDefault="006220A2" w:rsidP="00954AA6">
      <w:pPr>
        <w:widowControl w:val="0"/>
        <w:spacing w:before="200"/>
        <w:ind w:left="284"/>
        <w:rPr>
          <w:sz w:val="20"/>
          <w:u w:val="single"/>
        </w:rPr>
      </w:pPr>
      <w:r w:rsidRPr="0083433F">
        <w:rPr>
          <w:sz w:val="20"/>
          <w:u w:val="single"/>
        </w:rPr>
        <w:t>Honorarios de auditores de cuentas</w:t>
      </w:r>
    </w:p>
    <w:p w14:paraId="1DE0D12C" w14:textId="6C2593B0" w:rsidR="00954AA6"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 xml:space="preserve">Los honorarios devengados durante el ejercicio por los servicios de auditoría de cuentas ascendieron </w:t>
      </w:r>
      <w:r w:rsidR="00797DBD" w:rsidRPr="00176BA0">
        <w:rPr>
          <w:snapToGrid w:val="0"/>
          <w:sz w:val="20"/>
          <w:szCs w:val="22"/>
        </w:rPr>
        <w:t>a 8.</w:t>
      </w:r>
      <w:r w:rsidR="00841182" w:rsidRPr="00176BA0">
        <w:rPr>
          <w:snapToGrid w:val="0"/>
          <w:sz w:val="20"/>
          <w:szCs w:val="22"/>
        </w:rPr>
        <w:t>000</w:t>
      </w:r>
      <w:r w:rsidRPr="00176BA0">
        <w:rPr>
          <w:snapToGrid w:val="0"/>
          <w:sz w:val="20"/>
          <w:szCs w:val="22"/>
        </w:rPr>
        <w:t>,</w:t>
      </w:r>
      <w:r w:rsidR="00797DBD" w:rsidRPr="00176BA0">
        <w:rPr>
          <w:snapToGrid w:val="0"/>
          <w:sz w:val="20"/>
          <w:szCs w:val="22"/>
        </w:rPr>
        <w:t xml:space="preserve">00 euros (8.000,00 euros en </w:t>
      </w:r>
      <w:r w:rsidR="00954AA6">
        <w:rPr>
          <w:snapToGrid w:val="0"/>
          <w:sz w:val="20"/>
          <w:szCs w:val="22"/>
        </w:rPr>
        <w:t>el ejercicio anterior)</w:t>
      </w:r>
      <w:r w:rsidRPr="00176BA0">
        <w:rPr>
          <w:snapToGrid w:val="0"/>
          <w:sz w:val="20"/>
          <w:szCs w:val="22"/>
        </w:rPr>
        <w:t xml:space="preserve">. </w:t>
      </w:r>
    </w:p>
    <w:p w14:paraId="789FBC46" w14:textId="77777777" w:rsidR="00954AA6" w:rsidRDefault="00954AA6">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04B624B8" w14:textId="5838D4A6" w:rsidR="00D357B3" w:rsidRPr="0083433F" w:rsidRDefault="00052BF5"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Pr>
          <w:b/>
          <w:snapToGrid w:val="0"/>
          <w:sz w:val="22"/>
          <w:szCs w:val="22"/>
        </w:rPr>
        <w:lastRenderedPageBreak/>
        <w:t xml:space="preserve"> </w:t>
      </w:r>
      <w:r w:rsidR="00D357B3" w:rsidRPr="0083433F">
        <w:rPr>
          <w:b/>
          <w:snapToGrid w:val="0"/>
          <w:sz w:val="22"/>
          <w:szCs w:val="22"/>
        </w:rPr>
        <w:t>Cumplimiento requisito para la consideración de medio propio</w:t>
      </w:r>
    </w:p>
    <w:p w14:paraId="5AAB68C8" w14:textId="77777777" w:rsidR="00D357B3" w:rsidRPr="0083433F" w:rsidRDefault="00D357B3" w:rsidP="00176BA0">
      <w:pPr>
        <w:widowControl w:val="0"/>
        <w:spacing w:before="120" w:after="120" w:line="260" w:lineRule="exact"/>
        <w:ind w:left="284"/>
        <w:jc w:val="both"/>
        <w:outlineLvl w:val="9"/>
        <w:rPr>
          <w:snapToGrid w:val="0"/>
          <w:sz w:val="20"/>
          <w:szCs w:val="22"/>
        </w:rPr>
      </w:pPr>
      <w:r w:rsidRPr="0083433F">
        <w:rPr>
          <w:snapToGrid w:val="0"/>
          <w:sz w:val="20"/>
          <w:szCs w:val="22"/>
        </w:rPr>
        <w:t xml:space="preserve">El artículo 32.2.b) de la Ley 9/2017, de 8 de noviembre, de Contratos del Sector Público, por la que se transponen al ordenamiento </w:t>
      </w:r>
      <w:r w:rsidR="00DF4BF7" w:rsidRPr="0083433F">
        <w:rPr>
          <w:snapToGrid w:val="0"/>
          <w:sz w:val="20"/>
          <w:szCs w:val="22"/>
        </w:rPr>
        <w:t>jurídico</w:t>
      </w:r>
      <w:r w:rsidRPr="0083433F">
        <w:rPr>
          <w:snapToGrid w:val="0"/>
          <w:sz w:val="20"/>
          <w:szCs w:val="22"/>
        </w:rPr>
        <w:t xml:space="preserve"> español las Directivas del parlamento Europeo y del consejo 2014/23/UE y 2014/24/UE, de 26 de febrero de 2014, establece respecto a los encargos de los poderes adjudicadores a medios propios personificados que para tener la consideración de medio propio es necesario que más del 80</w:t>
      </w:r>
      <w:r w:rsidR="00497BBB" w:rsidRPr="0083433F">
        <w:rPr>
          <w:snapToGrid w:val="0"/>
          <w:sz w:val="20"/>
          <w:szCs w:val="22"/>
        </w:rPr>
        <w:t>%</w:t>
      </w:r>
      <w:r w:rsidRPr="0083433F">
        <w:rPr>
          <w:snapToGrid w:val="0"/>
          <w:sz w:val="20"/>
          <w:szCs w:val="22"/>
        </w:rPr>
        <w:t xml:space="preserve"> de las actividades del ente destinatario del encargo se lleven a cabo en el ejercicio de los cometidos que le han sido confiados por el poder adjudicador que hace el encargo y que lo controla o por otras personas jurídicas controladas del mismo modo por la entidad que hace el encargo. Y a tal efecto prevé, entre otros cri</w:t>
      </w:r>
      <w:r w:rsidR="00497BBB" w:rsidRPr="0083433F">
        <w:rPr>
          <w:snapToGrid w:val="0"/>
          <w:sz w:val="20"/>
          <w:szCs w:val="22"/>
        </w:rPr>
        <w:t>terios, que para calcular el 80%</w:t>
      </w:r>
      <w:r w:rsidRPr="0083433F">
        <w:rPr>
          <w:snapToGrid w:val="0"/>
          <w:sz w:val="20"/>
          <w:szCs w:val="22"/>
        </w:rPr>
        <w:t xml:space="preserve"> de las actividades del ente destinatario del encargo se tomarán en consideración el promedio del volumen global de negocios por los servicios prestados al poder adjudicador en relación con la totalidad de los prestados a cualquier entidad, y todo ello referido a los tres ejercicios anteriores al de formalización del encargo.</w:t>
      </w:r>
    </w:p>
    <w:p w14:paraId="7CDF947F" w14:textId="77777777" w:rsidR="00D357B3" w:rsidRPr="0083433F" w:rsidRDefault="00D357B3" w:rsidP="00176BA0">
      <w:pPr>
        <w:widowControl w:val="0"/>
        <w:spacing w:before="120" w:after="120" w:line="260" w:lineRule="exact"/>
        <w:ind w:left="284"/>
        <w:jc w:val="both"/>
        <w:outlineLvl w:val="9"/>
        <w:rPr>
          <w:snapToGrid w:val="0"/>
          <w:sz w:val="20"/>
          <w:szCs w:val="22"/>
        </w:rPr>
      </w:pPr>
      <w:r w:rsidRPr="0083433F">
        <w:rPr>
          <w:snapToGrid w:val="0"/>
          <w:sz w:val="20"/>
          <w:szCs w:val="22"/>
        </w:rPr>
        <w:t>La Sociedad de acuerdo con la normativa vigente actúa en condición de ente instrumental de la Comunidad Autónoma de Canarias que controla el 100% de su capital social.</w:t>
      </w:r>
    </w:p>
    <w:p w14:paraId="2850D628" w14:textId="77777777" w:rsidR="00D357B3" w:rsidRPr="0083433F" w:rsidRDefault="00D357B3" w:rsidP="00176BA0">
      <w:pPr>
        <w:widowControl w:val="0"/>
        <w:spacing w:before="120" w:after="120" w:line="260" w:lineRule="exact"/>
        <w:ind w:left="284"/>
        <w:jc w:val="both"/>
        <w:outlineLvl w:val="9"/>
        <w:rPr>
          <w:snapToGrid w:val="0"/>
          <w:sz w:val="20"/>
          <w:szCs w:val="22"/>
        </w:rPr>
      </w:pPr>
      <w:r w:rsidRPr="0083433F">
        <w:rPr>
          <w:snapToGrid w:val="0"/>
          <w:sz w:val="20"/>
          <w:szCs w:val="22"/>
        </w:rPr>
        <w:t xml:space="preserve">De acuerdo con dicho criterio de promedio el volumen de negocios se adjunta el siguiente cuadro donde se recoge el importe neto de la cifra de negocios </w:t>
      </w:r>
      <w:r w:rsidR="00A8074D" w:rsidRPr="0083433F">
        <w:rPr>
          <w:snapToGrid w:val="0"/>
          <w:sz w:val="20"/>
          <w:szCs w:val="22"/>
        </w:rPr>
        <w:t xml:space="preserve">y las subvenciones de explotación, </w:t>
      </w:r>
      <w:r w:rsidRPr="0083433F">
        <w:rPr>
          <w:snapToGrid w:val="0"/>
          <w:sz w:val="20"/>
          <w:szCs w:val="22"/>
        </w:rPr>
        <w:t>que tiene</w:t>
      </w:r>
      <w:r w:rsidR="00A8074D" w:rsidRPr="0083433F">
        <w:rPr>
          <w:snapToGrid w:val="0"/>
          <w:sz w:val="20"/>
          <w:szCs w:val="22"/>
        </w:rPr>
        <w:t>n</w:t>
      </w:r>
      <w:r w:rsidRPr="0083433F">
        <w:rPr>
          <w:snapToGrid w:val="0"/>
          <w:sz w:val="20"/>
          <w:szCs w:val="22"/>
        </w:rPr>
        <w:t xml:space="preserve"> su origen en el ejercicio de los cometidos que le han sido confiados por el poder </w:t>
      </w:r>
      <w:r w:rsidR="00382980" w:rsidRPr="0083433F">
        <w:rPr>
          <w:snapToGrid w:val="0"/>
          <w:sz w:val="20"/>
          <w:szCs w:val="22"/>
        </w:rPr>
        <w:t>adjudicador</w:t>
      </w:r>
      <w:r w:rsidR="00A8074D" w:rsidRPr="0083433F">
        <w:rPr>
          <w:snapToGrid w:val="0"/>
          <w:sz w:val="20"/>
          <w:szCs w:val="22"/>
        </w:rPr>
        <w:t xml:space="preserve"> y</w:t>
      </w:r>
      <w:r w:rsidRPr="0083433F">
        <w:rPr>
          <w:snapToGrid w:val="0"/>
          <w:sz w:val="20"/>
          <w:szCs w:val="22"/>
        </w:rPr>
        <w:t xml:space="preserve"> </w:t>
      </w:r>
      <w:r w:rsidR="00A8074D" w:rsidRPr="0083433F">
        <w:rPr>
          <w:snapToGrid w:val="0"/>
          <w:sz w:val="20"/>
          <w:szCs w:val="22"/>
        </w:rPr>
        <w:t>los ingresos accesorios</w:t>
      </w:r>
      <w:r w:rsidRPr="0083433F">
        <w:rPr>
          <w:snapToGrid w:val="0"/>
          <w:sz w:val="20"/>
          <w:szCs w:val="22"/>
        </w:rPr>
        <w:t xml:space="preserve"> que tienen su origen en el ejercicio de cometidos distinto</w:t>
      </w:r>
      <w:r w:rsidR="002D73E2" w:rsidRPr="0083433F">
        <w:rPr>
          <w:snapToGrid w:val="0"/>
          <w:sz w:val="20"/>
          <w:szCs w:val="22"/>
        </w:rPr>
        <w:t>s a los confiados por el poder</w:t>
      </w:r>
      <w:r w:rsidRPr="0083433F">
        <w:rPr>
          <w:snapToGrid w:val="0"/>
          <w:sz w:val="20"/>
          <w:szCs w:val="22"/>
        </w:rPr>
        <w:t xml:space="preserve"> adjudicado</w:t>
      </w:r>
      <w:r w:rsidR="002D73E2" w:rsidRPr="0083433F">
        <w:rPr>
          <w:snapToGrid w:val="0"/>
          <w:sz w:val="20"/>
          <w:szCs w:val="22"/>
        </w:rPr>
        <w:t>r que hace</w:t>
      </w:r>
      <w:r w:rsidRPr="0083433F">
        <w:rPr>
          <w:snapToGrid w:val="0"/>
          <w:sz w:val="20"/>
          <w:szCs w:val="22"/>
        </w:rPr>
        <w:t xml:space="preserve"> el encargo, y el correspondiente porcentaje para los tres ejercicios anteriores:</w:t>
      </w:r>
    </w:p>
    <w:tbl>
      <w:tblPr>
        <w:tblW w:w="5000" w:type="pct"/>
        <w:tblCellMar>
          <w:left w:w="70" w:type="dxa"/>
          <w:right w:w="70" w:type="dxa"/>
        </w:tblCellMar>
        <w:tblLook w:val="04A0" w:firstRow="1" w:lastRow="0" w:firstColumn="1" w:lastColumn="0" w:noHBand="0" w:noVBand="1"/>
      </w:tblPr>
      <w:tblGrid>
        <w:gridCol w:w="3513"/>
        <w:gridCol w:w="1317"/>
        <w:gridCol w:w="1317"/>
        <w:gridCol w:w="1317"/>
        <w:gridCol w:w="1317"/>
      </w:tblGrid>
      <w:tr w:rsidR="000612E0" w:rsidRPr="00954AA6" w14:paraId="4BB40FA5" w14:textId="77777777" w:rsidTr="00954AA6">
        <w:trPr>
          <w:trHeight w:val="227"/>
        </w:trPr>
        <w:tc>
          <w:tcPr>
            <w:tcW w:w="2000" w:type="pct"/>
            <w:tcBorders>
              <w:top w:val="single" w:sz="4" w:space="0" w:color="auto"/>
              <w:left w:val="nil"/>
              <w:right w:val="nil"/>
            </w:tcBorders>
            <w:shd w:val="clear" w:color="auto" w:fill="auto"/>
            <w:vAlign w:val="bottom"/>
          </w:tcPr>
          <w:p w14:paraId="4034867C" w14:textId="77777777" w:rsidR="000612E0" w:rsidRPr="00954AA6" w:rsidRDefault="000612E0" w:rsidP="00954AA6">
            <w:pPr>
              <w:pBdr>
                <w:top w:val="none" w:sz="0" w:space="0" w:color="auto"/>
                <w:left w:val="none" w:sz="0" w:space="0" w:color="auto"/>
                <w:bottom w:val="none" w:sz="0" w:space="0" w:color="auto"/>
                <w:right w:val="none" w:sz="0" w:space="0" w:color="auto"/>
                <w:between w:val="none" w:sz="0" w:space="0" w:color="auto"/>
                <w:bar w:val="none" w:sz="0" w:color="auto"/>
              </w:pBdr>
              <w:ind w:left="77"/>
              <w:jc w:val="center"/>
              <w:outlineLvl w:val="9"/>
              <w:rPr>
                <w:rFonts w:eastAsia="Times New Roman"/>
                <w:sz w:val="18"/>
                <w:szCs w:val="18"/>
                <w:bdr w:val="none" w:sz="0" w:space="0" w:color="auto"/>
                <w:lang w:eastAsia="es-ES"/>
              </w:rPr>
            </w:pPr>
          </w:p>
        </w:tc>
        <w:tc>
          <w:tcPr>
            <w:tcW w:w="3000" w:type="pct"/>
            <w:gridSpan w:val="4"/>
            <w:tcBorders>
              <w:top w:val="single" w:sz="4" w:space="0" w:color="auto"/>
              <w:left w:val="nil"/>
              <w:bottom w:val="single" w:sz="4" w:space="0" w:color="auto"/>
              <w:right w:val="nil"/>
            </w:tcBorders>
            <w:shd w:val="clear" w:color="auto" w:fill="auto"/>
            <w:vAlign w:val="bottom"/>
          </w:tcPr>
          <w:p w14:paraId="3A18279A" w14:textId="77777777" w:rsidR="000612E0" w:rsidRPr="00954AA6" w:rsidRDefault="000612E0"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F13C69" w:rsidRPr="00954AA6" w14:paraId="49163108" w14:textId="77777777" w:rsidTr="00954AA6">
        <w:trPr>
          <w:trHeight w:val="227"/>
        </w:trPr>
        <w:tc>
          <w:tcPr>
            <w:tcW w:w="2000" w:type="pct"/>
            <w:tcBorders>
              <w:left w:val="nil"/>
              <w:bottom w:val="single" w:sz="4" w:space="0" w:color="auto"/>
              <w:right w:val="nil"/>
            </w:tcBorders>
            <w:shd w:val="clear" w:color="auto" w:fill="auto"/>
            <w:vAlign w:val="bottom"/>
            <w:hideMark/>
          </w:tcPr>
          <w:p w14:paraId="55C8F878" w14:textId="77777777" w:rsidR="00F13C69" w:rsidRPr="00954AA6" w:rsidRDefault="00F13C69" w:rsidP="00954AA6">
            <w:pPr>
              <w:pBdr>
                <w:top w:val="none" w:sz="0" w:space="0" w:color="auto"/>
                <w:left w:val="none" w:sz="0" w:space="0" w:color="auto"/>
                <w:bottom w:val="none" w:sz="0" w:space="0" w:color="auto"/>
                <w:right w:val="none" w:sz="0" w:space="0" w:color="auto"/>
                <w:between w:val="none" w:sz="0" w:space="0" w:color="auto"/>
                <w:bar w:val="none" w:sz="0" w:color="auto"/>
              </w:pBdr>
              <w:ind w:left="77"/>
              <w:jc w:val="center"/>
              <w:outlineLvl w:val="9"/>
              <w:rPr>
                <w:rFonts w:eastAsia="Times New Roman"/>
                <w:sz w:val="18"/>
                <w:szCs w:val="18"/>
                <w:bdr w:val="none" w:sz="0" w:space="0" w:color="auto"/>
                <w:lang w:eastAsia="es-ES"/>
              </w:rPr>
            </w:pPr>
          </w:p>
        </w:tc>
        <w:tc>
          <w:tcPr>
            <w:tcW w:w="750" w:type="pct"/>
            <w:tcBorders>
              <w:top w:val="single" w:sz="4" w:space="0" w:color="auto"/>
              <w:left w:val="nil"/>
              <w:bottom w:val="single" w:sz="4" w:space="0" w:color="auto"/>
              <w:right w:val="nil"/>
            </w:tcBorders>
            <w:shd w:val="clear" w:color="auto" w:fill="auto"/>
            <w:vAlign w:val="bottom"/>
            <w:hideMark/>
          </w:tcPr>
          <w:p w14:paraId="19F0F108" w14:textId="5EAD15F9" w:rsidR="00F13C69" w:rsidRPr="00954AA6" w:rsidRDefault="000612E0"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8F34A0" w:rsidRPr="00954AA6">
              <w:rPr>
                <w:rFonts w:eastAsia="Times New Roman"/>
                <w:b/>
                <w:bCs/>
                <w:sz w:val="18"/>
                <w:szCs w:val="18"/>
                <w:bdr w:val="none" w:sz="0" w:space="0" w:color="auto"/>
                <w:lang w:eastAsia="es-ES"/>
              </w:rPr>
              <w:t>1</w:t>
            </w:r>
          </w:p>
        </w:tc>
        <w:tc>
          <w:tcPr>
            <w:tcW w:w="750" w:type="pct"/>
            <w:tcBorders>
              <w:top w:val="single" w:sz="4" w:space="0" w:color="auto"/>
              <w:left w:val="nil"/>
              <w:bottom w:val="single" w:sz="4" w:space="0" w:color="auto"/>
              <w:right w:val="nil"/>
            </w:tcBorders>
            <w:shd w:val="clear" w:color="auto" w:fill="auto"/>
            <w:vAlign w:val="bottom"/>
            <w:hideMark/>
          </w:tcPr>
          <w:p w14:paraId="4B5B86CA" w14:textId="6C498A59" w:rsidR="00F13C69" w:rsidRPr="00954AA6" w:rsidRDefault="000612E0"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w:t>
            </w:r>
            <w:r w:rsidR="008F34A0" w:rsidRPr="00954AA6">
              <w:rPr>
                <w:rFonts w:eastAsia="Times New Roman"/>
                <w:b/>
                <w:bCs/>
                <w:sz w:val="18"/>
                <w:szCs w:val="18"/>
                <w:bdr w:val="none" w:sz="0" w:space="0" w:color="auto"/>
                <w:lang w:eastAsia="es-ES"/>
              </w:rPr>
              <w:t>20</w:t>
            </w:r>
          </w:p>
        </w:tc>
        <w:tc>
          <w:tcPr>
            <w:tcW w:w="750" w:type="pct"/>
            <w:tcBorders>
              <w:top w:val="single" w:sz="4" w:space="0" w:color="auto"/>
              <w:left w:val="nil"/>
              <w:bottom w:val="single" w:sz="4" w:space="0" w:color="auto"/>
              <w:right w:val="nil"/>
            </w:tcBorders>
            <w:shd w:val="clear" w:color="auto" w:fill="auto"/>
            <w:vAlign w:val="bottom"/>
            <w:hideMark/>
          </w:tcPr>
          <w:p w14:paraId="114EC6C8" w14:textId="234F6EEF" w:rsidR="00F13C69" w:rsidRPr="00954AA6" w:rsidRDefault="000612E0"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201</w:t>
            </w:r>
            <w:r w:rsidR="008F34A0" w:rsidRPr="00954AA6">
              <w:rPr>
                <w:rFonts w:eastAsia="Times New Roman"/>
                <w:b/>
                <w:bCs/>
                <w:sz w:val="18"/>
                <w:szCs w:val="18"/>
                <w:bdr w:val="none" w:sz="0" w:space="0" w:color="auto"/>
                <w:lang w:eastAsia="es-ES"/>
              </w:rPr>
              <w:t>9</w:t>
            </w:r>
          </w:p>
        </w:tc>
        <w:tc>
          <w:tcPr>
            <w:tcW w:w="750" w:type="pct"/>
            <w:tcBorders>
              <w:top w:val="single" w:sz="4" w:space="0" w:color="auto"/>
              <w:left w:val="nil"/>
              <w:bottom w:val="single" w:sz="4" w:space="0" w:color="auto"/>
              <w:right w:val="nil"/>
            </w:tcBorders>
            <w:shd w:val="clear" w:color="auto" w:fill="auto"/>
            <w:vAlign w:val="bottom"/>
            <w:hideMark/>
          </w:tcPr>
          <w:p w14:paraId="162CA081" w14:textId="77777777" w:rsidR="00F13C69" w:rsidRPr="00954AA6" w:rsidRDefault="00F13C69"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Total</w:t>
            </w:r>
          </w:p>
        </w:tc>
      </w:tr>
      <w:tr w:rsidR="00240C47" w:rsidRPr="00954AA6" w14:paraId="61AA0ADC" w14:textId="77777777" w:rsidTr="00954AA6">
        <w:trPr>
          <w:trHeight w:val="283"/>
        </w:trPr>
        <w:tc>
          <w:tcPr>
            <w:tcW w:w="2000" w:type="pct"/>
            <w:tcBorders>
              <w:top w:val="nil"/>
              <w:left w:val="nil"/>
              <w:bottom w:val="nil"/>
              <w:right w:val="nil"/>
            </w:tcBorders>
            <w:shd w:val="clear" w:color="auto" w:fill="auto"/>
            <w:noWrap/>
            <w:vAlign w:val="center"/>
            <w:hideMark/>
          </w:tcPr>
          <w:p w14:paraId="7363D446" w14:textId="77777777" w:rsidR="00240C47" w:rsidRPr="00954AA6" w:rsidRDefault="00240C47" w:rsidP="00954AA6">
            <w:pPr>
              <w:pBdr>
                <w:top w:val="none" w:sz="0" w:space="0" w:color="auto"/>
                <w:left w:val="none" w:sz="0" w:space="0" w:color="auto"/>
                <w:bottom w:val="none" w:sz="0" w:space="0" w:color="auto"/>
                <w:right w:val="none" w:sz="0" w:space="0" w:color="auto"/>
                <w:between w:val="none" w:sz="0" w:space="0" w:color="auto"/>
                <w:bar w:val="none" w:sz="0" w:color="auto"/>
              </w:pBdr>
              <w:ind w:left="77"/>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Encomiendas CAC</w:t>
            </w:r>
          </w:p>
        </w:tc>
        <w:tc>
          <w:tcPr>
            <w:tcW w:w="750" w:type="pct"/>
            <w:tcBorders>
              <w:top w:val="nil"/>
              <w:left w:val="nil"/>
              <w:bottom w:val="nil"/>
              <w:right w:val="nil"/>
            </w:tcBorders>
            <w:shd w:val="clear" w:color="auto" w:fill="auto"/>
            <w:vAlign w:val="center"/>
          </w:tcPr>
          <w:p w14:paraId="57D36F80" w14:textId="168B11E9" w:rsidR="00240C47" w:rsidRPr="00954AA6" w:rsidRDefault="00240C47" w:rsidP="00240C4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954AA6">
              <w:rPr>
                <w:sz w:val="18"/>
                <w:szCs w:val="18"/>
              </w:rPr>
              <w:t>236.170,83</w:t>
            </w:r>
          </w:p>
        </w:tc>
        <w:tc>
          <w:tcPr>
            <w:tcW w:w="750" w:type="pct"/>
            <w:tcBorders>
              <w:top w:val="nil"/>
              <w:left w:val="nil"/>
              <w:bottom w:val="nil"/>
              <w:right w:val="nil"/>
            </w:tcBorders>
            <w:shd w:val="clear" w:color="auto" w:fill="auto"/>
            <w:vAlign w:val="center"/>
            <w:hideMark/>
          </w:tcPr>
          <w:p w14:paraId="656954E5" w14:textId="144B95F1" w:rsidR="00240C47" w:rsidRPr="00954AA6" w:rsidRDefault="00240C47" w:rsidP="00240C47">
            <w:pPr>
              <w:jc w:val="right"/>
              <w:rPr>
                <w:sz w:val="18"/>
                <w:szCs w:val="18"/>
              </w:rPr>
            </w:pPr>
            <w:r w:rsidRPr="00954AA6">
              <w:rPr>
                <w:sz w:val="18"/>
                <w:szCs w:val="18"/>
              </w:rPr>
              <w:t>120.434,00</w:t>
            </w:r>
          </w:p>
        </w:tc>
        <w:tc>
          <w:tcPr>
            <w:tcW w:w="750" w:type="pct"/>
            <w:tcBorders>
              <w:top w:val="nil"/>
              <w:left w:val="nil"/>
              <w:bottom w:val="nil"/>
              <w:right w:val="nil"/>
            </w:tcBorders>
            <w:shd w:val="clear" w:color="auto" w:fill="auto"/>
            <w:vAlign w:val="center"/>
            <w:hideMark/>
          </w:tcPr>
          <w:p w14:paraId="14EAB567" w14:textId="223447B3" w:rsidR="00240C47" w:rsidRPr="00954AA6" w:rsidRDefault="00240C47" w:rsidP="00240C47">
            <w:pPr>
              <w:jc w:val="right"/>
              <w:rPr>
                <w:sz w:val="18"/>
                <w:szCs w:val="18"/>
              </w:rPr>
            </w:pPr>
            <w:r w:rsidRPr="00954AA6">
              <w:rPr>
                <w:sz w:val="18"/>
                <w:szCs w:val="18"/>
              </w:rPr>
              <w:t>97.934,00</w:t>
            </w:r>
          </w:p>
        </w:tc>
        <w:tc>
          <w:tcPr>
            <w:tcW w:w="750" w:type="pct"/>
            <w:tcBorders>
              <w:top w:val="nil"/>
              <w:left w:val="nil"/>
              <w:bottom w:val="nil"/>
              <w:right w:val="nil"/>
            </w:tcBorders>
            <w:shd w:val="clear" w:color="auto" w:fill="auto"/>
            <w:vAlign w:val="center"/>
          </w:tcPr>
          <w:p w14:paraId="0B3DEC97" w14:textId="5E3895C4" w:rsidR="00240C47" w:rsidRPr="00954AA6" w:rsidRDefault="00240C47" w:rsidP="00240C47">
            <w:pPr>
              <w:jc w:val="right"/>
              <w:rPr>
                <w:sz w:val="18"/>
                <w:szCs w:val="18"/>
              </w:rPr>
            </w:pPr>
            <w:r w:rsidRPr="00954AA6">
              <w:rPr>
                <w:sz w:val="18"/>
                <w:szCs w:val="18"/>
              </w:rPr>
              <w:t>454.538,83</w:t>
            </w:r>
          </w:p>
        </w:tc>
      </w:tr>
      <w:tr w:rsidR="00240C47" w:rsidRPr="00954AA6" w14:paraId="70384F29" w14:textId="77777777" w:rsidTr="00954AA6">
        <w:trPr>
          <w:trHeight w:val="283"/>
        </w:trPr>
        <w:tc>
          <w:tcPr>
            <w:tcW w:w="2000" w:type="pct"/>
            <w:tcBorders>
              <w:top w:val="nil"/>
              <w:left w:val="nil"/>
              <w:bottom w:val="nil"/>
              <w:right w:val="nil"/>
            </w:tcBorders>
            <w:shd w:val="clear" w:color="auto" w:fill="auto"/>
            <w:noWrap/>
            <w:vAlign w:val="center"/>
            <w:hideMark/>
          </w:tcPr>
          <w:p w14:paraId="536F87FE" w14:textId="77777777" w:rsidR="00240C47" w:rsidRPr="00954AA6" w:rsidRDefault="00240C47" w:rsidP="00954AA6">
            <w:pPr>
              <w:pBdr>
                <w:top w:val="none" w:sz="0" w:space="0" w:color="auto"/>
                <w:left w:val="none" w:sz="0" w:space="0" w:color="auto"/>
                <w:bottom w:val="none" w:sz="0" w:space="0" w:color="auto"/>
                <w:right w:val="none" w:sz="0" w:space="0" w:color="auto"/>
                <w:between w:val="none" w:sz="0" w:space="0" w:color="auto"/>
                <w:bar w:val="none" w:sz="0" w:color="auto"/>
              </w:pBdr>
              <w:ind w:left="77"/>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Ingresos accesorios</w:t>
            </w:r>
          </w:p>
        </w:tc>
        <w:tc>
          <w:tcPr>
            <w:tcW w:w="750" w:type="pct"/>
            <w:tcBorders>
              <w:top w:val="nil"/>
              <w:left w:val="nil"/>
              <w:bottom w:val="nil"/>
              <w:right w:val="nil"/>
            </w:tcBorders>
            <w:shd w:val="clear" w:color="auto" w:fill="auto"/>
            <w:vAlign w:val="center"/>
          </w:tcPr>
          <w:p w14:paraId="78C0EE97" w14:textId="703AE4E5" w:rsidR="00240C47" w:rsidRPr="00954AA6" w:rsidRDefault="00240C47" w:rsidP="00240C47">
            <w:pPr>
              <w:jc w:val="right"/>
              <w:rPr>
                <w:sz w:val="18"/>
                <w:szCs w:val="18"/>
              </w:rPr>
            </w:pPr>
            <w:r w:rsidRPr="00954AA6">
              <w:rPr>
                <w:sz w:val="18"/>
                <w:szCs w:val="18"/>
              </w:rPr>
              <w:t>118.400,67</w:t>
            </w:r>
          </w:p>
        </w:tc>
        <w:tc>
          <w:tcPr>
            <w:tcW w:w="750" w:type="pct"/>
            <w:tcBorders>
              <w:top w:val="nil"/>
              <w:left w:val="nil"/>
              <w:bottom w:val="nil"/>
              <w:right w:val="nil"/>
            </w:tcBorders>
            <w:shd w:val="clear" w:color="auto" w:fill="auto"/>
            <w:vAlign w:val="center"/>
            <w:hideMark/>
          </w:tcPr>
          <w:p w14:paraId="1C8E1676" w14:textId="460CAE8C" w:rsidR="00240C47" w:rsidRPr="00954AA6" w:rsidRDefault="00240C47" w:rsidP="00240C47">
            <w:pPr>
              <w:jc w:val="right"/>
              <w:rPr>
                <w:sz w:val="18"/>
                <w:szCs w:val="18"/>
              </w:rPr>
            </w:pPr>
            <w:r w:rsidRPr="00954AA6">
              <w:rPr>
                <w:sz w:val="18"/>
                <w:szCs w:val="18"/>
              </w:rPr>
              <w:t>144.798,15</w:t>
            </w:r>
          </w:p>
        </w:tc>
        <w:tc>
          <w:tcPr>
            <w:tcW w:w="750" w:type="pct"/>
            <w:tcBorders>
              <w:top w:val="nil"/>
              <w:left w:val="nil"/>
              <w:bottom w:val="nil"/>
              <w:right w:val="nil"/>
            </w:tcBorders>
            <w:shd w:val="clear" w:color="auto" w:fill="auto"/>
            <w:vAlign w:val="center"/>
            <w:hideMark/>
          </w:tcPr>
          <w:p w14:paraId="12006D3C" w14:textId="2BDB351D" w:rsidR="00240C47" w:rsidRPr="00954AA6" w:rsidRDefault="00240C47" w:rsidP="00240C47">
            <w:pPr>
              <w:jc w:val="right"/>
              <w:rPr>
                <w:sz w:val="18"/>
                <w:szCs w:val="18"/>
              </w:rPr>
            </w:pPr>
            <w:r w:rsidRPr="00954AA6">
              <w:rPr>
                <w:sz w:val="18"/>
                <w:szCs w:val="18"/>
              </w:rPr>
              <w:t>488.526,87</w:t>
            </w:r>
          </w:p>
        </w:tc>
        <w:tc>
          <w:tcPr>
            <w:tcW w:w="750" w:type="pct"/>
            <w:tcBorders>
              <w:top w:val="nil"/>
              <w:left w:val="nil"/>
              <w:bottom w:val="nil"/>
              <w:right w:val="nil"/>
            </w:tcBorders>
            <w:shd w:val="clear" w:color="auto" w:fill="auto"/>
            <w:vAlign w:val="center"/>
          </w:tcPr>
          <w:p w14:paraId="356B4B66" w14:textId="3BD659BE" w:rsidR="00240C47" w:rsidRPr="00954AA6" w:rsidRDefault="00240C47" w:rsidP="00240C47">
            <w:pPr>
              <w:jc w:val="right"/>
              <w:rPr>
                <w:sz w:val="18"/>
                <w:szCs w:val="18"/>
              </w:rPr>
            </w:pPr>
            <w:r w:rsidRPr="00954AA6">
              <w:rPr>
                <w:sz w:val="18"/>
                <w:szCs w:val="18"/>
              </w:rPr>
              <w:t>751.725,69</w:t>
            </w:r>
          </w:p>
        </w:tc>
      </w:tr>
      <w:tr w:rsidR="00240C47" w:rsidRPr="00954AA6" w14:paraId="169400FF" w14:textId="77777777" w:rsidTr="00954AA6">
        <w:trPr>
          <w:trHeight w:val="283"/>
        </w:trPr>
        <w:tc>
          <w:tcPr>
            <w:tcW w:w="2000" w:type="pct"/>
            <w:tcBorders>
              <w:top w:val="nil"/>
              <w:left w:val="nil"/>
              <w:bottom w:val="nil"/>
              <w:right w:val="nil"/>
            </w:tcBorders>
            <w:shd w:val="clear" w:color="auto" w:fill="auto"/>
            <w:noWrap/>
            <w:vAlign w:val="center"/>
            <w:hideMark/>
          </w:tcPr>
          <w:p w14:paraId="3B41C032" w14:textId="77777777" w:rsidR="00240C47" w:rsidRPr="00954AA6" w:rsidRDefault="00240C47" w:rsidP="00954AA6">
            <w:pPr>
              <w:pBdr>
                <w:top w:val="none" w:sz="0" w:space="0" w:color="auto"/>
                <w:left w:val="none" w:sz="0" w:space="0" w:color="auto"/>
                <w:bottom w:val="none" w:sz="0" w:space="0" w:color="auto"/>
                <w:right w:val="none" w:sz="0" w:space="0" w:color="auto"/>
                <w:between w:val="none" w:sz="0" w:space="0" w:color="auto"/>
                <w:bar w:val="none" w:sz="0" w:color="auto"/>
              </w:pBdr>
              <w:ind w:left="77"/>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Subvenciones de explotación</w:t>
            </w:r>
          </w:p>
        </w:tc>
        <w:tc>
          <w:tcPr>
            <w:tcW w:w="750" w:type="pct"/>
            <w:tcBorders>
              <w:top w:val="nil"/>
              <w:left w:val="nil"/>
              <w:bottom w:val="nil"/>
              <w:right w:val="nil"/>
            </w:tcBorders>
            <w:shd w:val="clear" w:color="auto" w:fill="auto"/>
            <w:vAlign w:val="center"/>
          </w:tcPr>
          <w:p w14:paraId="64771202" w14:textId="1E6C0973" w:rsidR="00240C47" w:rsidRPr="00954AA6" w:rsidRDefault="00240C47" w:rsidP="00240C47">
            <w:pPr>
              <w:jc w:val="right"/>
              <w:rPr>
                <w:sz w:val="18"/>
                <w:szCs w:val="18"/>
              </w:rPr>
            </w:pPr>
            <w:r w:rsidRPr="00954AA6">
              <w:rPr>
                <w:sz w:val="18"/>
                <w:szCs w:val="18"/>
              </w:rPr>
              <w:t>40.953.751,32</w:t>
            </w:r>
          </w:p>
        </w:tc>
        <w:tc>
          <w:tcPr>
            <w:tcW w:w="750" w:type="pct"/>
            <w:tcBorders>
              <w:top w:val="nil"/>
              <w:left w:val="nil"/>
              <w:bottom w:val="nil"/>
              <w:right w:val="nil"/>
            </w:tcBorders>
            <w:shd w:val="clear" w:color="auto" w:fill="auto"/>
            <w:vAlign w:val="center"/>
            <w:hideMark/>
          </w:tcPr>
          <w:p w14:paraId="46FABA62" w14:textId="4A77A46A" w:rsidR="00240C47" w:rsidRPr="00954AA6" w:rsidRDefault="00240C47" w:rsidP="00240C47">
            <w:pPr>
              <w:jc w:val="right"/>
              <w:rPr>
                <w:sz w:val="18"/>
                <w:szCs w:val="18"/>
              </w:rPr>
            </w:pPr>
            <w:r w:rsidRPr="00954AA6">
              <w:rPr>
                <w:sz w:val="18"/>
                <w:szCs w:val="18"/>
              </w:rPr>
              <w:t>18.480.502,24</w:t>
            </w:r>
          </w:p>
        </w:tc>
        <w:tc>
          <w:tcPr>
            <w:tcW w:w="750" w:type="pct"/>
            <w:tcBorders>
              <w:top w:val="nil"/>
              <w:left w:val="nil"/>
              <w:bottom w:val="nil"/>
              <w:right w:val="nil"/>
            </w:tcBorders>
            <w:shd w:val="clear" w:color="auto" w:fill="auto"/>
            <w:vAlign w:val="center"/>
            <w:hideMark/>
          </w:tcPr>
          <w:p w14:paraId="1BCD0B69" w14:textId="60147C66" w:rsidR="00240C47" w:rsidRPr="00954AA6" w:rsidRDefault="00240C47" w:rsidP="00240C47">
            <w:pPr>
              <w:jc w:val="right"/>
              <w:rPr>
                <w:sz w:val="18"/>
                <w:szCs w:val="18"/>
              </w:rPr>
            </w:pPr>
            <w:r w:rsidRPr="00954AA6">
              <w:rPr>
                <w:sz w:val="18"/>
                <w:szCs w:val="18"/>
              </w:rPr>
              <w:t>18.907.361,00</w:t>
            </w:r>
          </w:p>
        </w:tc>
        <w:tc>
          <w:tcPr>
            <w:tcW w:w="750" w:type="pct"/>
            <w:tcBorders>
              <w:top w:val="nil"/>
              <w:left w:val="nil"/>
              <w:bottom w:val="nil"/>
              <w:right w:val="nil"/>
            </w:tcBorders>
            <w:shd w:val="clear" w:color="auto" w:fill="auto"/>
            <w:vAlign w:val="center"/>
          </w:tcPr>
          <w:p w14:paraId="243B6B66" w14:textId="293DAA30" w:rsidR="00240C47" w:rsidRPr="00954AA6" w:rsidRDefault="00240C47" w:rsidP="00240C47">
            <w:pPr>
              <w:jc w:val="right"/>
              <w:rPr>
                <w:sz w:val="18"/>
                <w:szCs w:val="18"/>
              </w:rPr>
            </w:pPr>
            <w:r w:rsidRPr="00954AA6">
              <w:rPr>
                <w:sz w:val="18"/>
                <w:szCs w:val="18"/>
              </w:rPr>
              <w:t>78.341.614,56</w:t>
            </w:r>
          </w:p>
        </w:tc>
      </w:tr>
      <w:tr w:rsidR="00240C47" w:rsidRPr="00954AA6" w14:paraId="54D145E7" w14:textId="77777777" w:rsidTr="00954AA6">
        <w:trPr>
          <w:trHeight w:val="283"/>
        </w:trPr>
        <w:tc>
          <w:tcPr>
            <w:tcW w:w="2000" w:type="pct"/>
            <w:tcBorders>
              <w:top w:val="single" w:sz="4" w:space="0" w:color="auto"/>
              <w:left w:val="nil"/>
              <w:bottom w:val="nil"/>
              <w:right w:val="nil"/>
            </w:tcBorders>
            <w:shd w:val="clear" w:color="auto" w:fill="auto"/>
            <w:noWrap/>
            <w:vAlign w:val="center"/>
            <w:hideMark/>
          </w:tcPr>
          <w:p w14:paraId="46F7016A" w14:textId="77777777" w:rsidR="00240C47" w:rsidRPr="00954AA6" w:rsidRDefault="00240C47" w:rsidP="00954AA6">
            <w:pPr>
              <w:pBdr>
                <w:top w:val="none" w:sz="0" w:space="0" w:color="auto"/>
                <w:left w:val="none" w:sz="0" w:space="0" w:color="auto"/>
                <w:bottom w:val="none" w:sz="0" w:space="0" w:color="auto"/>
                <w:right w:val="none" w:sz="0" w:space="0" w:color="auto"/>
                <w:between w:val="none" w:sz="0" w:space="0" w:color="auto"/>
                <w:bar w:val="none" w:sz="0" w:color="auto"/>
              </w:pBdr>
              <w:ind w:left="77"/>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Total Ingresos</w:t>
            </w:r>
          </w:p>
        </w:tc>
        <w:tc>
          <w:tcPr>
            <w:tcW w:w="750" w:type="pct"/>
            <w:tcBorders>
              <w:top w:val="single" w:sz="4" w:space="0" w:color="auto"/>
              <w:left w:val="nil"/>
              <w:bottom w:val="nil"/>
              <w:right w:val="nil"/>
            </w:tcBorders>
            <w:shd w:val="clear" w:color="auto" w:fill="auto"/>
            <w:vAlign w:val="center"/>
          </w:tcPr>
          <w:p w14:paraId="0CFE23FD" w14:textId="31B335C1" w:rsidR="00240C47" w:rsidRPr="00954AA6" w:rsidRDefault="00240C47" w:rsidP="00240C47">
            <w:pPr>
              <w:jc w:val="right"/>
              <w:rPr>
                <w:b/>
                <w:bCs/>
                <w:sz w:val="18"/>
                <w:szCs w:val="18"/>
              </w:rPr>
            </w:pPr>
            <w:r w:rsidRPr="00954AA6">
              <w:rPr>
                <w:b/>
                <w:bCs/>
                <w:sz w:val="18"/>
                <w:szCs w:val="18"/>
              </w:rPr>
              <w:t>41.308.322,82</w:t>
            </w:r>
          </w:p>
        </w:tc>
        <w:tc>
          <w:tcPr>
            <w:tcW w:w="750" w:type="pct"/>
            <w:tcBorders>
              <w:top w:val="single" w:sz="4" w:space="0" w:color="auto"/>
              <w:left w:val="nil"/>
              <w:bottom w:val="nil"/>
              <w:right w:val="nil"/>
            </w:tcBorders>
            <w:shd w:val="clear" w:color="auto" w:fill="auto"/>
            <w:vAlign w:val="center"/>
            <w:hideMark/>
          </w:tcPr>
          <w:p w14:paraId="0CB76AA5" w14:textId="38C3AE72" w:rsidR="00240C47" w:rsidRPr="00954AA6" w:rsidRDefault="00240C47" w:rsidP="00240C47">
            <w:pPr>
              <w:jc w:val="right"/>
              <w:rPr>
                <w:b/>
                <w:bCs/>
                <w:sz w:val="18"/>
                <w:szCs w:val="18"/>
              </w:rPr>
            </w:pPr>
            <w:r w:rsidRPr="00954AA6">
              <w:rPr>
                <w:b/>
                <w:bCs/>
                <w:sz w:val="18"/>
                <w:szCs w:val="18"/>
              </w:rPr>
              <w:t>18.745.734,39</w:t>
            </w:r>
          </w:p>
        </w:tc>
        <w:tc>
          <w:tcPr>
            <w:tcW w:w="750" w:type="pct"/>
            <w:tcBorders>
              <w:top w:val="single" w:sz="4" w:space="0" w:color="auto"/>
              <w:left w:val="nil"/>
              <w:bottom w:val="nil"/>
              <w:right w:val="nil"/>
            </w:tcBorders>
            <w:shd w:val="clear" w:color="auto" w:fill="auto"/>
            <w:vAlign w:val="center"/>
            <w:hideMark/>
          </w:tcPr>
          <w:p w14:paraId="7382E539" w14:textId="401FD095" w:rsidR="00240C47" w:rsidRPr="00954AA6" w:rsidRDefault="00240C47" w:rsidP="00240C47">
            <w:pPr>
              <w:jc w:val="right"/>
              <w:rPr>
                <w:b/>
                <w:bCs/>
                <w:sz w:val="18"/>
                <w:szCs w:val="18"/>
              </w:rPr>
            </w:pPr>
            <w:r w:rsidRPr="00954AA6">
              <w:rPr>
                <w:b/>
                <w:bCs/>
                <w:sz w:val="18"/>
                <w:szCs w:val="18"/>
              </w:rPr>
              <w:t>19.493.821,87</w:t>
            </w:r>
          </w:p>
        </w:tc>
        <w:tc>
          <w:tcPr>
            <w:tcW w:w="750" w:type="pct"/>
            <w:tcBorders>
              <w:top w:val="single" w:sz="4" w:space="0" w:color="auto"/>
              <w:left w:val="nil"/>
              <w:bottom w:val="nil"/>
              <w:right w:val="nil"/>
            </w:tcBorders>
            <w:shd w:val="clear" w:color="auto" w:fill="auto"/>
            <w:vAlign w:val="center"/>
          </w:tcPr>
          <w:p w14:paraId="7FA0BF21" w14:textId="3DB6B6F3" w:rsidR="00240C47" w:rsidRPr="00954AA6" w:rsidRDefault="00240C47" w:rsidP="00240C47">
            <w:pPr>
              <w:jc w:val="right"/>
              <w:rPr>
                <w:b/>
                <w:bCs/>
                <w:sz w:val="18"/>
                <w:szCs w:val="18"/>
              </w:rPr>
            </w:pPr>
            <w:r w:rsidRPr="00954AA6">
              <w:rPr>
                <w:b/>
                <w:bCs/>
                <w:sz w:val="18"/>
                <w:szCs w:val="18"/>
              </w:rPr>
              <w:t>79.547.879,08</w:t>
            </w:r>
          </w:p>
        </w:tc>
      </w:tr>
      <w:tr w:rsidR="00240C47" w:rsidRPr="00954AA6" w14:paraId="1266EDD6" w14:textId="77777777" w:rsidTr="00954AA6">
        <w:trPr>
          <w:trHeight w:val="283"/>
        </w:trPr>
        <w:tc>
          <w:tcPr>
            <w:tcW w:w="2000" w:type="pct"/>
            <w:tcBorders>
              <w:top w:val="nil"/>
              <w:left w:val="nil"/>
              <w:bottom w:val="single" w:sz="4" w:space="0" w:color="auto"/>
              <w:right w:val="nil"/>
            </w:tcBorders>
            <w:shd w:val="clear" w:color="auto" w:fill="auto"/>
            <w:noWrap/>
            <w:vAlign w:val="center"/>
            <w:hideMark/>
          </w:tcPr>
          <w:p w14:paraId="7B73A4ED" w14:textId="77777777" w:rsidR="00240C47" w:rsidRPr="00954AA6" w:rsidRDefault="00240C47" w:rsidP="00954AA6">
            <w:pPr>
              <w:pBdr>
                <w:top w:val="none" w:sz="0" w:space="0" w:color="auto"/>
                <w:left w:val="none" w:sz="0" w:space="0" w:color="auto"/>
                <w:bottom w:val="none" w:sz="0" w:space="0" w:color="auto"/>
                <w:right w:val="none" w:sz="0" w:space="0" w:color="auto"/>
                <w:between w:val="none" w:sz="0" w:space="0" w:color="auto"/>
                <w:bar w:val="none" w:sz="0" w:color="auto"/>
              </w:pBdr>
              <w:ind w:left="77"/>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 Adjudicaciones/Total Ingresos</w:t>
            </w:r>
          </w:p>
        </w:tc>
        <w:tc>
          <w:tcPr>
            <w:tcW w:w="750" w:type="pct"/>
            <w:tcBorders>
              <w:top w:val="nil"/>
              <w:left w:val="nil"/>
              <w:bottom w:val="single" w:sz="4" w:space="0" w:color="auto"/>
              <w:right w:val="nil"/>
            </w:tcBorders>
            <w:shd w:val="clear" w:color="auto" w:fill="auto"/>
            <w:vAlign w:val="center"/>
          </w:tcPr>
          <w:p w14:paraId="1E8B1B86" w14:textId="4321F0B3" w:rsidR="00240C47" w:rsidRPr="00954AA6" w:rsidRDefault="00240C47" w:rsidP="00240C47">
            <w:pPr>
              <w:jc w:val="center"/>
              <w:rPr>
                <w:b/>
                <w:bCs/>
                <w:sz w:val="18"/>
                <w:szCs w:val="18"/>
              </w:rPr>
            </w:pPr>
            <w:r w:rsidRPr="00954AA6">
              <w:rPr>
                <w:b/>
                <w:bCs/>
                <w:sz w:val="18"/>
                <w:szCs w:val="18"/>
              </w:rPr>
              <w:t>99,71%</w:t>
            </w:r>
          </w:p>
        </w:tc>
        <w:tc>
          <w:tcPr>
            <w:tcW w:w="750" w:type="pct"/>
            <w:tcBorders>
              <w:top w:val="nil"/>
              <w:left w:val="nil"/>
              <w:bottom w:val="single" w:sz="4" w:space="0" w:color="auto"/>
              <w:right w:val="nil"/>
            </w:tcBorders>
            <w:shd w:val="clear" w:color="auto" w:fill="auto"/>
            <w:vAlign w:val="center"/>
            <w:hideMark/>
          </w:tcPr>
          <w:p w14:paraId="59ABAE3B" w14:textId="32744452" w:rsidR="00240C47" w:rsidRPr="00954AA6" w:rsidRDefault="00240C47" w:rsidP="00240C47">
            <w:pPr>
              <w:jc w:val="center"/>
              <w:rPr>
                <w:b/>
                <w:bCs/>
                <w:sz w:val="18"/>
                <w:szCs w:val="18"/>
              </w:rPr>
            </w:pPr>
            <w:r w:rsidRPr="00954AA6">
              <w:rPr>
                <w:b/>
                <w:bCs/>
                <w:sz w:val="18"/>
                <w:szCs w:val="18"/>
              </w:rPr>
              <w:t>99,23%</w:t>
            </w:r>
          </w:p>
        </w:tc>
        <w:tc>
          <w:tcPr>
            <w:tcW w:w="750" w:type="pct"/>
            <w:tcBorders>
              <w:top w:val="nil"/>
              <w:left w:val="nil"/>
              <w:bottom w:val="single" w:sz="4" w:space="0" w:color="auto"/>
              <w:right w:val="nil"/>
            </w:tcBorders>
            <w:shd w:val="clear" w:color="auto" w:fill="auto"/>
            <w:vAlign w:val="center"/>
            <w:hideMark/>
          </w:tcPr>
          <w:p w14:paraId="2A48035F" w14:textId="5F1B3FF8" w:rsidR="00240C47" w:rsidRPr="00954AA6" w:rsidRDefault="00240C47" w:rsidP="00240C47">
            <w:pPr>
              <w:jc w:val="center"/>
              <w:rPr>
                <w:b/>
                <w:bCs/>
                <w:sz w:val="18"/>
                <w:szCs w:val="18"/>
              </w:rPr>
            </w:pPr>
            <w:r w:rsidRPr="00954AA6">
              <w:rPr>
                <w:b/>
                <w:bCs/>
                <w:sz w:val="18"/>
                <w:szCs w:val="18"/>
              </w:rPr>
              <w:t>97,49%</w:t>
            </w:r>
          </w:p>
        </w:tc>
        <w:tc>
          <w:tcPr>
            <w:tcW w:w="750" w:type="pct"/>
            <w:tcBorders>
              <w:top w:val="nil"/>
              <w:left w:val="nil"/>
              <w:bottom w:val="single" w:sz="4" w:space="0" w:color="auto"/>
              <w:right w:val="nil"/>
            </w:tcBorders>
            <w:shd w:val="clear" w:color="auto" w:fill="auto"/>
            <w:vAlign w:val="center"/>
          </w:tcPr>
          <w:p w14:paraId="27B6299B" w14:textId="25955501" w:rsidR="00240C47" w:rsidRPr="00954AA6" w:rsidRDefault="00240C47" w:rsidP="00240C47">
            <w:pPr>
              <w:jc w:val="center"/>
              <w:rPr>
                <w:b/>
                <w:bCs/>
                <w:sz w:val="18"/>
                <w:szCs w:val="18"/>
              </w:rPr>
            </w:pPr>
            <w:r w:rsidRPr="00954AA6">
              <w:rPr>
                <w:b/>
                <w:bCs/>
                <w:sz w:val="18"/>
                <w:szCs w:val="18"/>
              </w:rPr>
              <w:t>99,06%</w:t>
            </w:r>
          </w:p>
        </w:tc>
      </w:tr>
    </w:tbl>
    <w:p w14:paraId="11BEEC02" w14:textId="7C56EE59" w:rsidR="00954AA6" w:rsidRDefault="00D357B3" w:rsidP="00954AA6">
      <w:pPr>
        <w:widowControl w:val="0"/>
        <w:spacing w:before="120" w:after="120" w:line="260" w:lineRule="exact"/>
        <w:ind w:left="284"/>
        <w:jc w:val="both"/>
        <w:outlineLvl w:val="9"/>
        <w:rPr>
          <w:snapToGrid w:val="0"/>
          <w:sz w:val="20"/>
          <w:szCs w:val="22"/>
        </w:rPr>
      </w:pPr>
      <w:r w:rsidRPr="0083433F">
        <w:rPr>
          <w:snapToGrid w:val="0"/>
          <w:sz w:val="20"/>
          <w:szCs w:val="22"/>
        </w:rPr>
        <w:t xml:space="preserve">Por lo que se puede concluir que esta </w:t>
      </w:r>
      <w:r w:rsidR="002D73E2" w:rsidRPr="0083433F">
        <w:rPr>
          <w:snapToGrid w:val="0"/>
          <w:sz w:val="20"/>
          <w:szCs w:val="22"/>
        </w:rPr>
        <w:t>Sociedad</w:t>
      </w:r>
      <w:r w:rsidRPr="0083433F">
        <w:rPr>
          <w:snapToGrid w:val="0"/>
          <w:sz w:val="20"/>
          <w:szCs w:val="22"/>
        </w:rPr>
        <w:t xml:space="preserve"> cumple con el requisito para que sea considerado medio propio </w:t>
      </w:r>
      <w:r w:rsidR="002D73E2" w:rsidRPr="0083433F">
        <w:rPr>
          <w:snapToGrid w:val="0"/>
          <w:sz w:val="20"/>
          <w:szCs w:val="22"/>
        </w:rPr>
        <w:t>personificado</w:t>
      </w:r>
      <w:r w:rsidRPr="0083433F">
        <w:rPr>
          <w:snapToGrid w:val="0"/>
          <w:sz w:val="20"/>
          <w:szCs w:val="22"/>
        </w:rPr>
        <w:t xml:space="preserve">, al considerar que </w:t>
      </w:r>
      <w:r w:rsidR="002D73E2" w:rsidRPr="0083433F">
        <w:rPr>
          <w:snapToGrid w:val="0"/>
          <w:sz w:val="20"/>
          <w:szCs w:val="22"/>
        </w:rPr>
        <w:t>más</w:t>
      </w:r>
      <w:r w:rsidRPr="0083433F">
        <w:rPr>
          <w:snapToGrid w:val="0"/>
          <w:sz w:val="20"/>
          <w:szCs w:val="22"/>
        </w:rPr>
        <w:t xml:space="preserve"> del 80</w:t>
      </w:r>
      <w:r w:rsidR="00497BBB" w:rsidRPr="0083433F">
        <w:rPr>
          <w:snapToGrid w:val="0"/>
          <w:sz w:val="20"/>
          <w:szCs w:val="22"/>
        </w:rPr>
        <w:t>%</w:t>
      </w:r>
      <w:r w:rsidRPr="0083433F">
        <w:rPr>
          <w:snapToGrid w:val="0"/>
          <w:sz w:val="20"/>
          <w:szCs w:val="22"/>
        </w:rPr>
        <w:t xml:space="preserve"> de la actividad de la misma son cometidos en el ejercicio de los encargos confiados por los poderes adjudicadores que controlan esta Sociedad, conforme a los artículos 32.2.b) y 32.4.b) de la Ley 9/2017, de 8 de noviembre de Contratos del Sector Público.</w:t>
      </w:r>
    </w:p>
    <w:p w14:paraId="2E02D29B" w14:textId="77777777" w:rsidR="00954AA6" w:rsidRDefault="00954AA6">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7384F800" w14:textId="5BAED838" w:rsidR="006220A2" w:rsidRPr="0083433F" w:rsidRDefault="00052BF5"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Pr>
          <w:b/>
          <w:snapToGrid w:val="0"/>
          <w:sz w:val="22"/>
          <w:szCs w:val="22"/>
        </w:rPr>
        <w:lastRenderedPageBreak/>
        <w:t xml:space="preserve"> </w:t>
      </w:r>
      <w:r w:rsidR="006220A2" w:rsidRPr="00A009EA">
        <w:rPr>
          <w:b/>
          <w:snapToGrid w:val="0"/>
          <w:sz w:val="22"/>
          <w:szCs w:val="22"/>
        </w:rPr>
        <w:t>Información sobre los aplazamientos de pagos efectuados a proveedores, Disposición adicional tercera. "Deber de información" de la Ley 15/2010, de 5 de julio</w:t>
      </w:r>
    </w:p>
    <w:p w14:paraId="4F2B0E50" w14:textId="288F49B1" w:rsidR="006220A2" w:rsidRPr="00176BA0" w:rsidRDefault="006220A2" w:rsidP="00176BA0">
      <w:pPr>
        <w:widowControl w:val="0"/>
        <w:spacing w:before="120" w:after="120" w:line="260" w:lineRule="exact"/>
        <w:ind w:left="284"/>
        <w:jc w:val="both"/>
        <w:outlineLvl w:val="9"/>
        <w:rPr>
          <w:snapToGrid w:val="0"/>
          <w:sz w:val="20"/>
          <w:szCs w:val="22"/>
        </w:rPr>
      </w:pPr>
      <w:r w:rsidRPr="00176BA0">
        <w:rPr>
          <w:snapToGrid w:val="0"/>
          <w:sz w:val="20"/>
          <w:szCs w:val="22"/>
        </w:rPr>
        <w:t>De acuerdo con lo establecido en la disposición adicional única de la Resolución de 29 de enero de 2016, del Instituto de Contabilidad y Auditoría de Cuentas, sobre la información a incorporar en la memoria de las cuentas anuales en relación con el período medio de pago a proveedores, en operaciones comerciales, se presenta</w:t>
      </w:r>
      <w:r w:rsidR="00286D62" w:rsidRPr="00176BA0">
        <w:rPr>
          <w:snapToGrid w:val="0"/>
          <w:sz w:val="20"/>
          <w:szCs w:val="22"/>
        </w:rPr>
        <w:t xml:space="preserve"> información del ejercicio </w:t>
      </w:r>
      <w:r w:rsidR="009C7621" w:rsidRPr="00176BA0">
        <w:rPr>
          <w:snapToGrid w:val="0"/>
          <w:sz w:val="20"/>
          <w:szCs w:val="22"/>
        </w:rPr>
        <w:t>202</w:t>
      </w:r>
      <w:r w:rsidR="0041190B" w:rsidRPr="00176BA0">
        <w:rPr>
          <w:snapToGrid w:val="0"/>
          <w:sz w:val="20"/>
          <w:szCs w:val="22"/>
        </w:rPr>
        <w:t>1</w:t>
      </w:r>
      <w:r w:rsidR="009C7621" w:rsidRPr="00176BA0">
        <w:rPr>
          <w:snapToGrid w:val="0"/>
          <w:sz w:val="20"/>
          <w:szCs w:val="22"/>
        </w:rPr>
        <w:t xml:space="preserve"> y 20</w:t>
      </w:r>
      <w:r w:rsidR="0041190B" w:rsidRPr="00176BA0">
        <w:rPr>
          <w:snapToGrid w:val="0"/>
          <w:sz w:val="20"/>
          <w:szCs w:val="22"/>
        </w:rPr>
        <w:t>20</w:t>
      </w:r>
      <w:r w:rsidRPr="00176BA0">
        <w:rPr>
          <w:snapToGrid w:val="0"/>
          <w:sz w:val="20"/>
          <w:szCs w:val="22"/>
        </w:rPr>
        <w:t>.</w:t>
      </w:r>
    </w:p>
    <w:tbl>
      <w:tblPr>
        <w:tblW w:w="5000" w:type="pct"/>
        <w:jc w:val="center"/>
        <w:tblCellMar>
          <w:left w:w="70" w:type="dxa"/>
          <w:right w:w="70" w:type="dxa"/>
        </w:tblCellMar>
        <w:tblLook w:val="04A0" w:firstRow="1" w:lastRow="0" w:firstColumn="1" w:lastColumn="0" w:noHBand="0" w:noVBand="1"/>
      </w:tblPr>
      <w:tblGrid>
        <w:gridCol w:w="4838"/>
        <w:gridCol w:w="1941"/>
        <w:gridCol w:w="30"/>
        <w:gridCol w:w="1972"/>
      </w:tblGrid>
      <w:tr w:rsidR="006220A2" w:rsidRPr="00176BA0" w14:paraId="321D40A6" w14:textId="77777777" w:rsidTr="00176BA0">
        <w:trPr>
          <w:trHeight w:val="283"/>
          <w:jc w:val="center"/>
        </w:trPr>
        <w:tc>
          <w:tcPr>
            <w:tcW w:w="2755" w:type="pct"/>
            <w:tcBorders>
              <w:top w:val="single" w:sz="4" w:space="0" w:color="auto"/>
              <w:left w:val="nil"/>
              <w:bottom w:val="single" w:sz="4" w:space="0" w:color="auto"/>
              <w:right w:val="nil"/>
            </w:tcBorders>
            <w:shd w:val="clear" w:color="auto" w:fill="auto"/>
            <w:noWrap/>
            <w:vAlign w:val="bottom"/>
            <w:hideMark/>
          </w:tcPr>
          <w:p w14:paraId="41D0E5B5" w14:textId="77777777" w:rsidR="006220A2" w:rsidRPr="00176BA0" w:rsidRDefault="006220A2" w:rsidP="00176BA0">
            <w:pPr>
              <w:keepNext/>
              <w:keepLines/>
              <w:widowControl w:val="0"/>
              <w:ind w:left="215"/>
              <w:rPr>
                <w:rFonts w:eastAsia="Times New Roman"/>
                <w:sz w:val="18"/>
                <w:szCs w:val="18"/>
              </w:rPr>
            </w:pPr>
            <w:r w:rsidRPr="00176BA0">
              <w:rPr>
                <w:rFonts w:eastAsia="Times New Roman"/>
                <w:sz w:val="18"/>
                <w:szCs w:val="18"/>
              </w:rPr>
              <w:t> </w:t>
            </w:r>
          </w:p>
        </w:tc>
        <w:tc>
          <w:tcPr>
            <w:tcW w:w="1105" w:type="pct"/>
            <w:tcBorders>
              <w:top w:val="single" w:sz="4" w:space="0" w:color="auto"/>
              <w:left w:val="nil"/>
              <w:bottom w:val="single" w:sz="4" w:space="0" w:color="auto"/>
              <w:right w:val="nil"/>
            </w:tcBorders>
            <w:shd w:val="clear" w:color="auto" w:fill="auto"/>
            <w:noWrap/>
            <w:vAlign w:val="bottom"/>
            <w:hideMark/>
          </w:tcPr>
          <w:p w14:paraId="06093802" w14:textId="465C41DC" w:rsidR="006220A2" w:rsidRPr="00176BA0" w:rsidRDefault="00286D62" w:rsidP="00A009EA">
            <w:pPr>
              <w:keepNext/>
              <w:keepLines/>
              <w:widowControl w:val="0"/>
              <w:jc w:val="center"/>
              <w:rPr>
                <w:rFonts w:eastAsia="Times New Roman"/>
                <w:b/>
                <w:bCs/>
                <w:sz w:val="18"/>
                <w:szCs w:val="18"/>
              </w:rPr>
            </w:pPr>
            <w:r w:rsidRPr="00176BA0">
              <w:rPr>
                <w:rFonts w:eastAsia="Times New Roman"/>
                <w:b/>
                <w:bCs/>
                <w:sz w:val="18"/>
                <w:szCs w:val="18"/>
              </w:rPr>
              <w:t>20</w:t>
            </w:r>
            <w:r w:rsidR="00D26E96" w:rsidRPr="00176BA0">
              <w:rPr>
                <w:rFonts w:eastAsia="Times New Roman"/>
                <w:b/>
                <w:bCs/>
                <w:sz w:val="18"/>
                <w:szCs w:val="18"/>
              </w:rPr>
              <w:t>2</w:t>
            </w:r>
            <w:r w:rsidR="0041190B" w:rsidRPr="00176BA0">
              <w:rPr>
                <w:rFonts w:eastAsia="Times New Roman"/>
                <w:b/>
                <w:bCs/>
                <w:sz w:val="18"/>
                <w:szCs w:val="18"/>
              </w:rPr>
              <w:t>1</w:t>
            </w:r>
          </w:p>
        </w:tc>
        <w:tc>
          <w:tcPr>
            <w:tcW w:w="1140" w:type="pct"/>
            <w:gridSpan w:val="2"/>
            <w:tcBorders>
              <w:top w:val="single" w:sz="4" w:space="0" w:color="auto"/>
              <w:left w:val="nil"/>
              <w:bottom w:val="single" w:sz="4" w:space="0" w:color="auto"/>
              <w:right w:val="nil"/>
            </w:tcBorders>
            <w:shd w:val="clear" w:color="auto" w:fill="auto"/>
            <w:noWrap/>
            <w:vAlign w:val="bottom"/>
            <w:hideMark/>
          </w:tcPr>
          <w:p w14:paraId="2AB663BE" w14:textId="74A361C2" w:rsidR="006220A2" w:rsidRPr="00176BA0" w:rsidRDefault="00D26E96" w:rsidP="00A009EA">
            <w:pPr>
              <w:keepNext/>
              <w:keepLines/>
              <w:widowControl w:val="0"/>
              <w:jc w:val="center"/>
              <w:rPr>
                <w:rFonts w:eastAsia="Times New Roman"/>
                <w:b/>
                <w:bCs/>
                <w:sz w:val="18"/>
                <w:szCs w:val="18"/>
              </w:rPr>
            </w:pPr>
            <w:r w:rsidRPr="00176BA0">
              <w:rPr>
                <w:rFonts w:eastAsia="Times New Roman"/>
                <w:b/>
                <w:bCs/>
                <w:sz w:val="18"/>
                <w:szCs w:val="18"/>
              </w:rPr>
              <w:t>20</w:t>
            </w:r>
            <w:r w:rsidR="0041190B" w:rsidRPr="00176BA0">
              <w:rPr>
                <w:rFonts w:eastAsia="Times New Roman"/>
                <w:b/>
                <w:bCs/>
                <w:sz w:val="18"/>
                <w:szCs w:val="18"/>
              </w:rPr>
              <w:t>20</w:t>
            </w:r>
          </w:p>
        </w:tc>
      </w:tr>
      <w:tr w:rsidR="00D26E96" w:rsidRPr="00176BA0" w14:paraId="05CE0CBE" w14:textId="77777777" w:rsidTr="00176BA0">
        <w:trPr>
          <w:trHeight w:val="283"/>
          <w:jc w:val="center"/>
        </w:trPr>
        <w:tc>
          <w:tcPr>
            <w:tcW w:w="2755" w:type="pct"/>
            <w:tcBorders>
              <w:top w:val="nil"/>
              <w:left w:val="nil"/>
              <w:bottom w:val="single" w:sz="4" w:space="0" w:color="auto"/>
              <w:right w:val="nil"/>
            </w:tcBorders>
            <w:shd w:val="clear" w:color="auto" w:fill="auto"/>
            <w:noWrap/>
            <w:vAlign w:val="center"/>
            <w:hideMark/>
          </w:tcPr>
          <w:p w14:paraId="2745E4DE" w14:textId="77777777" w:rsidR="00D26E96" w:rsidRPr="00176BA0" w:rsidRDefault="00D26E96" w:rsidP="00176BA0">
            <w:pPr>
              <w:keepNext/>
              <w:keepLines/>
              <w:widowControl w:val="0"/>
              <w:ind w:left="215" w:firstLineChars="200" w:firstLine="360"/>
              <w:rPr>
                <w:rFonts w:eastAsia="Times New Roman"/>
                <w:sz w:val="18"/>
                <w:szCs w:val="18"/>
              </w:rPr>
            </w:pPr>
            <w:r w:rsidRPr="00176BA0">
              <w:rPr>
                <w:rFonts w:eastAsia="Times New Roman"/>
                <w:sz w:val="18"/>
                <w:szCs w:val="18"/>
              </w:rPr>
              <w:t> </w:t>
            </w:r>
          </w:p>
        </w:tc>
        <w:tc>
          <w:tcPr>
            <w:tcW w:w="1122" w:type="pct"/>
            <w:gridSpan w:val="2"/>
            <w:tcBorders>
              <w:top w:val="nil"/>
              <w:left w:val="nil"/>
              <w:bottom w:val="single" w:sz="4" w:space="0" w:color="auto"/>
              <w:right w:val="nil"/>
            </w:tcBorders>
            <w:shd w:val="clear" w:color="auto" w:fill="auto"/>
            <w:noWrap/>
            <w:vAlign w:val="center"/>
            <w:hideMark/>
          </w:tcPr>
          <w:p w14:paraId="3F69D3D8" w14:textId="77777777" w:rsidR="00D26E96" w:rsidRPr="00176BA0" w:rsidRDefault="00D26E96" w:rsidP="00954A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right="363" w:firstLineChars="200" w:firstLine="361"/>
              <w:jc w:val="right"/>
              <w:outlineLvl w:val="9"/>
              <w:rPr>
                <w:rFonts w:eastAsia="Times New Roman"/>
                <w:b/>
                <w:bCs/>
                <w:sz w:val="18"/>
                <w:szCs w:val="18"/>
                <w:bdr w:val="none" w:sz="0" w:space="0" w:color="auto"/>
                <w:lang w:eastAsia="es-ES"/>
              </w:rPr>
            </w:pPr>
            <w:r w:rsidRPr="00176BA0">
              <w:rPr>
                <w:b/>
                <w:bCs/>
                <w:sz w:val="18"/>
                <w:szCs w:val="18"/>
              </w:rPr>
              <w:t>Días</w:t>
            </w:r>
          </w:p>
        </w:tc>
        <w:tc>
          <w:tcPr>
            <w:tcW w:w="1123" w:type="pct"/>
            <w:tcBorders>
              <w:top w:val="nil"/>
              <w:left w:val="nil"/>
              <w:bottom w:val="single" w:sz="4" w:space="0" w:color="auto"/>
              <w:right w:val="nil"/>
            </w:tcBorders>
            <w:shd w:val="clear" w:color="auto" w:fill="auto"/>
            <w:noWrap/>
            <w:vAlign w:val="center"/>
            <w:hideMark/>
          </w:tcPr>
          <w:p w14:paraId="59F0CBFA" w14:textId="77777777" w:rsidR="00D26E96" w:rsidRPr="00176BA0" w:rsidRDefault="00D26E96" w:rsidP="00954A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right="363" w:firstLineChars="200" w:firstLine="361"/>
              <w:jc w:val="right"/>
              <w:outlineLvl w:val="9"/>
              <w:rPr>
                <w:rFonts w:eastAsia="Times New Roman"/>
                <w:b/>
                <w:bCs/>
                <w:sz w:val="18"/>
                <w:szCs w:val="18"/>
                <w:bdr w:val="none" w:sz="0" w:space="0" w:color="auto"/>
                <w:lang w:eastAsia="es-ES"/>
              </w:rPr>
            </w:pPr>
            <w:r w:rsidRPr="00176BA0">
              <w:rPr>
                <w:b/>
                <w:bCs/>
                <w:sz w:val="18"/>
                <w:szCs w:val="18"/>
              </w:rPr>
              <w:t>Días</w:t>
            </w:r>
          </w:p>
        </w:tc>
      </w:tr>
      <w:tr w:rsidR="000027F9" w:rsidRPr="00176BA0" w14:paraId="64FB4747" w14:textId="77777777" w:rsidTr="00954AA6">
        <w:trPr>
          <w:trHeight w:val="340"/>
          <w:jc w:val="center"/>
        </w:trPr>
        <w:tc>
          <w:tcPr>
            <w:tcW w:w="2755" w:type="pct"/>
            <w:tcBorders>
              <w:top w:val="nil"/>
              <w:left w:val="nil"/>
              <w:bottom w:val="nil"/>
              <w:right w:val="nil"/>
            </w:tcBorders>
            <w:shd w:val="clear" w:color="auto" w:fill="auto"/>
            <w:noWrap/>
            <w:vAlign w:val="center"/>
            <w:hideMark/>
          </w:tcPr>
          <w:p w14:paraId="4CCB7D1C" w14:textId="77777777" w:rsidR="000027F9" w:rsidRPr="00176BA0" w:rsidRDefault="000027F9" w:rsidP="00176BA0">
            <w:pPr>
              <w:keepNext/>
              <w:keepLines/>
              <w:widowControl w:val="0"/>
              <w:ind w:left="215"/>
              <w:rPr>
                <w:rFonts w:eastAsia="Times New Roman"/>
                <w:sz w:val="18"/>
                <w:szCs w:val="18"/>
              </w:rPr>
            </w:pPr>
            <w:r w:rsidRPr="00176BA0">
              <w:rPr>
                <w:rFonts w:eastAsia="Times New Roman"/>
                <w:sz w:val="18"/>
                <w:szCs w:val="18"/>
              </w:rPr>
              <w:t>Periodo medio de pago a proveedores</w:t>
            </w:r>
          </w:p>
        </w:tc>
        <w:tc>
          <w:tcPr>
            <w:tcW w:w="1122" w:type="pct"/>
            <w:gridSpan w:val="2"/>
            <w:tcBorders>
              <w:top w:val="nil"/>
              <w:left w:val="nil"/>
              <w:bottom w:val="nil"/>
              <w:right w:val="nil"/>
            </w:tcBorders>
            <w:shd w:val="clear" w:color="auto" w:fill="auto"/>
            <w:noWrap/>
            <w:vAlign w:val="center"/>
          </w:tcPr>
          <w:p w14:paraId="358B7BD5" w14:textId="05F53257" w:rsidR="000027F9" w:rsidRPr="00176BA0" w:rsidRDefault="000027F9" w:rsidP="00954AA6">
            <w:pPr>
              <w:keepNext/>
              <w:keepLines/>
              <w:widowControl w:val="0"/>
              <w:ind w:right="363" w:firstLineChars="200" w:firstLine="360"/>
              <w:jc w:val="right"/>
              <w:rPr>
                <w:sz w:val="18"/>
                <w:szCs w:val="18"/>
              </w:rPr>
            </w:pPr>
            <w:r w:rsidRPr="00176BA0">
              <w:rPr>
                <w:sz w:val="18"/>
                <w:szCs w:val="18"/>
              </w:rPr>
              <w:t>7,65</w:t>
            </w:r>
          </w:p>
        </w:tc>
        <w:tc>
          <w:tcPr>
            <w:tcW w:w="1123" w:type="pct"/>
            <w:tcBorders>
              <w:top w:val="nil"/>
              <w:left w:val="nil"/>
              <w:bottom w:val="nil"/>
              <w:right w:val="nil"/>
            </w:tcBorders>
            <w:shd w:val="clear" w:color="auto" w:fill="auto"/>
            <w:noWrap/>
            <w:vAlign w:val="center"/>
          </w:tcPr>
          <w:p w14:paraId="431A59FE" w14:textId="5F054F8E" w:rsidR="000027F9" w:rsidRPr="00176BA0" w:rsidRDefault="000027F9" w:rsidP="00954AA6">
            <w:pPr>
              <w:keepNext/>
              <w:keepLines/>
              <w:widowControl w:val="0"/>
              <w:ind w:right="363" w:firstLineChars="200" w:firstLine="360"/>
              <w:jc w:val="right"/>
              <w:rPr>
                <w:sz w:val="18"/>
                <w:szCs w:val="18"/>
              </w:rPr>
            </w:pPr>
            <w:r w:rsidRPr="00176BA0">
              <w:rPr>
                <w:sz w:val="18"/>
                <w:szCs w:val="18"/>
              </w:rPr>
              <w:t>6,24</w:t>
            </w:r>
          </w:p>
        </w:tc>
      </w:tr>
      <w:tr w:rsidR="000027F9" w:rsidRPr="00176BA0" w14:paraId="24733399" w14:textId="77777777" w:rsidTr="00954AA6">
        <w:trPr>
          <w:trHeight w:val="340"/>
          <w:jc w:val="center"/>
        </w:trPr>
        <w:tc>
          <w:tcPr>
            <w:tcW w:w="2755" w:type="pct"/>
            <w:tcBorders>
              <w:top w:val="nil"/>
              <w:left w:val="nil"/>
              <w:bottom w:val="nil"/>
              <w:right w:val="nil"/>
            </w:tcBorders>
            <w:shd w:val="clear" w:color="auto" w:fill="auto"/>
            <w:noWrap/>
            <w:vAlign w:val="center"/>
            <w:hideMark/>
          </w:tcPr>
          <w:p w14:paraId="16EA5F1D" w14:textId="77777777" w:rsidR="000027F9" w:rsidRPr="00176BA0" w:rsidRDefault="000027F9" w:rsidP="00176BA0">
            <w:pPr>
              <w:keepNext/>
              <w:keepLines/>
              <w:widowControl w:val="0"/>
              <w:ind w:left="215"/>
              <w:rPr>
                <w:rFonts w:eastAsia="Times New Roman"/>
                <w:sz w:val="18"/>
                <w:szCs w:val="18"/>
              </w:rPr>
            </w:pPr>
            <w:r w:rsidRPr="00176BA0">
              <w:rPr>
                <w:rFonts w:eastAsia="Times New Roman"/>
                <w:sz w:val="18"/>
                <w:szCs w:val="18"/>
              </w:rPr>
              <w:t>Ratio de operaciones pagadas</w:t>
            </w:r>
          </w:p>
        </w:tc>
        <w:tc>
          <w:tcPr>
            <w:tcW w:w="1122" w:type="pct"/>
            <w:gridSpan w:val="2"/>
            <w:tcBorders>
              <w:top w:val="nil"/>
              <w:left w:val="nil"/>
              <w:bottom w:val="nil"/>
              <w:right w:val="nil"/>
            </w:tcBorders>
            <w:shd w:val="clear" w:color="auto" w:fill="auto"/>
            <w:noWrap/>
            <w:vAlign w:val="center"/>
          </w:tcPr>
          <w:p w14:paraId="384F99BA" w14:textId="2A98E1FD" w:rsidR="000027F9" w:rsidRPr="00176BA0" w:rsidRDefault="000027F9" w:rsidP="00954AA6">
            <w:pPr>
              <w:keepNext/>
              <w:keepLines/>
              <w:widowControl w:val="0"/>
              <w:ind w:right="363" w:firstLineChars="200" w:firstLine="360"/>
              <w:jc w:val="right"/>
              <w:rPr>
                <w:sz w:val="18"/>
                <w:szCs w:val="18"/>
              </w:rPr>
            </w:pPr>
            <w:r w:rsidRPr="00176BA0">
              <w:rPr>
                <w:sz w:val="18"/>
                <w:szCs w:val="18"/>
              </w:rPr>
              <w:t>9,84</w:t>
            </w:r>
          </w:p>
        </w:tc>
        <w:tc>
          <w:tcPr>
            <w:tcW w:w="1123" w:type="pct"/>
            <w:tcBorders>
              <w:top w:val="nil"/>
              <w:left w:val="nil"/>
              <w:bottom w:val="nil"/>
              <w:right w:val="nil"/>
            </w:tcBorders>
            <w:shd w:val="clear" w:color="auto" w:fill="auto"/>
            <w:noWrap/>
            <w:vAlign w:val="center"/>
          </w:tcPr>
          <w:p w14:paraId="60C94544" w14:textId="02ACFFD2" w:rsidR="000027F9" w:rsidRPr="00176BA0" w:rsidRDefault="000027F9" w:rsidP="00954AA6">
            <w:pPr>
              <w:keepNext/>
              <w:keepLines/>
              <w:widowControl w:val="0"/>
              <w:ind w:right="363" w:firstLineChars="200" w:firstLine="360"/>
              <w:jc w:val="right"/>
              <w:rPr>
                <w:sz w:val="18"/>
                <w:szCs w:val="18"/>
              </w:rPr>
            </w:pPr>
            <w:r w:rsidRPr="00176BA0">
              <w:rPr>
                <w:sz w:val="18"/>
                <w:szCs w:val="18"/>
              </w:rPr>
              <w:t>6,95</w:t>
            </w:r>
          </w:p>
        </w:tc>
      </w:tr>
      <w:tr w:rsidR="000027F9" w:rsidRPr="00176BA0" w14:paraId="40F68571" w14:textId="77777777" w:rsidTr="00954AA6">
        <w:trPr>
          <w:trHeight w:val="340"/>
          <w:jc w:val="center"/>
        </w:trPr>
        <w:tc>
          <w:tcPr>
            <w:tcW w:w="2755" w:type="pct"/>
            <w:tcBorders>
              <w:top w:val="nil"/>
              <w:left w:val="nil"/>
              <w:bottom w:val="single" w:sz="4" w:space="0" w:color="auto"/>
              <w:right w:val="nil"/>
            </w:tcBorders>
            <w:shd w:val="clear" w:color="auto" w:fill="auto"/>
            <w:noWrap/>
            <w:vAlign w:val="center"/>
            <w:hideMark/>
          </w:tcPr>
          <w:p w14:paraId="728F2BA7" w14:textId="77777777" w:rsidR="000027F9" w:rsidRPr="00176BA0" w:rsidRDefault="000027F9" w:rsidP="00176BA0">
            <w:pPr>
              <w:keepNext/>
              <w:keepLines/>
              <w:widowControl w:val="0"/>
              <w:ind w:left="215"/>
              <w:rPr>
                <w:rFonts w:eastAsia="Times New Roman"/>
                <w:sz w:val="18"/>
                <w:szCs w:val="18"/>
              </w:rPr>
            </w:pPr>
            <w:r w:rsidRPr="00176BA0">
              <w:rPr>
                <w:rFonts w:eastAsia="Times New Roman"/>
                <w:sz w:val="18"/>
                <w:szCs w:val="18"/>
              </w:rPr>
              <w:t>Ratio de operaciones pendientes de pago</w:t>
            </w:r>
          </w:p>
        </w:tc>
        <w:tc>
          <w:tcPr>
            <w:tcW w:w="1122" w:type="pct"/>
            <w:gridSpan w:val="2"/>
            <w:tcBorders>
              <w:top w:val="nil"/>
              <w:left w:val="nil"/>
              <w:bottom w:val="nil"/>
              <w:right w:val="nil"/>
            </w:tcBorders>
            <w:shd w:val="clear" w:color="auto" w:fill="auto"/>
            <w:noWrap/>
            <w:vAlign w:val="center"/>
          </w:tcPr>
          <w:p w14:paraId="798A92E9" w14:textId="46226B18" w:rsidR="000027F9" w:rsidRPr="00176BA0" w:rsidRDefault="000027F9" w:rsidP="00954AA6">
            <w:pPr>
              <w:keepNext/>
              <w:keepLines/>
              <w:widowControl w:val="0"/>
              <w:ind w:right="363" w:firstLineChars="200" w:firstLine="360"/>
              <w:jc w:val="right"/>
              <w:rPr>
                <w:sz w:val="18"/>
                <w:szCs w:val="18"/>
              </w:rPr>
            </w:pPr>
            <w:r w:rsidRPr="00176BA0">
              <w:rPr>
                <w:sz w:val="18"/>
                <w:szCs w:val="18"/>
              </w:rPr>
              <w:t>3,81</w:t>
            </w:r>
          </w:p>
        </w:tc>
        <w:tc>
          <w:tcPr>
            <w:tcW w:w="1123" w:type="pct"/>
            <w:tcBorders>
              <w:top w:val="nil"/>
              <w:left w:val="nil"/>
              <w:bottom w:val="nil"/>
              <w:right w:val="nil"/>
            </w:tcBorders>
            <w:shd w:val="clear" w:color="auto" w:fill="auto"/>
            <w:noWrap/>
            <w:vAlign w:val="center"/>
          </w:tcPr>
          <w:p w14:paraId="5432EE8D" w14:textId="1B13CDDD" w:rsidR="000027F9" w:rsidRPr="00176BA0" w:rsidRDefault="000027F9" w:rsidP="00954AA6">
            <w:pPr>
              <w:keepNext/>
              <w:keepLines/>
              <w:widowControl w:val="0"/>
              <w:ind w:right="363" w:firstLineChars="200" w:firstLine="360"/>
              <w:jc w:val="right"/>
              <w:rPr>
                <w:sz w:val="18"/>
                <w:szCs w:val="18"/>
              </w:rPr>
            </w:pPr>
            <w:r w:rsidRPr="00176BA0">
              <w:rPr>
                <w:sz w:val="18"/>
                <w:szCs w:val="18"/>
              </w:rPr>
              <w:t>1,00</w:t>
            </w:r>
          </w:p>
        </w:tc>
      </w:tr>
      <w:tr w:rsidR="007078BF" w:rsidRPr="00176BA0" w14:paraId="05E8E122" w14:textId="77777777" w:rsidTr="00176BA0">
        <w:trPr>
          <w:trHeight w:val="283"/>
          <w:jc w:val="center"/>
        </w:trPr>
        <w:tc>
          <w:tcPr>
            <w:tcW w:w="2755" w:type="pct"/>
            <w:tcBorders>
              <w:top w:val="nil"/>
              <w:left w:val="nil"/>
              <w:bottom w:val="single" w:sz="4" w:space="0" w:color="auto"/>
              <w:right w:val="nil"/>
            </w:tcBorders>
            <w:shd w:val="clear" w:color="auto" w:fill="auto"/>
            <w:noWrap/>
            <w:vAlign w:val="center"/>
            <w:hideMark/>
          </w:tcPr>
          <w:p w14:paraId="4C6A214F" w14:textId="77777777" w:rsidR="007078BF" w:rsidRPr="00176BA0" w:rsidRDefault="007078BF" w:rsidP="00176BA0">
            <w:pPr>
              <w:keepNext/>
              <w:keepLines/>
              <w:widowControl w:val="0"/>
              <w:ind w:left="215"/>
              <w:rPr>
                <w:rFonts w:eastAsia="Times New Roman"/>
                <w:sz w:val="18"/>
                <w:szCs w:val="18"/>
              </w:rPr>
            </w:pPr>
            <w:r w:rsidRPr="00176BA0">
              <w:rPr>
                <w:rFonts w:eastAsia="Times New Roman"/>
                <w:sz w:val="18"/>
                <w:szCs w:val="18"/>
              </w:rPr>
              <w:t> </w:t>
            </w:r>
          </w:p>
        </w:tc>
        <w:tc>
          <w:tcPr>
            <w:tcW w:w="1122" w:type="pct"/>
            <w:gridSpan w:val="2"/>
            <w:tcBorders>
              <w:top w:val="single" w:sz="4" w:space="0" w:color="auto"/>
              <w:left w:val="nil"/>
              <w:bottom w:val="single" w:sz="4" w:space="0" w:color="auto"/>
              <w:right w:val="nil"/>
            </w:tcBorders>
            <w:shd w:val="clear" w:color="auto" w:fill="auto"/>
            <w:noWrap/>
            <w:vAlign w:val="center"/>
            <w:hideMark/>
          </w:tcPr>
          <w:p w14:paraId="1E8CA4B3" w14:textId="77777777" w:rsidR="007078BF" w:rsidRPr="00176BA0" w:rsidRDefault="007078BF" w:rsidP="00A009EA">
            <w:pPr>
              <w:keepNext/>
              <w:keepLines/>
              <w:widowControl w:val="0"/>
              <w:ind w:firstLineChars="200" w:firstLine="360"/>
              <w:rPr>
                <w:sz w:val="18"/>
                <w:szCs w:val="18"/>
              </w:rPr>
            </w:pPr>
            <w:r w:rsidRPr="00176BA0">
              <w:rPr>
                <w:sz w:val="18"/>
                <w:szCs w:val="18"/>
              </w:rPr>
              <w:t> </w:t>
            </w:r>
          </w:p>
        </w:tc>
        <w:tc>
          <w:tcPr>
            <w:tcW w:w="1123" w:type="pct"/>
            <w:tcBorders>
              <w:top w:val="single" w:sz="4" w:space="0" w:color="auto"/>
              <w:left w:val="nil"/>
              <w:bottom w:val="single" w:sz="4" w:space="0" w:color="auto"/>
              <w:right w:val="nil"/>
            </w:tcBorders>
            <w:shd w:val="clear" w:color="auto" w:fill="auto"/>
            <w:noWrap/>
            <w:vAlign w:val="center"/>
            <w:hideMark/>
          </w:tcPr>
          <w:p w14:paraId="14972811" w14:textId="77777777" w:rsidR="007078BF" w:rsidRPr="00176BA0" w:rsidRDefault="007078BF" w:rsidP="00A009EA">
            <w:pPr>
              <w:keepNext/>
              <w:keepLines/>
              <w:widowControl w:val="0"/>
              <w:ind w:firstLineChars="200" w:firstLine="360"/>
              <w:rPr>
                <w:rFonts w:eastAsia="Times New Roman"/>
                <w:sz w:val="18"/>
                <w:szCs w:val="18"/>
              </w:rPr>
            </w:pPr>
            <w:r w:rsidRPr="00176BA0">
              <w:rPr>
                <w:rFonts w:eastAsia="Times New Roman"/>
                <w:sz w:val="18"/>
                <w:szCs w:val="18"/>
              </w:rPr>
              <w:t> </w:t>
            </w:r>
          </w:p>
        </w:tc>
      </w:tr>
      <w:tr w:rsidR="007078BF" w:rsidRPr="00176BA0" w14:paraId="59B1887F" w14:textId="77777777" w:rsidTr="00176BA0">
        <w:trPr>
          <w:trHeight w:val="283"/>
          <w:jc w:val="center"/>
        </w:trPr>
        <w:tc>
          <w:tcPr>
            <w:tcW w:w="2755" w:type="pct"/>
            <w:tcBorders>
              <w:top w:val="nil"/>
              <w:left w:val="nil"/>
              <w:bottom w:val="single" w:sz="4" w:space="0" w:color="auto"/>
              <w:right w:val="nil"/>
            </w:tcBorders>
            <w:shd w:val="clear" w:color="auto" w:fill="auto"/>
            <w:noWrap/>
            <w:vAlign w:val="center"/>
            <w:hideMark/>
          </w:tcPr>
          <w:p w14:paraId="5211775E" w14:textId="77777777" w:rsidR="007078BF" w:rsidRPr="00176BA0" w:rsidRDefault="007078BF" w:rsidP="00176BA0">
            <w:pPr>
              <w:keepNext/>
              <w:keepLines/>
              <w:widowControl w:val="0"/>
              <w:ind w:left="215"/>
              <w:rPr>
                <w:rFonts w:eastAsia="Times New Roman"/>
                <w:sz w:val="18"/>
                <w:szCs w:val="18"/>
              </w:rPr>
            </w:pPr>
            <w:r w:rsidRPr="00176BA0">
              <w:rPr>
                <w:rFonts w:eastAsia="Times New Roman"/>
                <w:sz w:val="18"/>
                <w:szCs w:val="18"/>
              </w:rPr>
              <w:t> </w:t>
            </w:r>
          </w:p>
        </w:tc>
        <w:tc>
          <w:tcPr>
            <w:tcW w:w="1122" w:type="pct"/>
            <w:gridSpan w:val="2"/>
            <w:tcBorders>
              <w:top w:val="nil"/>
              <w:left w:val="nil"/>
              <w:bottom w:val="single" w:sz="4" w:space="0" w:color="auto"/>
              <w:right w:val="nil"/>
            </w:tcBorders>
            <w:shd w:val="clear" w:color="auto" w:fill="auto"/>
            <w:noWrap/>
            <w:vAlign w:val="center"/>
            <w:hideMark/>
          </w:tcPr>
          <w:p w14:paraId="031D3CD3" w14:textId="77777777" w:rsidR="007078BF" w:rsidRPr="00176BA0" w:rsidRDefault="007078BF" w:rsidP="00A009EA">
            <w:pPr>
              <w:keepNext/>
              <w:keepLines/>
              <w:widowControl w:val="0"/>
              <w:ind w:firstLineChars="200" w:firstLine="361"/>
              <w:jc w:val="right"/>
              <w:rPr>
                <w:b/>
                <w:bCs/>
                <w:sz w:val="18"/>
                <w:szCs w:val="18"/>
              </w:rPr>
            </w:pPr>
            <w:r w:rsidRPr="00176BA0">
              <w:rPr>
                <w:b/>
                <w:bCs/>
                <w:sz w:val="18"/>
                <w:szCs w:val="18"/>
              </w:rPr>
              <w:t>Importe (euros)</w:t>
            </w:r>
          </w:p>
        </w:tc>
        <w:tc>
          <w:tcPr>
            <w:tcW w:w="1123" w:type="pct"/>
            <w:tcBorders>
              <w:top w:val="nil"/>
              <w:left w:val="nil"/>
              <w:bottom w:val="single" w:sz="4" w:space="0" w:color="auto"/>
              <w:right w:val="nil"/>
            </w:tcBorders>
            <w:shd w:val="clear" w:color="auto" w:fill="auto"/>
            <w:noWrap/>
            <w:vAlign w:val="center"/>
            <w:hideMark/>
          </w:tcPr>
          <w:p w14:paraId="13B31ECE" w14:textId="77777777" w:rsidR="007078BF" w:rsidRPr="00176BA0" w:rsidRDefault="007078BF" w:rsidP="00A009EA">
            <w:pPr>
              <w:keepNext/>
              <w:keepLines/>
              <w:widowControl w:val="0"/>
              <w:ind w:firstLineChars="200" w:firstLine="361"/>
              <w:jc w:val="right"/>
              <w:rPr>
                <w:rFonts w:eastAsia="Times New Roman"/>
                <w:b/>
                <w:bCs/>
                <w:sz w:val="18"/>
                <w:szCs w:val="18"/>
              </w:rPr>
            </w:pPr>
            <w:r w:rsidRPr="00176BA0">
              <w:rPr>
                <w:rFonts w:eastAsia="Times New Roman"/>
                <w:b/>
                <w:bCs/>
                <w:sz w:val="18"/>
                <w:szCs w:val="18"/>
              </w:rPr>
              <w:t>Importe (euros)</w:t>
            </w:r>
          </w:p>
        </w:tc>
      </w:tr>
      <w:tr w:rsidR="00B961C1" w:rsidRPr="00176BA0" w14:paraId="7FD99DF6" w14:textId="77777777" w:rsidTr="00954AA6">
        <w:trPr>
          <w:trHeight w:val="340"/>
          <w:jc w:val="center"/>
        </w:trPr>
        <w:tc>
          <w:tcPr>
            <w:tcW w:w="2755" w:type="pct"/>
            <w:tcBorders>
              <w:top w:val="nil"/>
              <w:left w:val="nil"/>
              <w:bottom w:val="nil"/>
              <w:right w:val="nil"/>
            </w:tcBorders>
            <w:shd w:val="clear" w:color="auto" w:fill="auto"/>
            <w:noWrap/>
            <w:vAlign w:val="center"/>
            <w:hideMark/>
          </w:tcPr>
          <w:p w14:paraId="0ACE61CE" w14:textId="77777777" w:rsidR="00B961C1" w:rsidRPr="00176BA0" w:rsidRDefault="00B961C1" w:rsidP="00176BA0">
            <w:pPr>
              <w:keepNext/>
              <w:keepLines/>
              <w:widowControl w:val="0"/>
              <w:ind w:left="215"/>
              <w:rPr>
                <w:rFonts w:eastAsia="Times New Roman"/>
                <w:sz w:val="18"/>
                <w:szCs w:val="18"/>
              </w:rPr>
            </w:pPr>
            <w:r w:rsidRPr="00176BA0">
              <w:rPr>
                <w:rFonts w:eastAsia="Times New Roman"/>
                <w:sz w:val="18"/>
                <w:szCs w:val="18"/>
              </w:rPr>
              <w:t>Total pagos realizados</w:t>
            </w:r>
          </w:p>
        </w:tc>
        <w:tc>
          <w:tcPr>
            <w:tcW w:w="1122" w:type="pct"/>
            <w:gridSpan w:val="2"/>
            <w:tcBorders>
              <w:top w:val="nil"/>
              <w:left w:val="nil"/>
              <w:bottom w:val="nil"/>
              <w:right w:val="nil"/>
            </w:tcBorders>
            <w:shd w:val="clear" w:color="auto" w:fill="auto"/>
            <w:noWrap/>
            <w:vAlign w:val="center"/>
          </w:tcPr>
          <w:p w14:paraId="2A8AE45E" w14:textId="0CA2193F" w:rsidR="00B961C1" w:rsidRPr="00176BA0" w:rsidRDefault="00B961C1" w:rsidP="00B961C1">
            <w:pPr>
              <w:keepNext/>
              <w:keepLines/>
              <w:widowControl w:val="0"/>
              <w:ind w:firstLineChars="200" w:firstLine="360"/>
              <w:jc w:val="right"/>
              <w:rPr>
                <w:sz w:val="18"/>
                <w:szCs w:val="18"/>
              </w:rPr>
            </w:pPr>
            <w:r w:rsidRPr="00176BA0">
              <w:rPr>
                <w:sz w:val="18"/>
                <w:szCs w:val="18"/>
              </w:rPr>
              <w:t>25.915.449,92</w:t>
            </w:r>
          </w:p>
        </w:tc>
        <w:tc>
          <w:tcPr>
            <w:tcW w:w="1123" w:type="pct"/>
            <w:tcBorders>
              <w:top w:val="nil"/>
              <w:left w:val="nil"/>
              <w:bottom w:val="nil"/>
              <w:right w:val="nil"/>
            </w:tcBorders>
            <w:shd w:val="clear" w:color="auto" w:fill="auto"/>
            <w:noWrap/>
            <w:vAlign w:val="center"/>
          </w:tcPr>
          <w:p w14:paraId="2D67BD65" w14:textId="0E1C0F44" w:rsidR="00B961C1" w:rsidRPr="00176BA0" w:rsidRDefault="00B961C1" w:rsidP="00B961C1">
            <w:pPr>
              <w:keepNext/>
              <w:keepLines/>
              <w:widowControl w:val="0"/>
              <w:ind w:firstLineChars="200" w:firstLine="360"/>
              <w:jc w:val="right"/>
              <w:rPr>
                <w:sz w:val="18"/>
                <w:szCs w:val="18"/>
              </w:rPr>
            </w:pPr>
            <w:r w:rsidRPr="00176BA0">
              <w:rPr>
                <w:sz w:val="18"/>
                <w:szCs w:val="18"/>
              </w:rPr>
              <w:t>16.771.688,75</w:t>
            </w:r>
          </w:p>
        </w:tc>
      </w:tr>
      <w:tr w:rsidR="00B961C1" w:rsidRPr="00176BA0" w14:paraId="186F9C5B" w14:textId="77777777" w:rsidTr="00954AA6">
        <w:trPr>
          <w:trHeight w:val="340"/>
          <w:jc w:val="center"/>
        </w:trPr>
        <w:tc>
          <w:tcPr>
            <w:tcW w:w="2755" w:type="pct"/>
            <w:tcBorders>
              <w:top w:val="nil"/>
              <w:left w:val="nil"/>
              <w:bottom w:val="single" w:sz="4" w:space="0" w:color="auto"/>
              <w:right w:val="nil"/>
            </w:tcBorders>
            <w:shd w:val="clear" w:color="auto" w:fill="auto"/>
            <w:noWrap/>
            <w:vAlign w:val="center"/>
            <w:hideMark/>
          </w:tcPr>
          <w:p w14:paraId="5A8DD124" w14:textId="77777777" w:rsidR="00B961C1" w:rsidRPr="00176BA0" w:rsidRDefault="00B961C1" w:rsidP="00176BA0">
            <w:pPr>
              <w:keepNext/>
              <w:keepLines/>
              <w:widowControl w:val="0"/>
              <w:ind w:left="215"/>
              <w:rPr>
                <w:rFonts w:eastAsia="Times New Roman"/>
                <w:sz w:val="18"/>
                <w:szCs w:val="18"/>
              </w:rPr>
            </w:pPr>
            <w:r w:rsidRPr="00176BA0">
              <w:rPr>
                <w:rFonts w:eastAsia="Times New Roman"/>
                <w:sz w:val="18"/>
                <w:szCs w:val="18"/>
              </w:rPr>
              <w:t>Total pagos pendientes</w:t>
            </w:r>
          </w:p>
        </w:tc>
        <w:tc>
          <w:tcPr>
            <w:tcW w:w="1122" w:type="pct"/>
            <w:gridSpan w:val="2"/>
            <w:tcBorders>
              <w:top w:val="nil"/>
              <w:left w:val="nil"/>
              <w:bottom w:val="single" w:sz="4" w:space="0" w:color="auto"/>
              <w:right w:val="nil"/>
            </w:tcBorders>
            <w:shd w:val="clear" w:color="auto" w:fill="auto"/>
            <w:noWrap/>
            <w:vAlign w:val="center"/>
          </w:tcPr>
          <w:p w14:paraId="0D9D25C7" w14:textId="41AF346B" w:rsidR="00B961C1" w:rsidRPr="00176BA0" w:rsidRDefault="00B961C1" w:rsidP="00B961C1">
            <w:pPr>
              <w:keepNext/>
              <w:keepLines/>
              <w:widowControl w:val="0"/>
              <w:ind w:firstLineChars="200" w:firstLine="360"/>
              <w:jc w:val="right"/>
              <w:rPr>
                <w:sz w:val="18"/>
                <w:szCs w:val="18"/>
              </w:rPr>
            </w:pPr>
            <w:r w:rsidRPr="00176BA0">
              <w:rPr>
                <w:sz w:val="18"/>
                <w:szCs w:val="18"/>
              </w:rPr>
              <w:t>7.620.639,33</w:t>
            </w:r>
          </w:p>
        </w:tc>
        <w:tc>
          <w:tcPr>
            <w:tcW w:w="1123" w:type="pct"/>
            <w:tcBorders>
              <w:top w:val="nil"/>
              <w:left w:val="nil"/>
              <w:bottom w:val="single" w:sz="4" w:space="0" w:color="auto"/>
              <w:right w:val="nil"/>
            </w:tcBorders>
            <w:shd w:val="clear" w:color="auto" w:fill="auto"/>
            <w:noWrap/>
            <w:vAlign w:val="center"/>
          </w:tcPr>
          <w:p w14:paraId="60BEF2A5" w14:textId="536E7BDB" w:rsidR="00B961C1" w:rsidRPr="00176BA0" w:rsidRDefault="00B961C1" w:rsidP="00B961C1">
            <w:pPr>
              <w:keepNext/>
              <w:keepLines/>
              <w:widowControl w:val="0"/>
              <w:ind w:firstLineChars="200" w:firstLine="360"/>
              <w:jc w:val="right"/>
              <w:rPr>
                <w:sz w:val="18"/>
                <w:szCs w:val="18"/>
              </w:rPr>
            </w:pPr>
            <w:r w:rsidRPr="00176BA0">
              <w:rPr>
                <w:sz w:val="18"/>
                <w:szCs w:val="18"/>
              </w:rPr>
              <w:t>2.246.932,46</w:t>
            </w:r>
          </w:p>
        </w:tc>
      </w:tr>
    </w:tbl>
    <w:p w14:paraId="0CCDFE91" w14:textId="77777777" w:rsidR="006220A2" w:rsidRPr="0083433F" w:rsidRDefault="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 w:rsidRPr="0083433F">
        <w:br w:type="page"/>
      </w:r>
    </w:p>
    <w:p w14:paraId="55ABBA4B" w14:textId="77777777" w:rsidR="001D401D" w:rsidRPr="0083433F" w:rsidRDefault="001D401D" w:rsidP="006220A2">
      <w:pPr>
        <w:jc w:val="center"/>
        <w:rPr>
          <w:b/>
        </w:rPr>
        <w:sectPr w:rsidR="001D401D" w:rsidRPr="0083433F" w:rsidSect="001C58A9">
          <w:pgSz w:w="11900" w:h="16840" w:code="9"/>
          <w:pgMar w:top="1701" w:right="1418" w:bottom="1418" w:left="1701" w:header="1134" w:footer="680" w:gutter="0"/>
          <w:cols w:space="708"/>
          <w:docGrid w:linePitch="360"/>
        </w:sectPr>
      </w:pPr>
    </w:p>
    <w:p w14:paraId="7701BA83" w14:textId="77777777" w:rsidR="00954AA6" w:rsidRDefault="00954AA6" w:rsidP="00954AA6">
      <w:pPr>
        <w:jc w:val="center"/>
        <w:outlineLvl w:val="9"/>
        <w:rPr>
          <w:b/>
          <w:color w:val="auto"/>
        </w:rPr>
      </w:pPr>
    </w:p>
    <w:p w14:paraId="3816C33C" w14:textId="589F6C11" w:rsidR="006220A2" w:rsidRPr="00D90D20" w:rsidRDefault="006220A2" w:rsidP="00954AA6">
      <w:pPr>
        <w:jc w:val="center"/>
        <w:outlineLvl w:val="9"/>
        <w:rPr>
          <w:b/>
          <w:color w:val="auto"/>
        </w:rPr>
      </w:pPr>
      <w:r w:rsidRPr="00D90D20">
        <w:rPr>
          <w:b/>
          <w:color w:val="auto"/>
        </w:rPr>
        <w:t>INFOR</w:t>
      </w:r>
      <w:r w:rsidR="00286D62" w:rsidRPr="00D90D20">
        <w:rPr>
          <w:b/>
          <w:color w:val="auto"/>
        </w:rPr>
        <w:t>ME DE GESTIÓN DEL EJERCICIO 20</w:t>
      </w:r>
      <w:r w:rsidR="009C7621" w:rsidRPr="00D90D20">
        <w:rPr>
          <w:b/>
          <w:color w:val="auto"/>
        </w:rPr>
        <w:t>2</w:t>
      </w:r>
      <w:r w:rsidR="00FD61DC">
        <w:rPr>
          <w:b/>
          <w:color w:val="auto"/>
        </w:rPr>
        <w:t>1</w:t>
      </w:r>
    </w:p>
    <w:p w14:paraId="5C4CB587" w14:textId="77777777" w:rsidR="006220A2" w:rsidRPr="00D90D20" w:rsidRDefault="006220A2" w:rsidP="006220A2">
      <w:pPr>
        <w:jc w:val="center"/>
        <w:rPr>
          <w:b/>
          <w:color w:val="auto"/>
        </w:rPr>
      </w:pPr>
    </w:p>
    <w:p w14:paraId="05DCE8FE" w14:textId="1A69FB9A" w:rsidR="00EB2BBD" w:rsidRPr="00C447AA" w:rsidRDefault="00E34164" w:rsidP="00954AA6">
      <w:pPr>
        <w:spacing w:before="120" w:after="120" w:line="260" w:lineRule="exact"/>
        <w:jc w:val="both"/>
        <w:rPr>
          <w:color w:val="auto"/>
          <w:sz w:val="20"/>
          <w:szCs w:val="20"/>
        </w:rPr>
      </w:pPr>
      <w:r w:rsidRPr="00954AA6">
        <w:rPr>
          <w:b/>
          <w:sz w:val="20"/>
          <w:szCs w:val="20"/>
          <w:lang w:val="es-ES_tradnl"/>
        </w:rPr>
        <w:t>Promotur Turismo Canarias, S.A</w:t>
      </w:r>
      <w:r w:rsidRPr="00954AA6">
        <w:rPr>
          <w:b/>
          <w:color w:val="auto"/>
          <w:sz w:val="20"/>
          <w:szCs w:val="20"/>
        </w:rPr>
        <w:t>.</w:t>
      </w:r>
      <w:r w:rsidR="00EB2BBD" w:rsidRPr="00954AA6">
        <w:rPr>
          <w:b/>
          <w:color w:val="auto"/>
          <w:sz w:val="20"/>
          <w:szCs w:val="20"/>
        </w:rPr>
        <w:t>,</w:t>
      </w:r>
      <w:r w:rsidR="00EB2BBD" w:rsidRPr="00C447AA">
        <w:rPr>
          <w:color w:val="auto"/>
          <w:sz w:val="20"/>
          <w:szCs w:val="20"/>
        </w:rPr>
        <w:t xml:space="preserve"> dependiente de la Consejería de Turismo, Industria y Comercio del Gobierno de Canarias, desarrolló durante el ejercicio 20</w:t>
      </w:r>
      <w:r w:rsidR="009C7621" w:rsidRPr="00C447AA">
        <w:rPr>
          <w:color w:val="auto"/>
          <w:sz w:val="20"/>
          <w:szCs w:val="20"/>
        </w:rPr>
        <w:t>2</w:t>
      </w:r>
      <w:r w:rsidR="00FD61DC">
        <w:rPr>
          <w:color w:val="auto"/>
          <w:sz w:val="20"/>
          <w:szCs w:val="20"/>
        </w:rPr>
        <w:t>1</w:t>
      </w:r>
      <w:r w:rsidR="00EB2BBD" w:rsidRPr="00C447AA">
        <w:rPr>
          <w:color w:val="auto"/>
          <w:sz w:val="20"/>
          <w:szCs w:val="20"/>
        </w:rPr>
        <w:t>, en sus diversas áreas, el programa de objetivos y actividades en el ámbito de su objeto social.</w:t>
      </w:r>
    </w:p>
    <w:p w14:paraId="7D825CE0" w14:textId="7C263823" w:rsidR="00841182" w:rsidRPr="00D03D56" w:rsidRDefault="00EB2BBD" w:rsidP="00C52F6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60" w:lineRule="exact"/>
        <w:ind w:left="284" w:hanging="284"/>
        <w:jc w:val="both"/>
        <w:outlineLvl w:val="9"/>
        <w:rPr>
          <w:color w:val="auto"/>
          <w:sz w:val="20"/>
          <w:szCs w:val="20"/>
        </w:rPr>
      </w:pPr>
      <w:r w:rsidRPr="00C447AA">
        <w:rPr>
          <w:b/>
          <w:color w:val="auto"/>
          <w:sz w:val="20"/>
          <w:szCs w:val="20"/>
          <w:u w:val="single"/>
        </w:rPr>
        <w:t>ACCIONES PROMOCIONALES REALIZADAS EN 20</w:t>
      </w:r>
      <w:r w:rsidR="009C7621" w:rsidRPr="00C447AA">
        <w:rPr>
          <w:b/>
          <w:color w:val="auto"/>
          <w:sz w:val="20"/>
          <w:szCs w:val="20"/>
          <w:u w:val="single"/>
        </w:rPr>
        <w:t>2</w:t>
      </w:r>
      <w:r w:rsidR="00FD61DC">
        <w:rPr>
          <w:b/>
          <w:color w:val="auto"/>
          <w:sz w:val="20"/>
          <w:szCs w:val="20"/>
          <w:u w:val="single"/>
        </w:rPr>
        <w:t>1</w:t>
      </w:r>
    </w:p>
    <w:p w14:paraId="7A5D1EE7" w14:textId="3DE721C7" w:rsidR="00D03D56" w:rsidRPr="00E82247" w:rsidRDefault="00D03D56" w:rsidP="00C52F68">
      <w:pPr>
        <w:spacing w:before="120" w:after="120" w:line="260" w:lineRule="exact"/>
        <w:ind w:left="284"/>
        <w:jc w:val="both"/>
        <w:outlineLvl w:val="9"/>
        <w:rPr>
          <w:b/>
          <w:bCs/>
          <w:sz w:val="20"/>
        </w:rPr>
      </w:pPr>
      <w:r w:rsidRPr="00E82247">
        <w:rPr>
          <w:sz w:val="20"/>
          <w:lang w:val="es-ES_tradnl"/>
        </w:rPr>
        <w:t>Los retos que se plante</w:t>
      </w:r>
      <w:r>
        <w:rPr>
          <w:sz w:val="20"/>
        </w:rPr>
        <w:t>o</w:t>
      </w:r>
      <w:r w:rsidRPr="00E82247">
        <w:rPr>
          <w:sz w:val="20"/>
        </w:rPr>
        <w:t xml:space="preserve"> </w:t>
      </w:r>
      <w:r w:rsidRPr="00E82247">
        <w:rPr>
          <w:sz w:val="20"/>
          <w:lang w:val="es-ES_tradnl"/>
        </w:rPr>
        <w:t xml:space="preserve">Promotur Turismo Canarias S.A. para el año 2021 fueron </w:t>
      </w:r>
      <w:r w:rsidRPr="00E82247">
        <w:rPr>
          <w:b/>
          <w:bCs/>
          <w:sz w:val="20"/>
        </w:rPr>
        <w:t>la transformación</w:t>
      </w:r>
      <w:r w:rsidRPr="00E82247">
        <w:rPr>
          <w:b/>
          <w:bCs/>
          <w:sz w:val="20"/>
          <w:lang w:val="es-ES_tradnl"/>
        </w:rPr>
        <w:t xml:space="preserve"> digital del sector en Canarias, el desarrollo del ecosistema innovador tur</w:t>
      </w:r>
      <w:r w:rsidRPr="00E82247">
        <w:rPr>
          <w:b/>
          <w:bCs/>
          <w:sz w:val="20"/>
        </w:rPr>
        <w:t>í</w:t>
      </w:r>
      <w:proofErr w:type="spellStart"/>
      <w:r w:rsidR="00685956">
        <w:rPr>
          <w:b/>
          <w:bCs/>
          <w:sz w:val="20"/>
          <w:lang w:val="es-ES_tradnl"/>
        </w:rPr>
        <w:t>stico</w:t>
      </w:r>
      <w:proofErr w:type="spellEnd"/>
      <w:r w:rsidRPr="00E82247">
        <w:rPr>
          <w:b/>
          <w:bCs/>
          <w:sz w:val="20"/>
          <w:lang w:val="es-ES_tradnl"/>
        </w:rPr>
        <w:t>, la mejora, adaptación y personalización en la experiencia tur</w:t>
      </w:r>
      <w:r w:rsidRPr="00E82247">
        <w:rPr>
          <w:b/>
          <w:bCs/>
          <w:sz w:val="20"/>
        </w:rPr>
        <w:t>í</w:t>
      </w:r>
      <w:proofErr w:type="spellStart"/>
      <w:r w:rsidRPr="00E82247">
        <w:rPr>
          <w:b/>
          <w:bCs/>
          <w:sz w:val="20"/>
          <w:lang w:val="es-ES_tradnl"/>
        </w:rPr>
        <w:t>s</w:t>
      </w:r>
      <w:r w:rsidR="00685956">
        <w:rPr>
          <w:b/>
          <w:bCs/>
          <w:sz w:val="20"/>
          <w:lang w:val="es-ES_tradnl"/>
        </w:rPr>
        <w:t>tica</w:t>
      </w:r>
      <w:proofErr w:type="spellEnd"/>
      <w:r w:rsidRPr="00E82247">
        <w:rPr>
          <w:b/>
          <w:bCs/>
          <w:sz w:val="20"/>
          <w:lang w:val="es-ES_tradnl"/>
        </w:rPr>
        <w:t xml:space="preserve"> y el liderazgo de la sostenibilidad de la actividad tur</w:t>
      </w:r>
      <w:r w:rsidRPr="00E82247">
        <w:rPr>
          <w:b/>
          <w:bCs/>
          <w:sz w:val="20"/>
        </w:rPr>
        <w:t>í</w:t>
      </w:r>
      <w:r w:rsidRPr="00E82247">
        <w:rPr>
          <w:b/>
          <w:bCs/>
          <w:sz w:val="20"/>
          <w:lang w:val="it-IT"/>
        </w:rPr>
        <w:t>stica canaria</w:t>
      </w:r>
      <w:r w:rsidRPr="00E82247">
        <w:rPr>
          <w:sz w:val="20"/>
        </w:rPr>
        <w:t>.</w:t>
      </w:r>
    </w:p>
    <w:p w14:paraId="61776D57" w14:textId="77777777" w:rsidR="00D03D56" w:rsidRPr="00E82247" w:rsidRDefault="00D03D56" w:rsidP="00C52F68">
      <w:pPr>
        <w:spacing w:before="120" w:after="120" w:line="260" w:lineRule="exact"/>
        <w:ind w:left="284"/>
        <w:jc w:val="both"/>
        <w:outlineLvl w:val="9"/>
        <w:rPr>
          <w:sz w:val="20"/>
        </w:rPr>
      </w:pPr>
      <w:r w:rsidRPr="00E82247">
        <w:rPr>
          <w:sz w:val="20"/>
          <w:lang w:val="es-ES_tradnl"/>
        </w:rPr>
        <w:t>Acorde a lo anterior, en un contexto de emergencia sanitaria y grave crisis del sector, se establecieron los siguientes objetivos, que implicaban al talento existente en nuestra sociedad, la adopción de nuevos modelos de negocio</w:t>
      </w:r>
      <w:r w:rsidRPr="00E82247">
        <w:rPr>
          <w:b/>
          <w:bCs/>
          <w:sz w:val="20"/>
        </w:rPr>
        <w:t xml:space="preserve"> </w:t>
      </w:r>
      <w:r w:rsidRPr="00E82247">
        <w:rPr>
          <w:sz w:val="20"/>
          <w:lang w:val="es-ES_tradnl"/>
        </w:rPr>
        <w:t>basados en plataformas digitales de m</w:t>
      </w:r>
      <w:r w:rsidRPr="00E82247">
        <w:rPr>
          <w:sz w:val="20"/>
        </w:rPr>
        <w:t>ú</w:t>
      </w:r>
      <w:proofErr w:type="spellStart"/>
      <w:r w:rsidRPr="00E82247">
        <w:rPr>
          <w:sz w:val="20"/>
          <w:lang w:val="es-ES_tradnl"/>
        </w:rPr>
        <w:t>ltiples</w:t>
      </w:r>
      <w:proofErr w:type="spellEnd"/>
      <w:r w:rsidRPr="00E82247">
        <w:rPr>
          <w:sz w:val="20"/>
          <w:lang w:val="es-ES_tradnl"/>
        </w:rPr>
        <w:t xml:space="preserve"> lados y el despliegue de las capacidades </w:t>
      </w:r>
      <w:proofErr w:type="spellStart"/>
      <w:r w:rsidRPr="00E82247">
        <w:rPr>
          <w:sz w:val="20"/>
          <w:lang w:val="es-ES_tradnl"/>
        </w:rPr>
        <w:t>tecnoló</w:t>
      </w:r>
      <w:proofErr w:type="spellEnd"/>
      <w:r w:rsidRPr="00E82247">
        <w:rPr>
          <w:sz w:val="20"/>
          <w:lang w:val="pt-PT"/>
        </w:rPr>
        <w:t>gicas</w:t>
      </w:r>
      <w:r w:rsidRPr="00E82247">
        <w:rPr>
          <w:b/>
          <w:bCs/>
          <w:sz w:val="20"/>
        </w:rPr>
        <w:t xml:space="preserve"> </w:t>
      </w:r>
      <w:r w:rsidRPr="00E82247">
        <w:rPr>
          <w:sz w:val="20"/>
          <w:lang w:val="es-ES_tradnl"/>
        </w:rPr>
        <w:t xml:space="preserve">inherentes a los proyectos Smart </w:t>
      </w:r>
      <w:proofErr w:type="spellStart"/>
      <w:r w:rsidRPr="00E82247">
        <w:rPr>
          <w:sz w:val="20"/>
          <w:lang w:val="es-ES_tradnl"/>
        </w:rPr>
        <w:t>Cities</w:t>
      </w:r>
      <w:proofErr w:type="spellEnd"/>
      <w:r w:rsidRPr="00E82247">
        <w:rPr>
          <w:sz w:val="20"/>
          <w:lang w:val="es-ES_tradnl"/>
        </w:rPr>
        <w:t xml:space="preserve">, Cloud Computing, Inteligencia Artificial, </w:t>
      </w:r>
      <w:proofErr w:type="spellStart"/>
      <w:r w:rsidRPr="00E82247">
        <w:rPr>
          <w:sz w:val="20"/>
          <w:lang w:val="es-ES_tradnl"/>
        </w:rPr>
        <w:t>IoT</w:t>
      </w:r>
      <w:proofErr w:type="spellEnd"/>
      <w:r w:rsidRPr="00E82247">
        <w:rPr>
          <w:sz w:val="20"/>
          <w:lang w:val="es-ES_tradnl"/>
        </w:rPr>
        <w:t>,</w:t>
      </w:r>
      <w:r w:rsidRPr="00E82247">
        <w:rPr>
          <w:b/>
          <w:bCs/>
          <w:sz w:val="20"/>
        </w:rPr>
        <w:t xml:space="preserve"> </w:t>
      </w:r>
      <w:r w:rsidRPr="00E82247">
        <w:rPr>
          <w:sz w:val="20"/>
          <w:lang w:val="es-ES_tradnl"/>
        </w:rPr>
        <w:t xml:space="preserve">adoptando soluciones Open Standard y Open </w:t>
      </w:r>
      <w:proofErr w:type="spellStart"/>
      <w:r w:rsidRPr="00E82247">
        <w:rPr>
          <w:sz w:val="20"/>
          <w:lang w:val="es-ES_tradnl"/>
        </w:rPr>
        <w:t>Source</w:t>
      </w:r>
      <w:proofErr w:type="spellEnd"/>
      <w:r w:rsidRPr="00E82247">
        <w:rPr>
          <w:sz w:val="20"/>
          <w:lang w:val="es-ES_tradnl"/>
        </w:rPr>
        <w:t>:</w:t>
      </w:r>
    </w:p>
    <w:p w14:paraId="3DAA9253" w14:textId="482744D7" w:rsidR="00D03D56" w:rsidRPr="00E82247" w:rsidRDefault="00D03D56" w:rsidP="00C52F68">
      <w:pPr>
        <w:numPr>
          <w:ilvl w:val="0"/>
          <w:numId w:val="22"/>
        </w:numPr>
        <w:spacing w:before="120" w:line="276" w:lineRule="auto"/>
        <w:ind w:left="567"/>
        <w:jc w:val="both"/>
        <w:rPr>
          <w:b/>
          <w:bCs/>
          <w:sz w:val="20"/>
          <w:lang w:val="es-ES_tradnl"/>
        </w:rPr>
      </w:pPr>
      <w:r>
        <w:rPr>
          <w:b/>
          <w:bCs/>
          <w:sz w:val="20"/>
          <w:lang w:val="es-ES_tradnl"/>
        </w:rPr>
        <w:t>E</w:t>
      </w:r>
      <w:r w:rsidRPr="00E82247">
        <w:rPr>
          <w:b/>
          <w:bCs/>
          <w:sz w:val="20"/>
          <w:lang w:val="es-ES_tradnl"/>
        </w:rPr>
        <w:t>l desarrollo de la economía turística canaria a través de la participación en la comercialización directa de sus productos turísticos</w:t>
      </w:r>
    </w:p>
    <w:p w14:paraId="53BC4D52" w14:textId="0D0D1058" w:rsidR="00D03D56" w:rsidRPr="00E82247" w:rsidRDefault="00D03D56" w:rsidP="00C52F68">
      <w:pPr>
        <w:numPr>
          <w:ilvl w:val="0"/>
          <w:numId w:val="22"/>
        </w:numPr>
        <w:spacing w:before="120" w:line="276" w:lineRule="auto"/>
        <w:ind w:left="567"/>
        <w:jc w:val="both"/>
        <w:rPr>
          <w:b/>
          <w:bCs/>
          <w:sz w:val="20"/>
          <w:lang w:val="es-ES_tradnl"/>
        </w:rPr>
      </w:pPr>
      <w:r>
        <w:rPr>
          <w:b/>
          <w:bCs/>
          <w:sz w:val="20"/>
          <w:lang w:val="es-ES_tradnl"/>
        </w:rPr>
        <w:t>L</w:t>
      </w:r>
      <w:r w:rsidRPr="00E82247">
        <w:rPr>
          <w:b/>
          <w:bCs/>
          <w:sz w:val="20"/>
          <w:lang w:val="es-ES_tradnl"/>
        </w:rPr>
        <w:t>a mejora de la experiencia de sus turistas</w:t>
      </w:r>
    </w:p>
    <w:p w14:paraId="68BC3508" w14:textId="0B210FD8" w:rsidR="00D03D56" w:rsidRPr="00685956" w:rsidRDefault="00D03D56" w:rsidP="00C52F68">
      <w:pPr>
        <w:numPr>
          <w:ilvl w:val="0"/>
          <w:numId w:val="22"/>
        </w:numPr>
        <w:spacing w:before="120" w:line="276" w:lineRule="auto"/>
        <w:ind w:left="567"/>
        <w:jc w:val="both"/>
        <w:rPr>
          <w:b/>
          <w:bCs/>
          <w:sz w:val="20"/>
          <w:lang w:val="es-ES_tradnl"/>
        </w:rPr>
      </w:pPr>
      <w:r>
        <w:rPr>
          <w:b/>
          <w:bCs/>
          <w:sz w:val="20"/>
          <w:lang w:val="es-ES_tradnl"/>
        </w:rPr>
        <w:t>L</w:t>
      </w:r>
      <w:r w:rsidRPr="00E82247">
        <w:rPr>
          <w:b/>
          <w:bCs/>
          <w:sz w:val="20"/>
          <w:lang w:val="es-ES_tradnl"/>
        </w:rPr>
        <w:t xml:space="preserve">a mejora de la sostenibilidad de la actividad turística </w:t>
      </w:r>
    </w:p>
    <w:p w14:paraId="174B6D85" w14:textId="4CC64708" w:rsidR="00D03D56" w:rsidRPr="00E82247" w:rsidRDefault="00D03D56" w:rsidP="00C52F68">
      <w:pPr>
        <w:spacing w:before="120" w:after="120" w:line="260" w:lineRule="exact"/>
        <w:ind w:left="284"/>
        <w:jc w:val="both"/>
        <w:outlineLvl w:val="9"/>
        <w:rPr>
          <w:sz w:val="20"/>
        </w:rPr>
      </w:pPr>
      <w:r w:rsidRPr="00E82247">
        <w:rPr>
          <w:sz w:val="20"/>
          <w:lang w:val="es-ES_tradnl"/>
        </w:rPr>
        <w:t>Para todo ello, se articuló</w:t>
      </w:r>
      <w:r w:rsidRPr="00E82247">
        <w:rPr>
          <w:sz w:val="20"/>
        </w:rPr>
        <w:t xml:space="preserve"> </w:t>
      </w:r>
      <w:r w:rsidRPr="00E82247">
        <w:rPr>
          <w:sz w:val="20"/>
          <w:lang w:val="es-ES_tradnl"/>
        </w:rPr>
        <w:t>una estrategia para la transformación del modelo tur</w:t>
      </w:r>
      <w:r w:rsidRPr="00E82247">
        <w:rPr>
          <w:sz w:val="20"/>
        </w:rPr>
        <w:t>í</w:t>
      </w:r>
      <w:proofErr w:type="spellStart"/>
      <w:r w:rsidRPr="00E82247">
        <w:rPr>
          <w:sz w:val="20"/>
          <w:lang w:val="es-ES_tradnl"/>
        </w:rPr>
        <w:t>stico</w:t>
      </w:r>
      <w:proofErr w:type="spellEnd"/>
      <w:r w:rsidRPr="00E82247">
        <w:rPr>
          <w:sz w:val="20"/>
          <w:lang w:val="es-ES_tradnl"/>
        </w:rPr>
        <w:t xml:space="preserve"> canario ante el nuevo ciclo post-</w:t>
      </w:r>
      <w:proofErr w:type="spellStart"/>
      <w:r w:rsidRPr="00E82247">
        <w:rPr>
          <w:sz w:val="20"/>
          <w:lang w:val="es-ES_tradnl"/>
        </w:rPr>
        <w:t>Covid</w:t>
      </w:r>
      <w:proofErr w:type="spellEnd"/>
      <w:r w:rsidRPr="00E82247">
        <w:rPr>
          <w:sz w:val="20"/>
          <w:lang w:val="es-ES_tradnl"/>
        </w:rPr>
        <w:t xml:space="preserve"> denominada </w:t>
      </w:r>
      <w:r w:rsidRPr="00E82247">
        <w:rPr>
          <w:b/>
          <w:bCs/>
          <w:sz w:val="20"/>
          <w:lang w:val="es-ES_tradnl"/>
        </w:rPr>
        <w:t>Canarias Destino</w:t>
      </w:r>
      <w:r w:rsidRPr="00E82247">
        <w:rPr>
          <w:sz w:val="20"/>
          <w:lang w:val="es-ES_tradnl"/>
        </w:rPr>
        <w:t xml:space="preserve"> que, en el </w:t>
      </w:r>
      <w:r w:rsidRPr="00E82247">
        <w:rPr>
          <w:sz w:val="20"/>
        </w:rPr>
        <w:t>á</w:t>
      </w:r>
      <w:proofErr w:type="spellStart"/>
      <w:r w:rsidRPr="00E82247">
        <w:rPr>
          <w:sz w:val="20"/>
          <w:lang w:val="es-ES_tradnl"/>
        </w:rPr>
        <w:t>mbito</w:t>
      </w:r>
      <w:proofErr w:type="spellEnd"/>
      <w:r w:rsidRPr="00E82247">
        <w:rPr>
          <w:sz w:val="20"/>
          <w:lang w:val="es-ES_tradnl"/>
        </w:rPr>
        <w:t xml:space="preserve"> del Plan de Marketing </w:t>
      </w:r>
      <w:proofErr w:type="spellStart"/>
      <w:r w:rsidRPr="00E82247">
        <w:rPr>
          <w:sz w:val="20"/>
          <w:lang w:val="es-ES_tradnl"/>
        </w:rPr>
        <w:t>Estrat</w:t>
      </w:r>
      <w:proofErr w:type="spellEnd"/>
      <w:r w:rsidRPr="00E82247">
        <w:rPr>
          <w:sz w:val="20"/>
          <w:lang w:val="fr-FR"/>
        </w:rPr>
        <w:t>é</w:t>
      </w:r>
      <w:proofErr w:type="spellStart"/>
      <w:r w:rsidRPr="00E82247">
        <w:rPr>
          <w:sz w:val="20"/>
          <w:lang w:val="es-ES_tradnl"/>
        </w:rPr>
        <w:t>gico</w:t>
      </w:r>
      <w:proofErr w:type="spellEnd"/>
      <w:r w:rsidRPr="00E82247">
        <w:rPr>
          <w:sz w:val="20"/>
          <w:lang w:val="es-ES_tradnl"/>
        </w:rPr>
        <w:t xml:space="preserve"> de la Marca Islas Canarias 2018-2022, superara la evidente falta de actualización de esta herramienta </w:t>
      </w:r>
      <w:proofErr w:type="spellStart"/>
      <w:r w:rsidRPr="00E82247">
        <w:rPr>
          <w:sz w:val="20"/>
          <w:lang w:val="es-ES_tradnl"/>
        </w:rPr>
        <w:t>estrat</w:t>
      </w:r>
      <w:proofErr w:type="spellEnd"/>
      <w:r w:rsidRPr="00E82247">
        <w:rPr>
          <w:sz w:val="20"/>
          <w:lang w:val="fr-FR"/>
        </w:rPr>
        <w:t>é</w:t>
      </w:r>
      <w:proofErr w:type="spellStart"/>
      <w:r w:rsidRPr="00E82247">
        <w:rPr>
          <w:sz w:val="20"/>
          <w:lang w:val="es-ES_tradnl"/>
        </w:rPr>
        <w:t>gica</w:t>
      </w:r>
      <w:proofErr w:type="spellEnd"/>
      <w:r w:rsidRPr="00E82247">
        <w:rPr>
          <w:sz w:val="20"/>
          <w:lang w:val="es-ES_tradnl"/>
        </w:rPr>
        <w:t xml:space="preserve"> en un ejercicio de reorientación y adecuación a los nuevos condicionantes del entorno y como la mejor respuesta desde lo local, desde el Destino Tur</w:t>
      </w:r>
      <w:r w:rsidRPr="00E82247">
        <w:rPr>
          <w:sz w:val="20"/>
        </w:rPr>
        <w:t>í</w:t>
      </w:r>
      <w:proofErr w:type="spellStart"/>
      <w:r w:rsidRPr="00E82247">
        <w:rPr>
          <w:sz w:val="20"/>
          <w:lang w:val="es-ES_tradnl"/>
        </w:rPr>
        <w:t>stico</w:t>
      </w:r>
      <w:proofErr w:type="spellEnd"/>
      <w:r w:rsidRPr="00E82247">
        <w:rPr>
          <w:sz w:val="20"/>
          <w:lang w:val="es-ES_tradnl"/>
        </w:rPr>
        <w:t xml:space="preserve"> Canarias, a los </w:t>
      </w:r>
      <w:proofErr w:type="spellStart"/>
      <w:r w:rsidRPr="00E82247">
        <w:rPr>
          <w:sz w:val="20"/>
          <w:lang w:val="es-ES_tradnl"/>
        </w:rPr>
        <w:t>desaf</w:t>
      </w:r>
      <w:proofErr w:type="spellEnd"/>
      <w:r w:rsidRPr="00E82247">
        <w:rPr>
          <w:sz w:val="20"/>
        </w:rPr>
        <w:t>í</w:t>
      </w:r>
      <w:r w:rsidRPr="00E82247">
        <w:rPr>
          <w:sz w:val="20"/>
          <w:lang w:val="es-ES_tradnl"/>
        </w:rPr>
        <w:t xml:space="preserve">os del </w:t>
      </w:r>
      <w:r w:rsidRPr="00E82247">
        <w:rPr>
          <w:b/>
          <w:bCs/>
          <w:sz w:val="20"/>
          <w:lang w:val="it-IT"/>
        </w:rPr>
        <w:t>Cambio Clim</w:t>
      </w:r>
      <w:r w:rsidRPr="00E82247">
        <w:rPr>
          <w:b/>
          <w:bCs/>
          <w:sz w:val="20"/>
        </w:rPr>
        <w:t>á</w:t>
      </w:r>
      <w:r w:rsidRPr="00E82247">
        <w:rPr>
          <w:b/>
          <w:bCs/>
          <w:sz w:val="20"/>
          <w:lang w:val="it-IT"/>
        </w:rPr>
        <w:t>tico</w:t>
      </w:r>
      <w:r w:rsidRPr="00E82247">
        <w:rPr>
          <w:sz w:val="20"/>
          <w:lang w:val="es-ES_tradnl"/>
        </w:rPr>
        <w:t>, de la necesidad de ser m</w:t>
      </w:r>
      <w:proofErr w:type="spellStart"/>
      <w:r w:rsidRPr="00E82247">
        <w:rPr>
          <w:sz w:val="20"/>
        </w:rPr>
        <w:t>ás</w:t>
      </w:r>
      <w:proofErr w:type="spellEnd"/>
      <w:r w:rsidRPr="00E82247">
        <w:rPr>
          <w:sz w:val="20"/>
        </w:rPr>
        <w:t xml:space="preserve"> </w:t>
      </w:r>
      <w:r w:rsidRPr="00E82247">
        <w:rPr>
          <w:b/>
          <w:bCs/>
          <w:sz w:val="20"/>
          <w:lang w:val="de-DE"/>
        </w:rPr>
        <w:t>Resilientes</w:t>
      </w:r>
      <w:r w:rsidRPr="00E82247">
        <w:rPr>
          <w:sz w:val="20"/>
          <w:lang w:val="es-ES_tradnl"/>
        </w:rPr>
        <w:t>, y de construir una propuesta tur</w:t>
      </w:r>
      <w:r w:rsidRPr="00E82247">
        <w:rPr>
          <w:sz w:val="20"/>
        </w:rPr>
        <w:t>í</w:t>
      </w:r>
      <w:proofErr w:type="spellStart"/>
      <w:r w:rsidRPr="00E82247">
        <w:rPr>
          <w:sz w:val="20"/>
          <w:lang w:val="es-ES_tradnl"/>
        </w:rPr>
        <w:t>stica</w:t>
      </w:r>
      <w:proofErr w:type="spellEnd"/>
      <w:r w:rsidRPr="00E82247">
        <w:rPr>
          <w:sz w:val="20"/>
          <w:lang w:val="es-ES_tradnl"/>
        </w:rPr>
        <w:t xml:space="preserve"> de mayor valor, y por tanto m</w:t>
      </w:r>
      <w:proofErr w:type="spellStart"/>
      <w:r w:rsidRPr="00E82247">
        <w:rPr>
          <w:sz w:val="20"/>
        </w:rPr>
        <w:t>ás</w:t>
      </w:r>
      <w:proofErr w:type="spellEnd"/>
      <w:r w:rsidRPr="00E82247">
        <w:rPr>
          <w:sz w:val="20"/>
        </w:rPr>
        <w:t xml:space="preserve"> </w:t>
      </w:r>
      <w:r w:rsidRPr="00E82247">
        <w:rPr>
          <w:b/>
          <w:bCs/>
          <w:sz w:val="20"/>
          <w:lang w:val="it-IT"/>
        </w:rPr>
        <w:t>Competitiva,</w:t>
      </w:r>
      <w:r w:rsidRPr="00E82247">
        <w:rPr>
          <w:sz w:val="20"/>
          <w:lang w:val="es-ES_tradnl"/>
        </w:rPr>
        <w:t xml:space="preserve"> centralizada en la construcción de una </w:t>
      </w:r>
      <w:r w:rsidRPr="00E82247">
        <w:rPr>
          <w:b/>
          <w:bCs/>
          <w:sz w:val="20"/>
          <w:lang w:val="pt-PT"/>
        </w:rPr>
        <w:t>Plataforma de Destino Tur</w:t>
      </w:r>
      <w:r w:rsidRPr="00E82247">
        <w:rPr>
          <w:b/>
          <w:bCs/>
          <w:sz w:val="20"/>
        </w:rPr>
        <w:t>í</w:t>
      </w:r>
      <w:r w:rsidRPr="00E82247">
        <w:rPr>
          <w:b/>
          <w:bCs/>
          <w:sz w:val="20"/>
          <w:lang w:val="it-IT"/>
        </w:rPr>
        <w:t>stico</w:t>
      </w:r>
      <w:r w:rsidRPr="00E82247">
        <w:rPr>
          <w:sz w:val="20"/>
        </w:rPr>
        <w:t xml:space="preserve"> </w:t>
      </w:r>
      <w:r w:rsidRPr="00E82247">
        <w:rPr>
          <w:b/>
          <w:bCs/>
          <w:sz w:val="20"/>
          <w:lang w:val="es-ES_tradnl"/>
        </w:rPr>
        <w:t xml:space="preserve">Seguro, Sostenible y Competitivo de las Islas Canarias </w:t>
      </w:r>
      <w:r w:rsidRPr="00E82247">
        <w:rPr>
          <w:sz w:val="20"/>
          <w:lang w:val="es-ES_tradnl"/>
        </w:rPr>
        <w:t>que desarrolle el modelo de negocio de Plataformas y Ecosistemas, igual al que han desarrollado los operadores globales, y facilite la construcción del producto tur</w:t>
      </w:r>
      <w:r w:rsidRPr="00E82247">
        <w:rPr>
          <w:sz w:val="20"/>
        </w:rPr>
        <w:t>í</w:t>
      </w:r>
      <w:proofErr w:type="spellStart"/>
      <w:r w:rsidRPr="00E82247">
        <w:rPr>
          <w:sz w:val="20"/>
          <w:lang w:val="es-ES_tradnl"/>
        </w:rPr>
        <w:t>stico</w:t>
      </w:r>
      <w:proofErr w:type="spellEnd"/>
      <w:r w:rsidRPr="00E82247">
        <w:rPr>
          <w:sz w:val="20"/>
          <w:lang w:val="es-ES_tradnl"/>
        </w:rPr>
        <w:t xml:space="preserve"> canario a lo largo de toda su cadena de valor.</w:t>
      </w:r>
    </w:p>
    <w:p w14:paraId="43B53339" w14:textId="7F1B80BB" w:rsidR="00D03D56" w:rsidRPr="00E82247" w:rsidRDefault="00D03D56" w:rsidP="00C52F68">
      <w:pPr>
        <w:spacing w:before="120" w:after="120" w:line="260" w:lineRule="exact"/>
        <w:ind w:left="284"/>
        <w:jc w:val="both"/>
        <w:outlineLvl w:val="9"/>
        <w:rPr>
          <w:sz w:val="20"/>
        </w:rPr>
      </w:pPr>
      <w:r w:rsidRPr="00E82247">
        <w:rPr>
          <w:sz w:val="20"/>
          <w:lang w:val="es-ES_tradnl"/>
        </w:rPr>
        <w:t xml:space="preserve">Los principales componentes sobre los que se ha comenzado </w:t>
      </w:r>
      <w:r w:rsidR="00685956" w:rsidRPr="00E82247">
        <w:rPr>
          <w:sz w:val="20"/>
          <w:lang w:val="es-ES_tradnl"/>
        </w:rPr>
        <w:t>a</w:t>
      </w:r>
      <w:r w:rsidRPr="00E82247">
        <w:rPr>
          <w:sz w:val="20"/>
          <w:lang w:val="es-ES_tradnl"/>
        </w:rPr>
        <w:t xml:space="preserve"> construir la Plataforma son: </w:t>
      </w:r>
    </w:p>
    <w:p w14:paraId="197AFC7C" w14:textId="77777777" w:rsidR="00D03D56" w:rsidRPr="00E82247" w:rsidRDefault="00D03D56" w:rsidP="00C52F68">
      <w:pPr>
        <w:numPr>
          <w:ilvl w:val="0"/>
          <w:numId w:val="24"/>
        </w:numPr>
        <w:spacing w:before="120" w:line="276" w:lineRule="auto"/>
        <w:ind w:left="567" w:hanging="283"/>
        <w:jc w:val="both"/>
        <w:rPr>
          <w:sz w:val="20"/>
          <w:lang w:val="es-ES_tradnl"/>
        </w:rPr>
      </w:pPr>
      <w:r w:rsidRPr="00E82247">
        <w:rPr>
          <w:b/>
          <w:bCs/>
          <w:sz w:val="20"/>
          <w:lang w:val="es-ES_tradnl"/>
        </w:rPr>
        <w:t>Plataforma de Destino Inteligente Islas Canarias y red de sensores IOT</w:t>
      </w:r>
    </w:p>
    <w:p w14:paraId="1E34CE4E" w14:textId="77777777" w:rsidR="00D03D56" w:rsidRPr="00E82247" w:rsidRDefault="00D03D56" w:rsidP="00C52F68">
      <w:pPr>
        <w:numPr>
          <w:ilvl w:val="0"/>
          <w:numId w:val="24"/>
        </w:numPr>
        <w:spacing w:before="120" w:line="276" w:lineRule="auto"/>
        <w:ind w:left="567" w:hanging="283"/>
        <w:jc w:val="both"/>
        <w:rPr>
          <w:b/>
          <w:bCs/>
          <w:sz w:val="20"/>
          <w:lang w:val="es-ES_tradnl"/>
        </w:rPr>
      </w:pPr>
      <w:r w:rsidRPr="00E82247">
        <w:rPr>
          <w:b/>
          <w:bCs/>
          <w:sz w:val="20"/>
          <w:lang w:val="es-ES_tradnl"/>
        </w:rPr>
        <w:t>Marketplace Sostenible Islas Canarias</w:t>
      </w:r>
    </w:p>
    <w:p w14:paraId="6ADB5515" w14:textId="77777777" w:rsidR="00D03D56" w:rsidRPr="00E82247" w:rsidRDefault="00D03D56" w:rsidP="00C52F68">
      <w:pPr>
        <w:numPr>
          <w:ilvl w:val="0"/>
          <w:numId w:val="24"/>
        </w:numPr>
        <w:spacing w:before="120" w:line="276" w:lineRule="auto"/>
        <w:ind w:left="567" w:hanging="283"/>
        <w:jc w:val="both"/>
        <w:rPr>
          <w:b/>
          <w:bCs/>
          <w:sz w:val="20"/>
          <w:lang w:val="es-ES_tradnl"/>
        </w:rPr>
      </w:pPr>
      <w:r w:rsidRPr="00E82247">
        <w:rPr>
          <w:b/>
          <w:bCs/>
          <w:sz w:val="20"/>
          <w:lang w:val="es-ES_tradnl"/>
        </w:rPr>
        <w:t>Canal Turístico Digital (B2C)</w:t>
      </w:r>
    </w:p>
    <w:p w14:paraId="7B5C0328" w14:textId="77777777" w:rsidR="00D03D56" w:rsidRPr="00E82247" w:rsidRDefault="00D03D56" w:rsidP="00C52F68">
      <w:pPr>
        <w:numPr>
          <w:ilvl w:val="0"/>
          <w:numId w:val="24"/>
        </w:numPr>
        <w:spacing w:before="120" w:line="276" w:lineRule="auto"/>
        <w:ind w:left="567" w:hanging="283"/>
        <w:jc w:val="both"/>
        <w:rPr>
          <w:b/>
          <w:bCs/>
          <w:sz w:val="20"/>
          <w:lang w:val="es-ES_tradnl"/>
        </w:rPr>
      </w:pPr>
      <w:r w:rsidRPr="00E82247">
        <w:rPr>
          <w:b/>
          <w:bCs/>
          <w:sz w:val="20"/>
          <w:lang w:val="es-ES_tradnl"/>
        </w:rPr>
        <w:t>Cuadro de Mando Integral Predictivo - Gemelo Digital del Destino Turístico Islas Canarias</w:t>
      </w:r>
    </w:p>
    <w:p w14:paraId="13F2118A" w14:textId="77777777" w:rsidR="00D03D56" w:rsidRPr="00E82247" w:rsidRDefault="00D03D56" w:rsidP="00C52F68">
      <w:pPr>
        <w:numPr>
          <w:ilvl w:val="0"/>
          <w:numId w:val="24"/>
        </w:numPr>
        <w:spacing w:before="120" w:line="276" w:lineRule="auto"/>
        <w:ind w:left="567" w:hanging="283"/>
        <w:jc w:val="both"/>
        <w:rPr>
          <w:sz w:val="20"/>
          <w:lang w:val="es-ES_tradnl"/>
        </w:rPr>
      </w:pPr>
      <w:r w:rsidRPr="00E82247">
        <w:rPr>
          <w:b/>
          <w:bCs/>
          <w:sz w:val="20"/>
          <w:lang w:val="es-ES_tradnl"/>
        </w:rPr>
        <w:t>Ecosistema (HUB) de Innovación</w:t>
      </w:r>
    </w:p>
    <w:p w14:paraId="1553E4CD" w14:textId="3C040623" w:rsidR="00D03D56" w:rsidRPr="00C52F68" w:rsidRDefault="00D03D56" w:rsidP="00C52F68">
      <w:pPr>
        <w:spacing w:before="120" w:after="120" w:line="260" w:lineRule="exact"/>
        <w:ind w:left="284"/>
        <w:jc w:val="both"/>
        <w:outlineLvl w:val="9"/>
        <w:rPr>
          <w:sz w:val="20"/>
          <w:lang w:val="es-ES_tradnl"/>
        </w:rPr>
      </w:pPr>
      <w:r w:rsidRPr="00E82247">
        <w:rPr>
          <w:sz w:val="20"/>
          <w:lang w:val="es-ES_tradnl"/>
        </w:rPr>
        <w:t>En el marco de Canarias Destino, la creación de la plataforma ha alimentado, con car</w:t>
      </w:r>
      <w:r w:rsidRPr="00C52F68">
        <w:rPr>
          <w:sz w:val="20"/>
          <w:lang w:val="es-ES_tradnl"/>
        </w:rPr>
        <w:t>á</w:t>
      </w:r>
      <w:r w:rsidRPr="00E82247">
        <w:rPr>
          <w:sz w:val="20"/>
          <w:lang w:val="es-ES_tradnl"/>
        </w:rPr>
        <w:t>cter transversal, la actividad global desarrollada por Promotur Turismo de Canarias S.A. en 2021, que se ha organizado en función de los siguientes programas de actuació</w:t>
      </w:r>
      <w:r w:rsidRPr="00C52F68">
        <w:rPr>
          <w:sz w:val="20"/>
          <w:lang w:val="es-ES_tradnl"/>
        </w:rPr>
        <w:t xml:space="preserve">n: </w:t>
      </w:r>
    </w:p>
    <w:p w14:paraId="4E7D3888" w14:textId="77777777" w:rsidR="00D03D56" w:rsidRPr="00E82247" w:rsidRDefault="00D03D56" w:rsidP="00C52F68">
      <w:pPr>
        <w:keepNext/>
        <w:keepLines/>
        <w:spacing w:before="120" w:line="260" w:lineRule="exact"/>
        <w:jc w:val="both"/>
        <w:rPr>
          <w:sz w:val="20"/>
        </w:rPr>
      </w:pPr>
      <w:r>
        <w:rPr>
          <w:b/>
          <w:bCs/>
          <w:sz w:val="20"/>
        </w:rPr>
        <w:lastRenderedPageBreak/>
        <w:t xml:space="preserve">1.- </w:t>
      </w:r>
      <w:r w:rsidRPr="00E82247">
        <w:rPr>
          <w:b/>
          <w:bCs/>
          <w:sz w:val="20"/>
          <w:lang w:val="es-ES_tradnl"/>
        </w:rPr>
        <w:t xml:space="preserve">Programa de digitalización </w:t>
      </w:r>
    </w:p>
    <w:p w14:paraId="34EE8BC1" w14:textId="77777777" w:rsidR="00D03D56" w:rsidRPr="00C52F68" w:rsidRDefault="00D03D56" w:rsidP="00C52F68">
      <w:pPr>
        <w:keepNext/>
        <w:keepLines/>
        <w:spacing w:before="120" w:after="120" w:line="260" w:lineRule="exact"/>
        <w:ind w:left="284"/>
        <w:jc w:val="both"/>
        <w:outlineLvl w:val="9"/>
        <w:rPr>
          <w:sz w:val="20"/>
          <w:lang w:val="es-ES_tradnl"/>
        </w:rPr>
      </w:pPr>
      <w:r w:rsidRPr="00E82247">
        <w:rPr>
          <w:sz w:val="20"/>
          <w:lang w:val="es-ES_tradnl"/>
        </w:rPr>
        <w:t xml:space="preserve">El Programa de digitalización ha tenido por objeto principal la creación de la mencionada plataforma digital única orientada a la organización y potenciación del ecosistema turístico canario en su globalidad a través del concepto “gemelo digital” y la adopción de los nuevos modelos de negocio de las plataformas digitales junto al despliegue de todo tipo de capacidades tecnológicas. </w:t>
      </w:r>
    </w:p>
    <w:p w14:paraId="3E74367E" w14:textId="77777777" w:rsidR="00D03D56" w:rsidRPr="00C52F68" w:rsidRDefault="00D03D56" w:rsidP="00C52F68">
      <w:pPr>
        <w:spacing w:before="120" w:after="120" w:line="260" w:lineRule="exact"/>
        <w:ind w:left="284"/>
        <w:jc w:val="both"/>
        <w:outlineLvl w:val="9"/>
        <w:rPr>
          <w:sz w:val="20"/>
          <w:lang w:val="es-ES_tradnl"/>
        </w:rPr>
      </w:pPr>
      <w:r w:rsidRPr="00E82247">
        <w:rPr>
          <w:sz w:val="20"/>
          <w:lang w:val="es-ES_tradnl"/>
        </w:rPr>
        <w:t xml:space="preserve">Los proyectos más relevantes desarrollados en el marco de este programa han sido: </w:t>
      </w:r>
    </w:p>
    <w:p w14:paraId="0B5B4F47" w14:textId="77777777" w:rsidR="00D03D56" w:rsidRPr="00E82247" w:rsidRDefault="00D03D56" w:rsidP="00C52F68">
      <w:pPr>
        <w:numPr>
          <w:ilvl w:val="0"/>
          <w:numId w:val="26"/>
        </w:numPr>
        <w:spacing w:before="120" w:line="276" w:lineRule="auto"/>
        <w:ind w:left="567" w:hanging="283"/>
        <w:jc w:val="both"/>
        <w:rPr>
          <w:sz w:val="20"/>
          <w:lang w:val="es-ES_tradnl"/>
        </w:rPr>
      </w:pPr>
      <w:r w:rsidRPr="00E82247">
        <w:rPr>
          <w:sz w:val="20"/>
          <w:lang w:val="es-ES_tradnl"/>
        </w:rPr>
        <w:t>Preparación, diseño y desarrollo de la Plataforma de Destino Inteligente</w:t>
      </w:r>
    </w:p>
    <w:p w14:paraId="48FCFF8E" w14:textId="77777777" w:rsidR="00D03D56" w:rsidRDefault="00D03D56" w:rsidP="00C52F68">
      <w:pPr>
        <w:numPr>
          <w:ilvl w:val="0"/>
          <w:numId w:val="26"/>
        </w:numPr>
        <w:spacing w:before="120" w:line="276" w:lineRule="auto"/>
        <w:ind w:left="567" w:hanging="283"/>
        <w:jc w:val="both"/>
        <w:rPr>
          <w:sz w:val="20"/>
          <w:lang w:val="es-ES_tradnl"/>
        </w:rPr>
      </w:pPr>
      <w:r w:rsidRPr="00E82247">
        <w:rPr>
          <w:sz w:val="20"/>
          <w:lang w:val="es-ES_tradnl"/>
        </w:rPr>
        <w:t xml:space="preserve">Diseño, desarrollo e implementación Hub de Innovación </w:t>
      </w:r>
    </w:p>
    <w:p w14:paraId="5E3C67AF" w14:textId="77777777" w:rsidR="00D03D56" w:rsidRPr="001B7364" w:rsidRDefault="00D03D56" w:rsidP="00D03D56">
      <w:pPr>
        <w:spacing w:before="120" w:line="276" w:lineRule="auto"/>
        <w:jc w:val="both"/>
        <w:rPr>
          <w:b/>
          <w:bCs/>
          <w:sz w:val="20"/>
          <w:lang w:val="es-ES_tradnl"/>
        </w:rPr>
      </w:pPr>
      <w:r w:rsidRPr="001B7364">
        <w:rPr>
          <w:b/>
          <w:bCs/>
          <w:sz w:val="20"/>
          <w:lang w:val="es-ES_tradnl"/>
        </w:rPr>
        <w:t>2.- Programa de mejora de la conectividad</w:t>
      </w:r>
    </w:p>
    <w:p w14:paraId="4E6289F4" w14:textId="77777777" w:rsidR="00D03D56" w:rsidRPr="00C52F68" w:rsidRDefault="00D03D56" w:rsidP="00C52F68">
      <w:pPr>
        <w:spacing w:before="120" w:after="120" w:line="260" w:lineRule="exact"/>
        <w:ind w:left="284"/>
        <w:jc w:val="both"/>
        <w:outlineLvl w:val="9"/>
        <w:rPr>
          <w:sz w:val="20"/>
          <w:lang w:val="es-ES_tradnl"/>
        </w:rPr>
      </w:pPr>
      <w:r w:rsidRPr="00E82247">
        <w:rPr>
          <w:sz w:val="20"/>
          <w:lang w:val="es-ES_tradnl"/>
        </w:rPr>
        <w:t xml:space="preserve">El Programa de mejora de la conectividad ha tenido por objeto impulsar la recuperación de la conectividad aérea de las Islas con sus distintos mercados emisores y la apertura de nuevas rutas a nuevos mercados a través de una línea de incentivos específica. Asimismo, durante 2021 se ha elaborado un Plan Estratégico para la Conectividad, documento específico que permitirá profundizar en la actividad a desarrollar en el futuro en el ámbito de la conexión del Archipiélago con sus mercados emisores. </w:t>
      </w:r>
    </w:p>
    <w:p w14:paraId="35532644" w14:textId="77777777" w:rsidR="00D03D56" w:rsidRPr="00C52F68" w:rsidRDefault="00D03D56" w:rsidP="00C52F68">
      <w:pPr>
        <w:spacing w:before="120" w:after="120" w:line="260" w:lineRule="exact"/>
        <w:ind w:left="284"/>
        <w:jc w:val="both"/>
        <w:outlineLvl w:val="9"/>
        <w:rPr>
          <w:sz w:val="20"/>
          <w:lang w:val="es-ES_tradnl"/>
        </w:rPr>
      </w:pPr>
      <w:r w:rsidRPr="00E82247">
        <w:rPr>
          <w:sz w:val="20"/>
          <w:lang w:val="es-ES_tradnl"/>
        </w:rPr>
        <w:t>Los proyectos más relevantes desarrollados en el marco de este programa han sido:</w:t>
      </w:r>
    </w:p>
    <w:p w14:paraId="51EFC343" w14:textId="77777777" w:rsidR="00D03D56" w:rsidRPr="00E82247" w:rsidRDefault="00D03D56" w:rsidP="00C52F68">
      <w:pPr>
        <w:numPr>
          <w:ilvl w:val="0"/>
          <w:numId w:val="28"/>
        </w:numPr>
        <w:spacing w:before="120" w:line="276" w:lineRule="auto"/>
        <w:ind w:left="567" w:hanging="283"/>
        <w:jc w:val="both"/>
        <w:rPr>
          <w:sz w:val="20"/>
          <w:lang w:val="es-ES_tradnl"/>
        </w:rPr>
      </w:pPr>
      <w:r w:rsidRPr="00E82247">
        <w:rPr>
          <w:sz w:val="20"/>
          <w:lang w:val="es-ES_tradnl"/>
        </w:rPr>
        <w:t>Gestión nuevas convocatorias del Fondo de Desarrollo de Vuelos y fomento de la conectividad</w:t>
      </w:r>
    </w:p>
    <w:p w14:paraId="7622C2E5" w14:textId="77777777" w:rsidR="00D03D56" w:rsidRPr="00E82247" w:rsidRDefault="00D03D56" w:rsidP="00C52F68">
      <w:pPr>
        <w:numPr>
          <w:ilvl w:val="0"/>
          <w:numId w:val="28"/>
        </w:numPr>
        <w:spacing w:before="120" w:line="276" w:lineRule="auto"/>
        <w:ind w:left="567" w:hanging="283"/>
        <w:jc w:val="both"/>
        <w:rPr>
          <w:sz w:val="20"/>
          <w:lang w:val="es-ES_tradnl"/>
        </w:rPr>
      </w:pPr>
      <w:r w:rsidRPr="00E82247">
        <w:rPr>
          <w:sz w:val="20"/>
          <w:lang w:val="es-ES_tradnl"/>
        </w:rPr>
        <w:t>Seguimiento de la demanda (búsqueda y reserva de vuelos)</w:t>
      </w:r>
    </w:p>
    <w:p w14:paraId="26F114CE" w14:textId="77777777" w:rsidR="00D03D56" w:rsidRPr="001B7364" w:rsidRDefault="00D03D56" w:rsidP="00D03D56">
      <w:pPr>
        <w:spacing w:before="120" w:line="276" w:lineRule="auto"/>
        <w:jc w:val="both"/>
        <w:rPr>
          <w:b/>
          <w:bCs/>
          <w:sz w:val="20"/>
          <w:lang w:val="es-ES_tradnl"/>
        </w:rPr>
      </w:pPr>
      <w:r>
        <w:rPr>
          <w:b/>
          <w:bCs/>
          <w:sz w:val="20"/>
          <w:lang w:val="es-ES_tradnl"/>
        </w:rPr>
        <w:t>3.- Programa de inteligencia turística y planificación</w:t>
      </w:r>
    </w:p>
    <w:p w14:paraId="09B7F842" w14:textId="77777777" w:rsidR="00D03D56" w:rsidRPr="00C52F68" w:rsidRDefault="00D03D56" w:rsidP="00C52F68">
      <w:pPr>
        <w:spacing w:before="120" w:after="120" w:line="260" w:lineRule="exact"/>
        <w:ind w:left="284"/>
        <w:jc w:val="both"/>
        <w:outlineLvl w:val="9"/>
        <w:rPr>
          <w:sz w:val="20"/>
          <w:lang w:val="es-ES_tradnl"/>
        </w:rPr>
      </w:pPr>
      <w:r w:rsidRPr="00E82247">
        <w:rPr>
          <w:sz w:val="20"/>
          <w:lang w:val="es-ES_tradnl"/>
        </w:rPr>
        <w:t>El Programa de inteligencia turística y planificación ha contemplado el desarrollo de actuaciones dirigidas a incrementar, gestionar y divulgar el conocimiento actualizado del cliente y de la actividad turística en general como base para la correcta toma de decisiones.</w:t>
      </w:r>
    </w:p>
    <w:p w14:paraId="71BBB226" w14:textId="77777777" w:rsidR="00D03D56" w:rsidRPr="00C52F68" w:rsidRDefault="00D03D56" w:rsidP="00C52F68">
      <w:pPr>
        <w:spacing w:before="120" w:after="120" w:line="260" w:lineRule="exact"/>
        <w:ind w:left="284"/>
        <w:jc w:val="both"/>
        <w:outlineLvl w:val="9"/>
        <w:rPr>
          <w:sz w:val="20"/>
          <w:lang w:val="es-ES_tradnl"/>
        </w:rPr>
      </w:pPr>
      <w:r w:rsidRPr="00E82247">
        <w:rPr>
          <w:sz w:val="20"/>
          <w:lang w:val="es-ES_tradnl"/>
        </w:rPr>
        <w:t>Los proyectos más relevantes desarrollados en el marco de este programa han sido:</w:t>
      </w:r>
    </w:p>
    <w:p w14:paraId="48AE4228" w14:textId="77777777" w:rsidR="00D03D56" w:rsidRPr="00E82247" w:rsidRDefault="00D03D56" w:rsidP="00C52F68">
      <w:pPr>
        <w:numPr>
          <w:ilvl w:val="0"/>
          <w:numId w:val="28"/>
        </w:numPr>
        <w:spacing w:before="120" w:line="276" w:lineRule="auto"/>
        <w:ind w:left="567" w:hanging="283"/>
        <w:jc w:val="both"/>
        <w:rPr>
          <w:sz w:val="20"/>
          <w:lang w:val="es-ES_tradnl"/>
        </w:rPr>
      </w:pPr>
      <w:r w:rsidRPr="00E82247">
        <w:rPr>
          <w:sz w:val="20"/>
          <w:lang w:val="es-ES_tradnl"/>
        </w:rPr>
        <w:t>Proyecto de investigación: Análisis del comportamiento y percepciones del turista</w:t>
      </w:r>
    </w:p>
    <w:p w14:paraId="602CD72A" w14:textId="77777777" w:rsidR="00D03D56" w:rsidRPr="00E82247" w:rsidRDefault="00D03D56" w:rsidP="00C52F68">
      <w:pPr>
        <w:numPr>
          <w:ilvl w:val="0"/>
          <w:numId w:val="28"/>
        </w:numPr>
        <w:spacing w:before="120" w:line="276" w:lineRule="auto"/>
        <w:ind w:left="567" w:hanging="283"/>
        <w:jc w:val="both"/>
        <w:rPr>
          <w:sz w:val="20"/>
          <w:lang w:val="es-ES_tradnl"/>
        </w:rPr>
      </w:pPr>
      <w:r w:rsidRPr="00E82247">
        <w:rPr>
          <w:sz w:val="20"/>
          <w:lang w:val="es-ES_tradnl"/>
        </w:rPr>
        <w:t xml:space="preserve">Proyecto de investigación: Análisis del acento canario en la comunicación publicitaria </w:t>
      </w:r>
    </w:p>
    <w:p w14:paraId="33474FE8" w14:textId="77777777" w:rsidR="00D03D56" w:rsidRPr="00E82247" w:rsidRDefault="00D03D56" w:rsidP="00C52F68">
      <w:pPr>
        <w:numPr>
          <w:ilvl w:val="0"/>
          <w:numId w:val="28"/>
        </w:numPr>
        <w:spacing w:before="120" w:line="276" w:lineRule="auto"/>
        <w:ind w:left="567" w:hanging="283"/>
        <w:jc w:val="both"/>
        <w:rPr>
          <w:sz w:val="20"/>
          <w:lang w:val="es-ES_tradnl"/>
        </w:rPr>
      </w:pPr>
      <w:r w:rsidRPr="00E82247">
        <w:rPr>
          <w:sz w:val="20"/>
          <w:lang w:val="es-ES_tradnl"/>
        </w:rPr>
        <w:t>Seguimiento de la demanda (reservas en mercados de origen)</w:t>
      </w:r>
    </w:p>
    <w:p w14:paraId="51D15577" w14:textId="77777777" w:rsidR="00D03D56" w:rsidRDefault="00D03D56" w:rsidP="00C52F68">
      <w:pPr>
        <w:numPr>
          <w:ilvl w:val="0"/>
          <w:numId w:val="28"/>
        </w:numPr>
        <w:spacing w:before="120" w:line="276" w:lineRule="auto"/>
        <w:ind w:left="567" w:hanging="283"/>
        <w:jc w:val="both"/>
        <w:rPr>
          <w:sz w:val="20"/>
          <w:lang w:val="es-ES_tradnl"/>
        </w:rPr>
      </w:pPr>
      <w:r w:rsidRPr="00E82247">
        <w:rPr>
          <w:sz w:val="20"/>
          <w:lang w:val="es-ES_tradnl"/>
        </w:rPr>
        <w:t>Seguimiento de impacto de campañas</w:t>
      </w:r>
    </w:p>
    <w:p w14:paraId="39261EDF" w14:textId="77777777" w:rsidR="00D03D56" w:rsidRPr="001B7364" w:rsidRDefault="00D03D56" w:rsidP="00D03D56">
      <w:pPr>
        <w:spacing w:before="120" w:line="276" w:lineRule="auto"/>
        <w:jc w:val="both"/>
        <w:rPr>
          <w:b/>
          <w:bCs/>
          <w:sz w:val="20"/>
          <w:lang w:val="es-ES_tradnl"/>
        </w:rPr>
      </w:pPr>
      <w:r>
        <w:rPr>
          <w:b/>
          <w:bCs/>
          <w:sz w:val="20"/>
          <w:lang w:val="es-ES_tradnl"/>
        </w:rPr>
        <w:t>4.- Programa de descarbonización</w:t>
      </w:r>
    </w:p>
    <w:p w14:paraId="76FBAD3A" w14:textId="5D268E74" w:rsidR="00D03D56" w:rsidRDefault="00D03D56" w:rsidP="00C52F68">
      <w:pPr>
        <w:spacing w:before="120" w:after="120" w:line="260" w:lineRule="exact"/>
        <w:ind w:left="284"/>
        <w:jc w:val="both"/>
        <w:outlineLvl w:val="9"/>
        <w:rPr>
          <w:sz w:val="20"/>
          <w:lang w:val="es-ES_tradnl"/>
        </w:rPr>
      </w:pPr>
      <w:r w:rsidRPr="00E82247">
        <w:rPr>
          <w:sz w:val="20"/>
          <w:lang w:val="es-ES_tradnl"/>
        </w:rPr>
        <w:t>El Programa de descarbonización ha tenido por objeto contribuir al compromiso de  reducción de las emisiones de carbono de las actividades vinculadas al turismo a través de la medición de la huella de carbono y del grado de circularidad del producto turístico canario, siendo sus principales actuaciones en 2021 la realización de proyectos para la medición de la huella de carbono, de sensibilización y promoción de la sostenibilidad en origen y en destino y compensación de la huella de carbono en destino.</w:t>
      </w:r>
    </w:p>
    <w:p w14:paraId="3031937D" w14:textId="77777777" w:rsidR="00D03D56" w:rsidRPr="001B7364" w:rsidRDefault="00D03D56" w:rsidP="00685956">
      <w:pPr>
        <w:keepNext/>
        <w:keepLines/>
        <w:spacing w:before="120" w:line="276" w:lineRule="auto"/>
        <w:jc w:val="both"/>
        <w:rPr>
          <w:b/>
          <w:bCs/>
          <w:sz w:val="20"/>
          <w:lang w:val="es-ES_tradnl"/>
        </w:rPr>
      </w:pPr>
      <w:r>
        <w:rPr>
          <w:b/>
          <w:bCs/>
          <w:sz w:val="20"/>
          <w:lang w:val="es-ES_tradnl"/>
        </w:rPr>
        <w:t>5.- Programa de mejora de producto</w:t>
      </w:r>
    </w:p>
    <w:p w14:paraId="78F40157" w14:textId="77777777" w:rsidR="00D03D56" w:rsidRPr="00C52F68" w:rsidRDefault="00D03D56" w:rsidP="00C52F68">
      <w:pPr>
        <w:spacing w:before="120" w:after="120" w:line="260" w:lineRule="exact"/>
        <w:ind w:left="284"/>
        <w:jc w:val="both"/>
        <w:outlineLvl w:val="9"/>
        <w:rPr>
          <w:sz w:val="20"/>
          <w:lang w:val="es-ES_tradnl"/>
        </w:rPr>
      </w:pPr>
      <w:r w:rsidRPr="00E82247">
        <w:rPr>
          <w:sz w:val="20"/>
          <w:lang w:val="es-ES_tradnl"/>
        </w:rPr>
        <w:t>El Programa de mejora de producto ha estado orientado a la potenciación de la innovación en la oferta turística canaria para impulsar su renovación, diversidad y atractivo y, por tanto, su competitividad; a través de proyectos como la realización del proyecto HUB de Innovación, Hub de innovación Canarias Destino.</w:t>
      </w:r>
    </w:p>
    <w:p w14:paraId="43E46C21" w14:textId="77777777" w:rsidR="00D03D56" w:rsidRPr="00C52F68" w:rsidRDefault="00D03D56" w:rsidP="00C52F68">
      <w:pPr>
        <w:spacing w:before="120" w:after="120" w:line="260" w:lineRule="exact"/>
        <w:ind w:left="284"/>
        <w:jc w:val="both"/>
        <w:outlineLvl w:val="9"/>
        <w:rPr>
          <w:sz w:val="20"/>
          <w:lang w:val="es-ES_tradnl"/>
        </w:rPr>
      </w:pPr>
      <w:r w:rsidRPr="00E82247">
        <w:rPr>
          <w:sz w:val="20"/>
          <w:lang w:val="es-ES_tradnl"/>
        </w:rPr>
        <w:lastRenderedPageBreak/>
        <w:t xml:space="preserve">Otro proyecto destacado del programa de mejora de producto ha sido </w:t>
      </w:r>
      <w:r w:rsidRPr="00C52F68">
        <w:rPr>
          <w:sz w:val="20"/>
          <w:lang w:val="es-ES_tradnl"/>
        </w:rPr>
        <w:t>Canarias Fortaleza</w:t>
      </w:r>
      <w:r w:rsidRPr="00E82247">
        <w:rPr>
          <w:sz w:val="20"/>
          <w:lang w:val="es-ES_tradnl"/>
        </w:rPr>
        <w:t xml:space="preserve"> cuya continuidad ha posibilitado el fortalecimiento, a pesar de las condiciones derivadas de la crisis sanitaria y turística, de la imagen de los esfuerzos y el compromiso de Canarias como destino turístico con la seguridad sanitaria y transmitiendo una imagen responsable, asociada a m</w:t>
      </w:r>
      <w:r w:rsidRPr="00C52F68">
        <w:rPr>
          <w:sz w:val="20"/>
          <w:lang w:val="es-ES_tradnl"/>
        </w:rPr>
        <w:t xml:space="preserve">últiples atributos positivos como destino turístico seguro para Europa. </w:t>
      </w:r>
    </w:p>
    <w:p w14:paraId="2D14FBD7" w14:textId="77777777" w:rsidR="00D03D56" w:rsidRPr="00C52F68" w:rsidRDefault="00D03D56" w:rsidP="00C52F68">
      <w:pPr>
        <w:spacing w:before="120" w:after="120" w:line="260" w:lineRule="exact"/>
        <w:ind w:left="284"/>
        <w:jc w:val="both"/>
        <w:outlineLvl w:val="9"/>
        <w:rPr>
          <w:sz w:val="20"/>
          <w:lang w:val="es-ES_tradnl"/>
        </w:rPr>
      </w:pPr>
      <w:r w:rsidRPr="00E82247">
        <w:rPr>
          <w:sz w:val="20"/>
          <w:lang w:val="es-ES_tradnl"/>
        </w:rPr>
        <w:t>Otros proyectos relevantes desarrollados en el marco de este programa han sido:</w:t>
      </w:r>
    </w:p>
    <w:p w14:paraId="190E3662" w14:textId="77777777" w:rsidR="00D03D56" w:rsidRPr="00E82247" w:rsidRDefault="00D03D56" w:rsidP="00C52F68">
      <w:pPr>
        <w:numPr>
          <w:ilvl w:val="0"/>
          <w:numId w:val="30"/>
        </w:numPr>
        <w:spacing w:before="120" w:line="276" w:lineRule="auto"/>
        <w:ind w:left="567"/>
        <w:jc w:val="both"/>
        <w:rPr>
          <w:sz w:val="20"/>
          <w:lang w:val="es-ES_tradnl"/>
        </w:rPr>
      </w:pPr>
      <w:r w:rsidRPr="00E82247">
        <w:rPr>
          <w:sz w:val="20"/>
          <w:lang w:val="es-ES_tradnl"/>
        </w:rPr>
        <w:t xml:space="preserve">Plan de eventos en destino </w:t>
      </w:r>
    </w:p>
    <w:p w14:paraId="514907D2" w14:textId="77777777" w:rsidR="00D03D56" w:rsidRPr="00E82247" w:rsidRDefault="00D03D56" w:rsidP="00C52F68">
      <w:pPr>
        <w:numPr>
          <w:ilvl w:val="0"/>
          <w:numId w:val="30"/>
        </w:numPr>
        <w:spacing w:before="120" w:line="276" w:lineRule="auto"/>
        <w:ind w:left="567"/>
        <w:jc w:val="both"/>
        <w:rPr>
          <w:sz w:val="20"/>
          <w:lang w:val="es-ES_tradnl"/>
        </w:rPr>
      </w:pPr>
      <w:r w:rsidRPr="00E82247">
        <w:rPr>
          <w:sz w:val="20"/>
          <w:lang w:val="es-ES_tradnl"/>
        </w:rPr>
        <w:t>Plan de formación para los profesionales del sector</w:t>
      </w:r>
    </w:p>
    <w:p w14:paraId="049F63BE" w14:textId="77777777" w:rsidR="00D03D56" w:rsidRPr="001B7364" w:rsidRDefault="00D03D56" w:rsidP="00D03D56">
      <w:pPr>
        <w:spacing w:before="120" w:line="276" w:lineRule="auto"/>
        <w:jc w:val="both"/>
        <w:rPr>
          <w:b/>
          <w:bCs/>
          <w:sz w:val="20"/>
          <w:lang w:val="es-ES_tradnl"/>
        </w:rPr>
      </w:pPr>
      <w:r>
        <w:rPr>
          <w:b/>
          <w:bCs/>
          <w:sz w:val="20"/>
          <w:lang w:val="es-ES_tradnl"/>
        </w:rPr>
        <w:t>6.- Programa de cooperación</w:t>
      </w:r>
    </w:p>
    <w:p w14:paraId="71C21350" w14:textId="77777777" w:rsidR="00D03D56" w:rsidRPr="00C52F68" w:rsidRDefault="00D03D56" w:rsidP="00C52F68">
      <w:pPr>
        <w:spacing w:before="120" w:after="120" w:line="260" w:lineRule="exact"/>
        <w:ind w:left="284"/>
        <w:jc w:val="both"/>
        <w:outlineLvl w:val="9"/>
        <w:rPr>
          <w:sz w:val="20"/>
          <w:lang w:val="es-ES_tradnl"/>
        </w:rPr>
      </w:pPr>
      <w:r w:rsidRPr="00E82247">
        <w:rPr>
          <w:sz w:val="20"/>
          <w:lang w:val="es-ES_tradnl"/>
        </w:rPr>
        <w:t xml:space="preserve">El Programa de cooperación ha estado dirigido a la gestión de proyectos de cooperación público-pública y de proyectos de cooperación público-privada con el sector turístico en destino, turoperadores, líneas aéreas y otros operadores turísticos y empresas canarias de otros sectores distintos del turístico. </w:t>
      </w:r>
    </w:p>
    <w:p w14:paraId="3D6BD31B" w14:textId="77777777" w:rsidR="00D03D56" w:rsidRPr="00E82247" w:rsidRDefault="00D03D56" w:rsidP="00C52F68">
      <w:pPr>
        <w:numPr>
          <w:ilvl w:val="0"/>
          <w:numId w:val="32"/>
        </w:numPr>
        <w:spacing w:before="120" w:line="276" w:lineRule="auto"/>
        <w:ind w:left="567" w:hanging="283"/>
        <w:jc w:val="both"/>
        <w:rPr>
          <w:sz w:val="20"/>
          <w:lang w:val="es-ES_tradnl"/>
        </w:rPr>
      </w:pPr>
      <w:r w:rsidRPr="00E82247">
        <w:rPr>
          <w:sz w:val="20"/>
          <w:lang w:val="es-ES_tradnl"/>
        </w:rPr>
        <w:t>Convocatoria de patrocinio a entidades privadas para eventos presenciales en destino</w:t>
      </w:r>
    </w:p>
    <w:p w14:paraId="6C8E9423" w14:textId="77777777" w:rsidR="00D03D56" w:rsidRPr="00E82247" w:rsidRDefault="00D03D56" w:rsidP="00C52F68">
      <w:pPr>
        <w:numPr>
          <w:ilvl w:val="0"/>
          <w:numId w:val="32"/>
        </w:numPr>
        <w:spacing w:before="120" w:line="276" w:lineRule="auto"/>
        <w:ind w:left="567" w:hanging="283"/>
        <w:jc w:val="both"/>
        <w:rPr>
          <w:sz w:val="20"/>
          <w:lang w:val="es-ES_tradnl"/>
        </w:rPr>
      </w:pPr>
      <w:r w:rsidRPr="00E82247">
        <w:rPr>
          <w:sz w:val="20"/>
          <w:lang w:val="es-ES_tradnl"/>
        </w:rPr>
        <w:t>Integración de lagomera.travel en holaislascanarias.com</w:t>
      </w:r>
    </w:p>
    <w:p w14:paraId="10F2E66E" w14:textId="77777777" w:rsidR="00D03D56" w:rsidRPr="001B7364" w:rsidRDefault="00D03D56" w:rsidP="00D03D56">
      <w:pPr>
        <w:spacing w:before="120" w:line="276" w:lineRule="auto"/>
        <w:jc w:val="both"/>
        <w:rPr>
          <w:b/>
          <w:bCs/>
          <w:sz w:val="20"/>
          <w:lang w:val="es-ES_tradnl"/>
        </w:rPr>
      </w:pPr>
      <w:r>
        <w:rPr>
          <w:b/>
          <w:bCs/>
          <w:sz w:val="20"/>
          <w:lang w:val="es-ES_tradnl"/>
        </w:rPr>
        <w:t>7.- Programa de sensibilización</w:t>
      </w:r>
    </w:p>
    <w:p w14:paraId="517EBEDC" w14:textId="77777777" w:rsidR="00D03D56" w:rsidRPr="00C52F68" w:rsidRDefault="00D03D56" w:rsidP="00C52F68">
      <w:pPr>
        <w:spacing w:before="120" w:after="120" w:line="260" w:lineRule="exact"/>
        <w:ind w:left="284"/>
        <w:jc w:val="both"/>
        <w:outlineLvl w:val="9"/>
        <w:rPr>
          <w:sz w:val="20"/>
          <w:lang w:val="es-ES_tradnl"/>
        </w:rPr>
      </w:pPr>
      <w:r w:rsidRPr="00E82247">
        <w:rPr>
          <w:sz w:val="20"/>
          <w:lang w:val="es-ES_tradnl"/>
        </w:rPr>
        <w:t xml:space="preserve">El Programa de sensibilización ha tenido por objetivo la puesta en valor de la actividad turística en el conjunto de la sociedad canaria y a promover el compromiso y la participación de profesionales del sector, residentes y visitantes en la consecución de los objetivos de </w:t>
      </w:r>
      <w:r w:rsidRPr="00C52F68">
        <w:rPr>
          <w:sz w:val="20"/>
          <w:lang w:val="es-ES_tradnl"/>
        </w:rPr>
        <w:t>Canarias Destino</w:t>
      </w:r>
      <w:r w:rsidRPr="00E82247">
        <w:rPr>
          <w:sz w:val="20"/>
          <w:lang w:val="es-ES_tradnl"/>
        </w:rPr>
        <w:t xml:space="preserve"> a través de proyectos de comunicación y sensibilización dirigidos al sector, al visitante y al residente. </w:t>
      </w:r>
    </w:p>
    <w:p w14:paraId="19FCD5BD" w14:textId="77777777" w:rsidR="00D03D56" w:rsidRPr="001B7364" w:rsidRDefault="00D03D56" w:rsidP="00D03D56">
      <w:pPr>
        <w:spacing w:before="120" w:line="276" w:lineRule="auto"/>
        <w:jc w:val="both"/>
        <w:rPr>
          <w:b/>
          <w:bCs/>
          <w:sz w:val="20"/>
          <w:lang w:val="es-ES_tradnl"/>
        </w:rPr>
      </w:pPr>
      <w:r>
        <w:rPr>
          <w:b/>
          <w:bCs/>
          <w:sz w:val="20"/>
          <w:lang w:val="es-ES_tradnl"/>
        </w:rPr>
        <w:t>8.- Programa de promoción</w:t>
      </w:r>
    </w:p>
    <w:p w14:paraId="13A062A5" w14:textId="77777777" w:rsidR="00D03D56" w:rsidRPr="00C52F68" w:rsidRDefault="00D03D56" w:rsidP="00C52F68">
      <w:pPr>
        <w:spacing w:before="120" w:after="120" w:line="260" w:lineRule="exact"/>
        <w:ind w:left="284"/>
        <w:jc w:val="both"/>
        <w:outlineLvl w:val="9"/>
        <w:rPr>
          <w:sz w:val="20"/>
          <w:lang w:val="es-ES_tradnl"/>
        </w:rPr>
      </w:pPr>
      <w:r w:rsidRPr="00E82247">
        <w:rPr>
          <w:sz w:val="20"/>
          <w:lang w:val="es-ES_tradnl"/>
        </w:rPr>
        <w:t xml:space="preserve">El Programa de promoción se ha desarrollado a través de la gestión de los siguientes planes, principalmente en origen: </w:t>
      </w:r>
    </w:p>
    <w:p w14:paraId="0AF50326"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Plan de promoción turismo de sol y playa</w:t>
      </w:r>
    </w:p>
    <w:p w14:paraId="74868CE9"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 xml:space="preserve">Plan de promoción turismo de naturaleza </w:t>
      </w:r>
    </w:p>
    <w:p w14:paraId="68D8CB1E"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Plan de promoción turismo cultural</w:t>
      </w:r>
    </w:p>
    <w:p w14:paraId="5FF51D21"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Plan de promoción turismo LGTB</w:t>
      </w:r>
    </w:p>
    <w:p w14:paraId="596B7605"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Plan de promoción turismo interno</w:t>
      </w:r>
    </w:p>
    <w:p w14:paraId="0A9B8166"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 xml:space="preserve">Plan de promoción turismo de larga estancia (remote </w:t>
      </w:r>
      <w:proofErr w:type="spellStart"/>
      <w:r w:rsidRPr="00E82247">
        <w:rPr>
          <w:sz w:val="20"/>
          <w:lang w:val="es-ES_tradnl"/>
        </w:rPr>
        <w:t>workers</w:t>
      </w:r>
      <w:proofErr w:type="spellEnd"/>
      <w:r w:rsidRPr="00E82247">
        <w:rPr>
          <w:sz w:val="20"/>
          <w:lang w:val="es-ES_tradnl"/>
        </w:rPr>
        <w:t xml:space="preserve"> y entrenamiento deportivo)</w:t>
      </w:r>
    </w:p>
    <w:p w14:paraId="0ABFE8E5"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Plan de comunicación en destino</w:t>
      </w:r>
    </w:p>
    <w:p w14:paraId="7F564D90"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 xml:space="preserve">Plan de comunicación </w:t>
      </w:r>
      <w:proofErr w:type="spellStart"/>
      <w:r w:rsidRPr="00E82247">
        <w:rPr>
          <w:sz w:val="20"/>
          <w:lang w:val="es-ES_tradnl"/>
        </w:rPr>
        <w:t>pull</w:t>
      </w:r>
      <w:proofErr w:type="spellEnd"/>
      <w:r w:rsidRPr="00E82247">
        <w:rPr>
          <w:sz w:val="20"/>
          <w:lang w:val="es-ES_tradnl"/>
        </w:rPr>
        <w:t xml:space="preserve"> (medios propios)</w:t>
      </w:r>
    </w:p>
    <w:p w14:paraId="2CEA8C3E"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Plan de comunicación b2b</w:t>
      </w:r>
    </w:p>
    <w:p w14:paraId="3D12F4F9" w14:textId="77777777" w:rsidR="00D03D56" w:rsidRPr="00C52F68" w:rsidRDefault="00D03D56" w:rsidP="00C52F68">
      <w:pPr>
        <w:keepNext/>
        <w:keepLines/>
        <w:spacing w:before="120" w:after="120" w:line="260" w:lineRule="exact"/>
        <w:ind w:left="284"/>
        <w:jc w:val="both"/>
        <w:outlineLvl w:val="9"/>
        <w:rPr>
          <w:sz w:val="20"/>
          <w:lang w:val="es-ES_tradnl"/>
        </w:rPr>
      </w:pPr>
      <w:r w:rsidRPr="00E82247">
        <w:rPr>
          <w:sz w:val="20"/>
          <w:lang w:val="es-ES_tradnl"/>
        </w:rPr>
        <w:lastRenderedPageBreak/>
        <w:t>Los proyectos más relevantes desarrollados en el marco de este programa han sido:</w:t>
      </w:r>
    </w:p>
    <w:p w14:paraId="1B4CD51E" w14:textId="77777777" w:rsidR="00D03D56" w:rsidRPr="00E82247" w:rsidRDefault="00D03D56" w:rsidP="00C52F68">
      <w:pPr>
        <w:keepNext/>
        <w:keepLines/>
        <w:numPr>
          <w:ilvl w:val="0"/>
          <w:numId w:val="34"/>
        </w:numPr>
        <w:spacing w:before="120" w:line="276" w:lineRule="auto"/>
        <w:ind w:left="567"/>
        <w:jc w:val="both"/>
        <w:rPr>
          <w:sz w:val="20"/>
          <w:lang w:val="es-ES_tradnl"/>
        </w:rPr>
      </w:pPr>
      <w:r w:rsidRPr="00E82247">
        <w:rPr>
          <w:sz w:val="20"/>
          <w:lang w:val="es-ES_tradnl"/>
        </w:rPr>
        <w:t xml:space="preserve">Realización de campañas promocionales de notoriedad e imagen en medios y soportes, preferentemente digitales, a través de acción data, acción </w:t>
      </w:r>
      <w:proofErr w:type="spellStart"/>
      <w:r w:rsidRPr="00E82247">
        <w:rPr>
          <w:sz w:val="20"/>
          <w:lang w:val="es-ES_tradnl"/>
        </w:rPr>
        <w:t>mobile</w:t>
      </w:r>
      <w:proofErr w:type="spellEnd"/>
      <w:r w:rsidRPr="00E82247">
        <w:rPr>
          <w:sz w:val="20"/>
          <w:lang w:val="es-ES_tradnl"/>
        </w:rPr>
        <w:t xml:space="preserve"> con geolocalización, native </w:t>
      </w:r>
      <w:proofErr w:type="spellStart"/>
      <w:r w:rsidRPr="00E82247">
        <w:rPr>
          <w:sz w:val="20"/>
          <w:lang w:val="es-ES_tradnl"/>
        </w:rPr>
        <w:t>advertising</w:t>
      </w:r>
      <w:proofErr w:type="spellEnd"/>
      <w:r w:rsidRPr="00E82247">
        <w:rPr>
          <w:sz w:val="20"/>
          <w:lang w:val="es-ES_tradnl"/>
        </w:rPr>
        <w:t xml:space="preserve"> y </w:t>
      </w:r>
      <w:proofErr w:type="spellStart"/>
      <w:r w:rsidRPr="00E82247">
        <w:rPr>
          <w:sz w:val="20"/>
          <w:lang w:val="es-ES_tradnl"/>
        </w:rPr>
        <w:t>travel</w:t>
      </w:r>
      <w:proofErr w:type="spellEnd"/>
      <w:r w:rsidRPr="00E82247">
        <w:rPr>
          <w:sz w:val="20"/>
          <w:lang w:val="es-ES_tradnl"/>
        </w:rPr>
        <w:t xml:space="preserve"> </w:t>
      </w:r>
      <w:proofErr w:type="spellStart"/>
      <w:r w:rsidRPr="00E82247">
        <w:rPr>
          <w:sz w:val="20"/>
          <w:lang w:val="es-ES_tradnl"/>
        </w:rPr>
        <w:t>influencers</w:t>
      </w:r>
      <w:proofErr w:type="spellEnd"/>
      <w:r w:rsidRPr="00E82247">
        <w:rPr>
          <w:sz w:val="20"/>
          <w:lang w:val="es-ES_tradnl"/>
        </w:rPr>
        <w:t xml:space="preserve"> en Reino Unido, Alemania, Noruega, Países Bajos, Dinamarca, Suecia, Irlanda, Bélgica, Italia, Francia, Suiza, República Checa, Polonia, Portugal, Luxemburgo y mercados nacional y canario.</w:t>
      </w:r>
    </w:p>
    <w:p w14:paraId="6D989F83"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 xml:space="preserve">Acciones de </w:t>
      </w:r>
      <w:proofErr w:type="spellStart"/>
      <w:r w:rsidRPr="00E82247">
        <w:rPr>
          <w:sz w:val="20"/>
          <w:lang w:val="es-ES_tradnl"/>
        </w:rPr>
        <w:t>co-branding</w:t>
      </w:r>
      <w:proofErr w:type="spellEnd"/>
      <w:r w:rsidRPr="00E82247">
        <w:rPr>
          <w:sz w:val="20"/>
          <w:lang w:val="es-ES_tradnl"/>
        </w:rPr>
        <w:t xml:space="preserve"> con operadores turísticos</w:t>
      </w:r>
    </w:p>
    <w:p w14:paraId="132C4699"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Actualización web holaislascanarias.com</w:t>
      </w:r>
    </w:p>
    <w:p w14:paraId="249D258A"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 xml:space="preserve">Apoyo a </w:t>
      </w:r>
      <w:proofErr w:type="spellStart"/>
      <w:r w:rsidRPr="00E82247">
        <w:rPr>
          <w:sz w:val="20"/>
          <w:lang w:val="es-ES_tradnl"/>
        </w:rPr>
        <w:t>fam</w:t>
      </w:r>
      <w:proofErr w:type="spellEnd"/>
      <w:r w:rsidRPr="00E82247">
        <w:rPr>
          <w:sz w:val="20"/>
          <w:lang w:val="es-ES_tradnl"/>
        </w:rPr>
        <w:t xml:space="preserve"> &amp; </w:t>
      </w:r>
      <w:proofErr w:type="spellStart"/>
      <w:r w:rsidRPr="00E82247">
        <w:rPr>
          <w:sz w:val="20"/>
          <w:lang w:val="es-ES_tradnl"/>
        </w:rPr>
        <w:t>press</w:t>
      </w:r>
      <w:proofErr w:type="spellEnd"/>
      <w:r w:rsidRPr="00E82247">
        <w:rPr>
          <w:sz w:val="20"/>
          <w:lang w:val="es-ES_tradnl"/>
        </w:rPr>
        <w:t xml:space="preserve"> </w:t>
      </w:r>
      <w:proofErr w:type="spellStart"/>
      <w:r w:rsidRPr="00E82247">
        <w:rPr>
          <w:sz w:val="20"/>
          <w:lang w:val="es-ES_tradnl"/>
        </w:rPr>
        <w:t>trips</w:t>
      </w:r>
      <w:proofErr w:type="spellEnd"/>
    </w:p>
    <w:p w14:paraId="3BB5DD53"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Apoyo a producciones audiovisuales de interés turístico (“Cleo”, “</w:t>
      </w:r>
      <w:proofErr w:type="spellStart"/>
      <w:r w:rsidRPr="00E82247">
        <w:rPr>
          <w:sz w:val="20"/>
          <w:lang w:val="es-ES_tradnl"/>
        </w:rPr>
        <w:t>Hideen</w:t>
      </w:r>
      <w:proofErr w:type="spellEnd"/>
      <w:r w:rsidRPr="00E82247">
        <w:rPr>
          <w:sz w:val="20"/>
          <w:lang w:val="es-ES_tradnl"/>
        </w:rPr>
        <w:t xml:space="preserve"> </w:t>
      </w:r>
      <w:proofErr w:type="spellStart"/>
      <w:r w:rsidRPr="00E82247">
        <w:rPr>
          <w:sz w:val="20"/>
          <w:lang w:val="es-ES_tradnl"/>
        </w:rPr>
        <w:t>Canary</w:t>
      </w:r>
      <w:proofErr w:type="spellEnd"/>
      <w:r w:rsidRPr="00E82247">
        <w:rPr>
          <w:sz w:val="20"/>
          <w:lang w:val="es-ES_tradnl"/>
        </w:rPr>
        <w:t xml:space="preserve"> </w:t>
      </w:r>
      <w:proofErr w:type="spellStart"/>
      <w:r w:rsidRPr="00E82247">
        <w:rPr>
          <w:sz w:val="20"/>
          <w:lang w:val="es-ES_tradnl"/>
        </w:rPr>
        <w:t>Islands</w:t>
      </w:r>
      <w:proofErr w:type="spellEnd"/>
      <w:r w:rsidRPr="00E82247">
        <w:rPr>
          <w:sz w:val="20"/>
          <w:lang w:val="es-ES_tradnl"/>
        </w:rPr>
        <w:t>”, “El Halcón Leonor en las Islas Canarias”)</w:t>
      </w:r>
    </w:p>
    <w:p w14:paraId="4AF889DA"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Asistencia a ferias turísticas de carácter presencial y virtuales</w:t>
      </w:r>
    </w:p>
    <w:p w14:paraId="3BCD3BB9"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Cobertura informativa de eventos con proyección turística</w:t>
      </w:r>
    </w:p>
    <w:p w14:paraId="4B7905A4"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Creación de contenidos audiovisuales y fotográficos</w:t>
      </w:r>
    </w:p>
    <w:p w14:paraId="7CDA51D2"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Elaboración Plan Estratégico de Promoción Turística del Patrimonio Cultural de Canarias</w:t>
      </w:r>
    </w:p>
    <w:p w14:paraId="5E81DF0C"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Gestión y dinamización perfiles de Islas Canarias en redes sociales</w:t>
      </w:r>
    </w:p>
    <w:p w14:paraId="3756AFA5"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Proyecto Base de datos de recursos turísticos</w:t>
      </w:r>
    </w:p>
    <w:p w14:paraId="139D1015"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Proyecto Bono Turístico Islas Canarias</w:t>
      </w:r>
    </w:p>
    <w:p w14:paraId="0B7E9F84" w14:textId="77777777" w:rsidR="00D03D56" w:rsidRPr="00E82247" w:rsidRDefault="00D03D56" w:rsidP="00C52F68">
      <w:pPr>
        <w:numPr>
          <w:ilvl w:val="0"/>
          <w:numId w:val="34"/>
        </w:numPr>
        <w:spacing w:before="120" w:line="276" w:lineRule="auto"/>
        <w:ind w:left="567"/>
        <w:jc w:val="both"/>
        <w:rPr>
          <w:sz w:val="20"/>
          <w:lang w:val="es-ES_tradnl"/>
        </w:rPr>
      </w:pPr>
      <w:r w:rsidRPr="00E82247">
        <w:rPr>
          <w:sz w:val="20"/>
          <w:lang w:val="es-ES_tradnl"/>
        </w:rPr>
        <w:t>Proyecto Camino de Santiago entre Volcanes</w:t>
      </w:r>
    </w:p>
    <w:p w14:paraId="6E105011" w14:textId="77777777" w:rsidR="00D03D56" w:rsidRPr="00C52F68" w:rsidRDefault="00D03D56" w:rsidP="00C52F6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60" w:lineRule="exact"/>
        <w:ind w:left="284" w:hanging="284"/>
        <w:jc w:val="both"/>
        <w:outlineLvl w:val="9"/>
        <w:rPr>
          <w:b/>
          <w:color w:val="auto"/>
          <w:sz w:val="20"/>
          <w:szCs w:val="20"/>
          <w:u w:val="single"/>
        </w:rPr>
      </w:pPr>
      <w:r w:rsidRPr="00C52F68">
        <w:rPr>
          <w:b/>
          <w:color w:val="auto"/>
          <w:sz w:val="20"/>
          <w:szCs w:val="20"/>
          <w:u w:val="single"/>
        </w:rPr>
        <w:t>ACONTECIMIENTOS POSTERIORES AL CIERRE</w:t>
      </w:r>
    </w:p>
    <w:p w14:paraId="02DC872D" w14:textId="77777777" w:rsidR="00D03D56" w:rsidRPr="00C52F68" w:rsidRDefault="00D03D56" w:rsidP="00C52F68">
      <w:pPr>
        <w:spacing w:before="120" w:after="120" w:line="260" w:lineRule="exact"/>
        <w:ind w:left="284"/>
        <w:jc w:val="both"/>
        <w:outlineLvl w:val="9"/>
        <w:rPr>
          <w:sz w:val="20"/>
          <w:lang w:val="es-ES_tradnl"/>
        </w:rPr>
      </w:pPr>
      <w:r w:rsidRPr="00C52F68">
        <w:rPr>
          <w:sz w:val="20"/>
          <w:lang w:val="es-ES_tradnl"/>
        </w:rPr>
        <w:t>En el tiempo transcurrido desde el 31 de diciembre de 2021 hasta la formulación de las cuentas anuales, los hechos acaecidos ya han sido puestos de manifiesto a lo largo de la Memoria, no habiendo más que reseñar salvo lo allí incluido.</w:t>
      </w:r>
    </w:p>
    <w:p w14:paraId="1E06E2FB" w14:textId="77777777" w:rsidR="00D03D56" w:rsidRPr="00C52F68" w:rsidRDefault="00D03D56" w:rsidP="00C52F6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60" w:lineRule="exact"/>
        <w:ind w:left="284" w:hanging="284"/>
        <w:jc w:val="both"/>
        <w:outlineLvl w:val="9"/>
        <w:rPr>
          <w:b/>
          <w:color w:val="auto"/>
          <w:sz w:val="20"/>
          <w:szCs w:val="20"/>
          <w:u w:val="single"/>
        </w:rPr>
      </w:pPr>
      <w:r w:rsidRPr="00C52F68">
        <w:rPr>
          <w:b/>
          <w:color w:val="auto"/>
          <w:sz w:val="20"/>
          <w:szCs w:val="20"/>
          <w:u w:val="single"/>
        </w:rPr>
        <w:t>PERSPECTIVAS PARA EL AÑO 2022</w:t>
      </w:r>
    </w:p>
    <w:p w14:paraId="093E7F1E" w14:textId="77777777" w:rsidR="00D03D56" w:rsidRPr="00C52F68" w:rsidRDefault="00D03D56" w:rsidP="00C52F68">
      <w:pPr>
        <w:spacing w:before="120" w:after="120" w:line="260" w:lineRule="exact"/>
        <w:ind w:left="284"/>
        <w:jc w:val="both"/>
        <w:outlineLvl w:val="9"/>
        <w:rPr>
          <w:sz w:val="20"/>
          <w:lang w:val="es-ES_tradnl"/>
        </w:rPr>
      </w:pPr>
      <w:r w:rsidRPr="00C52F68">
        <w:rPr>
          <w:sz w:val="20"/>
          <w:lang w:val="es-ES_tradnl"/>
        </w:rPr>
        <w:t xml:space="preserve">Para 2022 PROMOTUR TURISMO CANARIAS S.A. establece un marco estratégico nuevo que, a partir de la continuidad de las estrategias Canarias Fortaleza y Canarias Destino, reformule el papel de la entidad en el ecosistema turístico público-privado, dado que el recogido en el Plan 2018-2022 se entiende agotado una vez que la crisis turística provocada por la Covid-19 ha acelerado su caducidad, y fortalezca su papel dinamizador en el conjunto de la cadena de valor turística ante el reto de contribuir al imperativo de mantener la competitividad del modelo turístico canario y convertirse en un instrumento transformador eficaz. </w:t>
      </w:r>
    </w:p>
    <w:p w14:paraId="3D9F63C3" w14:textId="77777777" w:rsidR="00D03D56" w:rsidRPr="00C52F68" w:rsidRDefault="00D03D56" w:rsidP="00C52F68">
      <w:pPr>
        <w:spacing w:before="120" w:after="120" w:line="260" w:lineRule="exact"/>
        <w:ind w:left="284"/>
        <w:jc w:val="both"/>
        <w:outlineLvl w:val="9"/>
        <w:rPr>
          <w:sz w:val="20"/>
          <w:lang w:val="es-ES_tradnl"/>
        </w:rPr>
      </w:pPr>
      <w:r w:rsidRPr="00C52F68">
        <w:rPr>
          <w:sz w:val="20"/>
          <w:lang w:val="es-ES_tradnl"/>
        </w:rPr>
        <w:t>Así, 2022 se plantea como un periodo crucial no solo para el turismo canario que, como hemos visto, afronta un nuevo ciclo turístico todavía desde la incertidumbre y con muchos y exigentes retos transformadores por delante; sino también, desde la perspectiva de la entidad, en la redefinición, ya avanzada desde finales de 2020 y durante 2021, de su propósito (misión, visión, valores) y la alineación eficiente de sus recursos y actividades en función de su nuevo papel como instrumento catalizador de la pretendida y necesaria transformación del  modelo turístico de las Islas.</w:t>
      </w:r>
    </w:p>
    <w:p w14:paraId="26C2FCB8" w14:textId="77777777" w:rsidR="00D03D56" w:rsidRPr="00C52F68" w:rsidRDefault="00D03D56" w:rsidP="00C52F68">
      <w:pPr>
        <w:spacing w:before="120" w:after="120" w:line="260" w:lineRule="exact"/>
        <w:ind w:left="284"/>
        <w:jc w:val="both"/>
        <w:outlineLvl w:val="9"/>
        <w:rPr>
          <w:sz w:val="20"/>
          <w:lang w:val="es-ES_tradnl"/>
        </w:rPr>
      </w:pPr>
      <w:r w:rsidRPr="00C52F68">
        <w:rPr>
          <w:sz w:val="20"/>
          <w:lang w:val="es-ES_tradnl"/>
        </w:rPr>
        <w:lastRenderedPageBreak/>
        <w:t>La Sociedad no considera que exista ningún riesgo o incertidumbre importante sobre la continuidad del negocio.</w:t>
      </w:r>
    </w:p>
    <w:p w14:paraId="2165E042" w14:textId="77777777" w:rsidR="00D03D56" w:rsidRPr="00C52F68" w:rsidRDefault="00D03D56" w:rsidP="00C52F6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60" w:lineRule="exact"/>
        <w:ind w:left="284" w:hanging="284"/>
        <w:jc w:val="both"/>
        <w:outlineLvl w:val="9"/>
        <w:rPr>
          <w:b/>
          <w:color w:val="auto"/>
          <w:sz w:val="20"/>
          <w:szCs w:val="20"/>
          <w:u w:val="single"/>
        </w:rPr>
      </w:pPr>
      <w:r w:rsidRPr="00C52F68">
        <w:rPr>
          <w:b/>
          <w:color w:val="auto"/>
          <w:sz w:val="20"/>
          <w:szCs w:val="20"/>
          <w:u w:val="single"/>
        </w:rPr>
        <w:t>INVESTIGACIÓN Y DESARROLLO</w:t>
      </w:r>
    </w:p>
    <w:p w14:paraId="5C590D68" w14:textId="77777777" w:rsidR="00D03D56" w:rsidRPr="00C52F68" w:rsidRDefault="00D03D56" w:rsidP="00C52F68">
      <w:pPr>
        <w:spacing w:before="120" w:after="120" w:line="260" w:lineRule="exact"/>
        <w:ind w:left="284"/>
        <w:jc w:val="both"/>
        <w:outlineLvl w:val="9"/>
        <w:rPr>
          <w:sz w:val="20"/>
          <w:lang w:val="es-ES_tradnl"/>
        </w:rPr>
      </w:pPr>
      <w:r w:rsidRPr="00C52F68">
        <w:rPr>
          <w:sz w:val="20"/>
          <w:lang w:val="es-ES_tradnl"/>
        </w:rPr>
        <w:t>Durante el ejercicio 2021, la Sociedad no ha realizado actividad alguna en materia de Investigación y Desarrollo.</w:t>
      </w:r>
    </w:p>
    <w:p w14:paraId="5F6428EB" w14:textId="77777777" w:rsidR="00D03D56" w:rsidRPr="00C52F68" w:rsidRDefault="00D03D56" w:rsidP="00C52F6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60" w:lineRule="exact"/>
        <w:ind w:left="284" w:hanging="284"/>
        <w:jc w:val="both"/>
        <w:outlineLvl w:val="9"/>
        <w:rPr>
          <w:b/>
          <w:color w:val="auto"/>
          <w:sz w:val="20"/>
          <w:szCs w:val="20"/>
          <w:u w:val="single"/>
        </w:rPr>
      </w:pPr>
      <w:r w:rsidRPr="00C52F68">
        <w:rPr>
          <w:b/>
          <w:color w:val="auto"/>
          <w:sz w:val="20"/>
          <w:szCs w:val="20"/>
          <w:u w:val="single"/>
        </w:rPr>
        <w:t xml:space="preserve"> ACCIONES PROPIAS</w:t>
      </w:r>
    </w:p>
    <w:p w14:paraId="2082ACEB" w14:textId="77777777" w:rsidR="00D03D56" w:rsidRPr="00C52F68" w:rsidRDefault="00D03D56" w:rsidP="00C52F68">
      <w:pPr>
        <w:spacing w:before="120" w:after="120" w:line="260" w:lineRule="exact"/>
        <w:ind w:left="284"/>
        <w:jc w:val="both"/>
        <w:outlineLvl w:val="9"/>
        <w:rPr>
          <w:sz w:val="20"/>
          <w:lang w:val="es-ES_tradnl"/>
        </w:rPr>
      </w:pPr>
      <w:r w:rsidRPr="00C52F68">
        <w:rPr>
          <w:sz w:val="20"/>
          <w:lang w:val="es-ES_tradnl"/>
        </w:rPr>
        <w:t xml:space="preserve">La Sociedad no tiene ni ha realizado operaciones con acciones propias durante el ejercicio 2021. </w:t>
      </w:r>
    </w:p>
    <w:p w14:paraId="50307C47" w14:textId="77777777" w:rsidR="00D03D56" w:rsidRPr="00C52F68" w:rsidRDefault="00D03D56" w:rsidP="00C52F6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60" w:lineRule="exact"/>
        <w:ind w:left="284" w:hanging="284"/>
        <w:jc w:val="both"/>
        <w:outlineLvl w:val="9"/>
        <w:rPr>
          <w:b/>
          <w:color w:val="auto"/>
          <w:sz w:val="20"/>
          <w:szCs w:val="20"/>
          <w:u w:val="single"/>
        </w:rPr>
      </w:pPr>
      <w:r w:rsidRPr="00C52F68">
        <w:rPr>
          <w:b/>
          <w:color w:val="auto"/>
          <w:sz w:val="20"/>
          <w:szCs w:val="20"/>
          <w:u w:val="single"/>
        </w:rPr>
        <w:t>INSTRUMENTOS FINANCIEROS</w:t>
      </w:r>
    </w:p>
    <w:p w14:paraId="6F1C7F84" w14:textId="77777777" w:rsidR="00D03D56" w:rsidRPr="00C52F68" w:rsidRDefault="00D03D56" w:rsidP="00C52F68">
      <w:pPr>
        <w:spacing w:before="120" w:after="120" w:line="260" w:lineRule="exact"/>
        <w:ind w:left="284"/>
        <w:jc w:val="both"/>
        <w:outlineLvl w:val="9"/>
        <w:rPr>
          <w:sz w:val="20"/>
          <w:lang w:val="es-ES_tradnl"/>
        </w:rPr>
      </w:pPr>
      <w:r w:rsidRPr="00C52F68">
        <w:rPr>
          <w:sz w:val="20"/>
          <w:lang w:val="es-ES_tradnl"/>
        </w:rPr>
        <w:t>La Sociedad no tiene ni ha realizado operaciones con derivados financieros durante el ejercicio 2021.</w:t>
      </w:r>
    </w:p>
    <w:p w14:paraId="3354CEFC" w14:textId="77777777" w:rsidR="00D03D56" w:rsidRPr="00C52F68" w:rsidRDefault="00D03D56" w:rsidP="00C52F6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60" w:lineRule="exact"/>
        <w:ind w:left="284" w:hanging="284"/>
        <w:jc w:val="both"/>
        <w:outlineLvl w:val="9"/>
        <w:rPr>
          <w:b/>
          <w:color w:val="auto"/>
          <w:sz w:val="20"/>
          <w:szCs w:val="20"/>
          <w:u w:val="single"/>
        </w:rPr>
      </w:pPr>
      <w:r w:rsidRPr="00C52F68">
        <w:rPr>
          <w:b/>
          <w:color w:val="auto"/>
          <w:sz w:val="20"/>
          <w:szCs w:val="20"/>
          <w:u w:val="single"/>
        </w:rPr>
        <w:t>INFORMACIÓN SOBRE EL MEDIO AMBIENTE</w:t>
      </w:r>
    </w:p>
    <w:p w14:paraId="57955FE7" w14:textId="77777777" w:rsidR="00D03D56" w:rsidRPr="00C52F68" w:rsidRDefault="00D03D56" w:rsidP="00C52F68">
      <w:pPr>
        <w:spacing w:before="120" w:after="120" w:line="260" w:lineRule="exact"/>
        <w:ind w:left="284"/>
        <w:jc w:val="both"/>
        <w:outlineLvl w:val="9"/>
        <w:rPr>
          <w:sz w:val="20"/>
          <w:lang w:val="es-ES_tradnl"/>
        </w:rPr>
      </w:pPr>
      <w:r w:rsidRPr="00C52F68">
        <w:rPr>
          <w:sz w:val="20"/>
          <w:lang w:val="es-ES_tradnl"/>
        </w:rPr>
        <w:t>La Sociedad mantiene sus instalaciones constantemente en un estado que permite cumplir con todas las normas referentes al Medio Ambiente. No ha sido necesario incurrir en gastos particulares y tampoco fue necesaria la dotación de provisiones.</w:t>
      </w:r>
    </w:p>
    <w:p w14:paraId="188D1044" w14:textId="77777777" w:rsidR="00D03D56" w:rsidRDefault="00D03D56" w:rsidP="00D03D56">
      <w:pPr>
        <w:tabs>
          <w:tab w:val="left" w:pos="567"/>
          <w:tab w:val="left" w:pos="1134"/>
          <w:tab w:val="left" w:pos="1587"/>
        </w:tabs>
        <w:jc w:val="both"/>
        <w:rPr>
          <w:sz w:val="20"/>
          <w:szCs w:val="22"/>
        </w:rPr>
      </w:pPr>
    </w:p>
    <w:p w14:paraId="0D31ECA6" w14:textId="77777777" w:rsidR="00841182" w:rsidRPr="0083433F" w:rsidRDefault="00841182" w:rsidP="006220A2">
      <w:pPr>
        <w:tabs>
          <w:tab w:val="left" w:pos="567"/>
          <w:tab w:val="left" w:pos="1134"/>
          <w:tab w:val="left" w:pos="1587"/>
        </w:tabs>
        <w:jc w:val="both"/>
        <w:rPr>
          <w:sz w:val="20"/>
          <w:szCs w:val="22"/>
        </w:rPr>
        <w:sectPr w:rsidR="00841182" w:rsidRPr="0083433F" w:rsidSect="001C58A9">
          <w:headerReference w:type="default" r:id="rId13"/>
          <w:pgSz w:w="11900" w:h="16840" w:code="9"/>
          <w:pgMar w:top="1701" w:right="1418" w:bottom="1418" w:left="1701" w:header="1247" w:footer="851" w:gutter="0"/>
          <w:cols w:space="708"/>
          <w:docGrid w:linePitch="360"/>
        </w:sectPr>
      </w:pPr>
    </w:p>
    <w:p w14:paraId="4F5045BD" w14:textId="4910EB28" w:rsidR="00841182" w:rsidRPr="0083433F" w:rsidRDefault="00841182" w:rsidP="006220A2">
      <w:pPr>
        <w:tabs>
          <w:tab w:val="left" w:pos="567"/>
          <w:tab w:val="left" w:pos="1134"/>
          <w:tab w:val="left" w:pos="1587"/>
        </w:tabs>
        <w:jc w:val="both"/>
        <w:rPr>
          <w:b/>
          <w:sz w:val="20"/>
          <w:szCs w:val="22"/>
        </w:rPr>
      </w:pPr>
      <w:r w:rsidRPr="0083433F">
        <w:rPr>
          <w:b/>
          <w:sz w:val="20"/>
          <w:szCs w:val="22"/>
        </w:rPr>
        <w:lastRenderedPageBreak/>
        <w:t>FORMULACIÓN CUENTAS ANUALES EJERCICIO 20</w:t>
      </w:r>
      <w:r w:rsidR="00A42A87">
        <w:rPr>
          <w:b/>
          <w:sz w:val="20"/>
          <w:szCs w:val="22"/>
        </w:rPr>
        <w:t>2</w:t>
      </w:r>
      <w:r w:rsidR="00FD61DC">
        <w:rPr>
          <w:b/>
          <w:sz w:val="20"/>
          <w:szCs w:val="22"/>
        </w:rPr>
        <w:t>1</w:t>
      </w:r>
      <w:r w:rsidRPr="0083433F">
        <w:rPr>
          <w:b/>
          <w:sz w:val="20"/>
          <w:szCs w:val="22"/>
        </w:rPr>
        <w:t xml:space="preserve"> E INFORME DE GESTIÓN</w:t>
      </w:r>
    </w:p>
    <w:p w14:paraId="1C266B8F" w14:textId="06AA75F2" w:rsidR="006220A2" w:rsidRPr="0083433F" w:rsidRDefault="006220A2" w:rsidP="00E34164">
      <w:pPr>
        <w:tabs>
          <w:tab w:val="left" w:pos="567"/>
          <w:tab w:val="left" w:pos="1134"/>
          <w:tab w:val="left" w:pos="1587"/>
        </w:tabs>
        <w:spacing w:before="120" w:after="120" w:line="260" w:lineRule="exact"/>
        <w:jc w:val="both"/>
        <w:rPr>
          <w:sz w:val="20"/>
          <w:szCs w:val="22"/>
        </w:rPr>
      </w:pPr>
      <w:r w:rsidRPr="00E34164">
        <w:rPr>
          <w:sz w:val="20"/>
          <w:szCs w:val="22"/>
        </w:rPr>
        <w:t xml:space="preserve">Reunidos los administradores de </w:t>
      </w:r>
      <w:r w:rsidRPr="00E34164">
        <w:rPr>
          <w:b/>
          <w:caps/>
          <w:sz w:val="20"/>
          <w:szCs w:val="22"/>
        </w:rPr>
        <w:t>Promotur Turismo Canarias S.A.</w:t>
      </w:r>
      <w:r w:rsidRPr="00E34164">
        <w:rPr>
          <w:caps/>
          <w:sz w:val="20"/>
          <w:szCs w:val="22"/>
        </w:rPr>
        <w:t>,</w:t>
      </w:r>
      <w:r w:rsidRPr="00E34164">
        <w:rPr>
          <w:sz w:val="20"/>
          <w:szCs w:val="22"/>
        </w:rPr>
        <w:t xml:space="preserve"> en fecha </w:t>
      </w:r>
      <w:r w:rsidR="00702DB0">
        <w:rPr>
          <w:sz w:val="20"/>
          <w:szCs w:val="22"/>
        </w:rPr>
        <w:t>31</w:t>
      </w:r>
      <w:r w:rsidRPr="00E34164">
        <w:rPr>
          <w:sz w:val="20"/>
          <w:szCs w:val="22"/>
        </w:rPr>
        <w:t xml:space="preserve"> de marzo de 20</w:t>
      </w:r>
      <w:r w:rsidR="000C7CE0" w:rsidRPr="00E34164">
        <w:rPr>
          <w:sz w:val="20"/>
          <w:szCs w:val="22"/>
        </w:rPr>
        <w:t>2</w:t>
      </w:r>
      <w:r w:rsidR="00FD61DC">
        <w:rPr>
          <w:sz w:val="20"/>
          <w:szCs w:val="22"/>
        </w:rPr>
        <w:t>2</w:t>
      </w:r>
      <w:r w:rsidRPr="00E34164">
        <w:rPr>
          <w:sz w:val="20"/>
          <w:szCs w:val="22"/>
        </w:rPr>
        <w:t xml:space="preserve"> y en cumplimiento de los requisitos establecidos en los artículos 253 de la Ley de Sociedades de Capital y del artículo 31 del Código de Comercio, proceden a formular las cuentas anuales y el informe de gestión del ejercicio anual terminado el 31 de diciembre de 20</w:t>
      </w:r>
      <w:r w:rsidR="000E5182" w:rsidRPr="00E34164">
        <w:rPr>
          <w:sz w:val="20"/>
          <w:szCs w:val="22"/>
        </w:rPr>
        <w:t>2</w:t>
      </w:r>
      <w:r w:rsidR="00FD61DC">
        <w:rPr>
          <w:sz w:val="20"/>
          <w:szCs w:val="22"/>
        </w:rPr>
        <w:t>1</w:t>
      </w:r>
      <w:r w:rsidRPr="00E34164">
        <w:rPr>
          <w:sz w:val="20"/>
          <w:szCs w:val="22"/>
        </w:rPr>
        <w:t xml:space="preserve">, las cuales vienen constituidas por los documentos anexos que preceden a este escrito, cuyas hojas se presentan ordenadas correlativamente de la 1 a la </w:t>
      </w:r>
      <w:r w:rsidR="006D30E7">
        <w:rPr>
          <w:sz w:val="20"/>
          <w:szCs w:val="22"/>
        </w:rPr>
        <w:t>4</w:t>
      </w:r>
      <w:r w:rsidR="00C52F68">
        <w:rPr>
          <w:sz w:val="20"/>
          <w:szCs w:val="22"/>
        </w:rPr>
        <w:t>3</w:t>
      </w:r>
      <w:r w:rsidRPr="00E34164">
        <w:rPr>
          <w:sz w:val="20"/>
          <w:szCs w:val="22"/>
        </w:rPr>
        <w:t>.</w:t>
      </w:r>
    </w:p>
    <w:p w14:paraId="55CE2D88" w14:textId="77777777" w:rsidR="006220A2" w:rsidRPr="0083433F" w:rsidRDefault="006220A2" w:rsidP="006220A2">
      <w:pPr>
        <w:tabs>
          <w:tab w:val="left" w:pos="567"/>
          <w:tab w:val="left" w:pos="1134"/>
          <w:tab w:val="left" w:pos="1587"/>
        </w:tabs>
        <w:jc w:val="both"/>
        <w:rP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4386"/>
      </w:tblGrid>
      <w:tr w:rsidR="006220A2" w:rsidRPr="0083433F" w14:paraId="45F0ED1E" w14:textId="77777777" w:rsidTr="006E6F4D">
        <w:trPr>
          <w:trHeight w:val="1361"/>
        </w:trPr>
        <w:tc>
          <w:tcPr>
            <w:tcW w:w="2500" w:type="pct"/>
          </w:tcPr>
          <w:p w14:paraId="61B5ABB2" w14:textId="5243B6B7" w:rsidR="006220A2" w:rsidRPr="0083433F" w:rsidRDefault="00040D6A" w:rsidP="00C01236">
            <w:pPr>
              <w:jc w:val="center"/>
              <w:rPr>
                <w:sz w:val="20"/>
                <w:szCs w:val="20"/>
              </w:rPr>
            </w:pPr>
            <w:r w:rsidRPr="0083433F">
              <w:rPr>
                <w:sz w:val="20"/>
                <w:szCs w:val="20"/>
                <w:lang w:val="pt-BR"/>
              </w:rPr>
              <w:t>Dª.</w:t>
            </w:r>
            <w:r w:rsidR="00E34164">
              <w:rPr>
                <w:sz w:val="20"/>
                <w:szCs w:val="20"/>
                <w:lang w:val="pt-BR"/>
              </w:rPr>
              <w:t xml:space="preserve"> </w:t>
            </w:r>
            <w:r w:rsidRPr="0083433F">
              <w:rPr>
                <w:sz w:val="20"/>
                <w:szCs w:val="20"/>
              </w:rPr>
              <w:t>Yaiza Castilla Herrera</w:t>
            </w:r>
          </w:p>
        </w:tc>
        <w:tc>
          <w:tcPr>
            <w:tcW w:w="2500" w:type="pct"/>
          </w:tcPr>
          <w:p w14:paraId="1188BE15" w14:textId="49C1E3C4" w:rsidR="006220A2" w:rsidRPr="00355E8C" w:rsidRDefault="00040D6A" w:rsidP="00E8209A">
            <w:pPr>
              <w:jc w:val="center"/>
              <w:rPr>
                <w:sz w:val="20"/>
                <w:szCs w:val="20"/>
              </w:rPr>
            </w:pPr>
            <w:r w:rsidRPr="00355E8C">
              <w:rPr>
                <w:sz w:val="20"/>
                <w:szCs w:val="20"/>
              </w:rPr>
              <w:t>D</w:t>
            </w:r>
            <w:r w:rsidR="00BB1445" w:rsidRPr="00355E8C">
              <w:rPr>
                <w:sz w:val="20"/>
                <w:szCs w:val="20"/>
              </w:rPr>
              <w:t>ª</w:t>
            </w:r>
            <w:r w:rsidRPr="00355E8C">
              <w:rPr>
                <w:sz w:val="20"/>
                <w:szCs w:val="20"/>
              </w:rPr>
              <w:t xml:space="preserve">. </w:t>
            </w:r>
            <w:r w:rsidR="00E8209A" w:rsidRPr="00355E8C">
              <w:rPr>
                <w:sz w:val="20"/>
                <w:szCs w:val="20"/>
              </w:rPr>
              <w:t>Teresa Berástegui Guigou</w:t>
            </w:r>
          </w:p>
        </w:tc>
      </w:tr>
      <w:tr w:rsidR="006220A2" w:rsidRPr="0083433F" w14:paraId="722E450B" w14:textId="77777777" w:rsidTr="006E6F4D">
        <w:trPr>
          <w:trHeight w:val="1361"/>
        </w:trPr>
        <w:tc>
          <w:tcPr>
            <w:tcW w:w="2500" w:type="pct"/>
          </w:tcPr>
          <w:p w14:paraId="46C5684C" w14:textId="77777777" w:rsidR="006220A2" w:rsidRPr="0083433F" w:rsidRDefault="00040D6A" w:rsidP="00C01236">
            <w:pPr>
              <w:jc w:val="center"/>
              <w:rPr>
                <w:sz w:val="20"/>
                <w:szCs w:val="20"/>
              </w:rPr>
            </w:pPr>
            <w:r w:rsidRPr="0083433F">
              <w:rPr>
                <w:sz w:val="20"/>
                <w:szCs w:val="20"/>
              </w:rPr>
              <w:t xml:space="preserve">D. José María </w:t>
            </w:r>
            <w:proofErr w:type="spellStart"/>
            <w:r w:rsidRPr="0083433F">
              <w:rPr>
                <w:sz w:val="20"/>
                <w:szCs w:val="20"/>
              </w:rPr>
              <w:t>Mañaricúa</w:t>
            </w:r>
            <w:proofErr w:type="spellEnd"/>
            <w:r w:rsidRPr="0083433F">
              <w:rPr>
                <w:sz w:val="20"/>
                <w:szCs w:val="20"/>
              </w:rPr>
              <w:t xml:space="preserve"> Aristondo</w:t>
            </w:r>
          </w:p>
        </w:tc>
        <w:tc>
          <w:tcPr>
            <w:tcW w:w="2500" w:type="pct"/>
          </w:tcPr>
          <w:p w14:paraId="1E3F01A1" w14:textId="5FE5E21D" w:rsidR="006220A2" w:rsidRPr="00355E8C" w:rsidRDefault="00040D6A" w:rsidP="00C01236">
            <w:pPr>
              <w:jc w:val="center"/>
              <w:rPr>
                <w:sz w:val="20"/>
                <w:szCs w:val="20"/>
              </w:rPr>
            </w:pPr>
            <w:r w:rsidRPr="00355E8C">
              <w:rPr>
                <w:sz w:val="20"/>
                <w:szCs w:val="20"/>
                <w:lang w:val="pt-BR"/>
              </w:rPr>
              <w:t>D</w:t>
            </w:r>
            <w:r w:rsidR="00BB1445" w:rsidRPr="00355E8C">
              <w:rPr>
                <w:sz w:val="20"/>
                <w:szCs w:val="20"/>
                <w:lang w:val="pt-BR"/>
              </w:rPr>
              <w:t>ª</w:t>
            </w:r>
            <w:r w:rsidRPr="00355E8C">
              <w:rPr>
                <w:sz w:val="20"/>
                <w:szCs w:val="20"/>
                <w:lang w:val="pt-BR"/>
              </w:rPr>
              <w:t>. Susana Pérez Represa</w:t>
            </w:r>
          </w:p>
        </w:tc>
      </w:tr>
      <w:tr w:rsidR="006220A2" w:rsidRPr="0083433F" w14:paraId="0AD3DE96" w14:textId="77777777" w:rsidTr="006E6F4D">
        <w:trPr>
          <w:trHeight w:val="1361"/>
        </w:trPr>
        <w:tc>
          <w:tcPr>
            <w:tcW w:w="2500" w:type="pct"/>
            <w:shd w:val="clear" w:color="auto" w:fill="auto"/>
          </w:tcPr>
          <w:p w14:paraId="741BA2BD" w14:textId="77777777" w:rsidR="006220A2" w:rsidRPr="0083433F" w:rsidRDefault="00040D6A" w:rsidP="00C01236">
            <w:pPr>
              <w:jc w:val="center"/>
              <w:rPr>
                <w:sz w:val="20"/>
                <w:szCs w:val="20"/>
                <w:lang w:val="pt-BR"/>
              </w:rPr>
            </w:pPr>
            <w:r w:rsidRPr="0083433F">
              <w:rPr>
                <w:sz w:val="20"/>
                <w:szCs w:val="20"/>
                <w:lang w:val="pt-BR"/>
              </w:rPr>
              <w:t xml:space="preserve">D. Jorge </w:t>
            </w:r>
            <w:proofErr w:type="spellStart"/>
            <w:r w:rsidRPr="0083433F">
              <w:rPr>
                <w:sz w:val="20"/>
                <w:szCs w:val="20"/>
                <w:lang w:val="pt-BR"/>
              </w:rPr>
              <w:t>Marichal</w:t>
            </w:r>
            <w:proofErr w:type="spellEnd"/>
            <w:r w:rsidRPr="0083433F">
              <w:rPr>
                <w:sz w:val="20"/>
                <w:szCs w:val="20"/>
                <w:lang w:val="pt-BR"/>
              </w:rPr>
              <w:t xml:space="preserve"> González</w:t>
            </w:r>
          </w:p>
        </w:tc>
        <w:tc>
          <w:tcPr>
            <w:tcW w:w="2500" w:type="pct"/>
          </w:tcPr>
          <w:p w14:paraId="633F34A7" w14:textId="77777777" w:rsidR="006220A2" w:rsidRPr="0083433F" w:rsidRDefault="00040D6A" w:rsidP="00C01236">
            <w:pPr>
              <w:jc w:val="center"/>
              <w:rPr>
                <w:sz w:val="20"/>
                <w:szCs w:val="20"/>
              </w:rPr>
            </w:pPr>
            <w:r w:rsidRPr="0083433F">
              <w:rPr>
                <w:sz w:val="20"/>
                <w:szCs w:val="20"/>
                <w:lang w:val="pt-BR"/>
              </w:rPr>
              <w:t xml:space="preserve">D. Antonio </w:t>
            </w:r>
            <w:proofErr w:type="spellStart"/>
            <w:r w:rsidRPr="0083433F">
              <w:rPr>
                <w:sz w:val="20"/>
                <w:szCs w:val="20"/>
                <w:lang w:val="pt-BR"/>
              </w:rPr>
              <w:t>Hormiga</w:t>
            </w:r>
            <w:proofErr w:type="spellEnd"/>
            <w:r w:rsidRPr="0083433F">
              <w:rPr>
                <w:sz w:val="20"/>
                <w:szCs w:val="20"/>
                <w:lang w:val="pt-BR"/>
              </w:rPr>
              <w:t xml:space="preserve"> Alonso</w:t>
            </w:r>
          </w:p>
        </w:tc>
      </w:tr>
      <w:tr w:rsidR="00040D6A" w:rsidRPr="0083433F" w14:paraId="08B8A8C8" w14:textId="77777777" w:rsidTr="006E6F4D">
        <w:trPr>
          <w:trHeight w:val="1361"/>
        </w:trPr>
        <w:tc>
          <w:tcPr>
            <w:tcW w:w="2500" w:type="pct"/>
          </w:tcPr>
          <w:p w14:paraId="7D0ED3E4" w14:textId="77777777" w:rsidR="00040D6A" w:rsidRPr="0083433F" w:rsidRDefault="00040D6A" w:rsidP="00C01236">
            <w:pPr>
              <w:jc w:val="center"/>
              <w:rPr>
                <w:sz w:val="20"/>
                <w:szCs w:val="20"/>
              </w:rPr>
            </w:pPr>
            <w:r w:rsidRPr="0083433F">
              <w:rPr>
                <w:sz w:val="20"/>
                <w:szCs w:val="20"/>
                <w:lang w:val="pt-BR"/>
              </w:rPr>
              <w:t>D. José Gilberto Moreno García</w:t>
            </w:r>
          </w:p>
        </w:tc>
        <w:tc>
          <w:tcPr>
            <w:tcW w:w="2500" w:type="pct"/>
          </w:tcPr>
          <w:p w14:paraId="3CE3C2E5" w14:textId="77777777" w:rsidR="00040D6A" w:rsidRPr="0083433F" w:rsidRDefault="00040D6A" w:rsidP="00C01236">
            <w:pPr>
              <w:jc w:val="center"/>
              <w:rPr>
                <w:sz w:val="20"/>
                <w:szCs w:val="20"/>
              </w:rPr>
            </w:pPr>
            <w:r w:rsidRPr="0083433F">
              <w:rPr>
                <w:sz w:val="20"/>
                <w:szCs w:val="20"/>
              </w:rPr>
              <w:t>D. Mario Otero Andión</w:t>
            </w:r>
          </w:p>
        </w:tc>
      </w:tr>
      <w:tr w:rsidR="00040D6A" w:rsidRPr="0083433F" w14:paraId="4D365EE5" w14:textId="77777777" w:rsidTr="006E6F4D">
        <w:trPr>
          <w:trHeight w:val="1361"/>
        </w:trPr>
        <w:tc>
          <w:tcPr>
            <w:tcW w:w="2500" w:type="pct"/>
          </w:tcPr>
          <w:p w14:paraId="2F2FAF1D" w14:textId="77777777" w:rsidR="00040D6A" w:rsidRPr="0083433F" w:rsidRDefault="00040D6A" w:rsidP="00C0123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left="348"/>
              <w:contextualSpacing/>
              <w:jc w:val="center"/>
              <w:rPr>
                <w:rFonts w:ascii="Arial" w:hAnsi="Arial" w:cs="Arial"/>
                <w:sz w:val="20"/>
                <w:szCs w:val="20"/>
              </w:rPr>
            </w:pPr>
            <w:r w:rsidRPr="0083433F">
              <w:rPr>
                <w:rFonts w:ascii="Arial" w:hAnsi="Arial" w:cs="Arial"/>
                <w:sz w:val="20"/>
                <w:szCs w:val="20"/>
              </w:rPr>
              <w:t>Fernando Miñarro Mena</w:t>
            </w:r>
          </w:p>
        </w:tc>
        <w:tc>
          <w:tcPr>
            <w:tcW w:w="2500" w:type="pct"/>
          </w:tcPr>
          <w:p w14:paraId="535DB6B0" w14:textId="77777777" w:rsidR="00040D6A" w:rsidRPr="0083433F" w:rsidRDefault="00040D6A" w:rsidP="00C01236">
            <w:pPr>
              <w:jc w:val="center"/>
              <w:rPr>
                <w:sz w:val="20"/>
                <w:szCs w:val="20"/>
              </w:rPr>
            </w:pPr>
            <w:r w:rsidRPr="0083433F">
              <w:rPr>
                <w:sz w:val="20"/>
                <w:szCs w:val="20"/>
              </w:rPr>
              <w:t>D. Ciprián Rivas Fernández</w:t>
            </w:r>
          </w:p>
        </w:tc>
      </w:tr>
      <w:tr w:rsidR="00040D6A" w:rsidRPr="0083433F" w14:paraId="33272DC0" w14:textId="77777777" w:rsidTr="006E6F4D">
        <w:trPr>
          <w:trHeight w:val="1361"/>
        </w:trPr>
        <w:tc>
          <w:tcPr>
            <w:tcW w:w="2500" w:type="pct"/>
          </w:tcPr>
          <w:p w14:paraId="39E352AE" w14:textId="77777777" w:rsidR="00040D6A" w:rsidRPr="0083433F" w:rsidRDefault="00040D6A" w:rsidP="00C01236">
            <w:pPr>
              <w:jc w:val="center"/>
              <w:rPr>
                <w:sz w:val="20"/>
                <w:szCs w:val="20"/>
                <w:lang w:val="pt-BR"/>
              </w:rPr>
            </w:pPr>
            <w:r w:rsidRPr="0083433F">
              <w:rPr>
                <w:sz w:val="20"/>
                <w:szCs w:val="20"/>
              </w:rPr>
              <w:t>Dª. Dunia González Vega</w:t>
            </w:r>
          </w:p>
        </w:tc>
        <w:tc>
          <w:tcPr>
            <w:tcW w:w="2500" w:type="pct"/>
          </w:tcPr>
          <w:p w14:paraId="60E7AEBB" w14:textId="77777777" w:rsidR="00040D6A" w:rsidRPr="0083433F" w:rsidRDefault="00040D6A" w:rsidP="00C01236">
            <w:pPr>
              <w:jc w:val="center"/>
              <w:rPr>
                <w:sz w:val="20"/>
                <w:szCs w:val="20"/>
                <w:lang w:val="pt-BR"/>
              </w:rPr>
            </w:pPr>
            <w:r w:rsidRPr="0083433F">
              <w:rPr>
                <w:sz w:val="20"/>
                <w:szCs w:val="20"/>
                <w:lang w:val="pt-BR"/>
              </w:rPr>
              <w:t xml:space="preserve">D. </w:t>
            </w:r>
            <w:r w:rsidRPr="0083433F">
              <w:rPr>
                <w:sz w:val="20"/>
                <w:szCs w:val="20"/>
              </w:rPr>
              <w:t>Justo Artiles Sánchez</w:t>
            </w:r>
          </w:p>
        </w:tc>
      </w:tr>
      <w:tr w:rsidR="00040D6A" w:rsidRPr="0083433F" w14:paraId="3889995B" w14:textId="77777777" w:rsidTr="006E6F4D">
        <w:trPr>
          <w:trHeight w:val="1361"/>
        </w:trPr>
        <w:tc>
          <w:tcPr>
            <w:tcW w:w="2500" w:type="pct"/>
          </w:tcPr>
          <w:p w14:paraId="0112F539" w14:textId="77777777" w:rsidR="00040D6A" w:rsidRPr="0083433F" w:rsidRDefault="00040D6A" w:rsidP="00C01236">
            <w:pPr>
              <w:jc w:val="center"/>
              <w:rPr>
                <w:sz w:val="20"/>
                <w:szCs w:val="20"/>
              </w:rPr>
            </w:pPr>
            <w:r w:rsidRPr="0083433F">
              <w:rPr>
                <w:sz w:val="20"/>
                <w:szCs w:val="20"/>
              </w:rPr>
              <w:t xml:space="preserve">Dª. Yolanda </w:t>
            </w:r>
            <w:proofErr w:type="spellStart"/>
            <w:r w:rsidRPr="0083433F">
              <w:rPr>
                <w:sz w:val="20"/>
                <w:szCs w:val="20"/>
              </w:rPr>
              <w:t>Luaces</w:t>
            </w:r>
            <w:proofErr w:type="spellEnd"/>
            <w:r w:rsidRPr="0083433F">
              <w:rPr>
                <w:sz w:val="20"/>
                <w:szCs w:val="20"/>
              </w:rPr>
              <w:t xml:space="preserve"> Hernández</w:t>
            </w:r>
          </w:p>
        </w:tc>
        <w:tc>
          <w:tcPr>
            <w:tcW w:w="2500" w:type="pct"/>
          </w:tcPr>
          <w:p w14:paraId="4F563059" w14:textId="77777777" w:rsidR="00040D6A" w:rsidRPr="0083433F" w:rsidRDefault="00040D6A" w:rsidP="00C01236">
            <w:pPr>
              <w:jc w:val="center"/>
              <w:rPr>
                <w:sz w:val="20"/>
                <w:szCs w:val="20"/>
                <w:lang w:val="pt-BR"/>
              </w:rPr>
            </w:pPr>
            <w:r w:rsidRPr="0083433F">
              <w:rPr>
                <w:sz w:val="20"/>
                <w:szCs w:val="20"/>
                <w:lang w:val="pt-BR"/>
              </w:rPr>
              <w:t xml:space="preserve">D. </w:t>
            </w:r>
            <w:r w:rsidRPr="0083433F">
              <w:rPr>
                <w:sz w:val="20"/>
                <w:szCs w:val="20"/>
              </w:rPr>
              <w:t xml:space="preserve">David </w:t>
            </w:r>
            <w:proofErr w:type="spellStart"/>
            <w:r w:rsidRPr="0083433F">
              <w:rPr>
                <w:sz w:val="20"/>
                <w:szCs w:val="20"/>
              </w:rPr>
              <w:t>Mille</w:t>
            </w:r>
            <w:proofErr w:type="spellEnd"/>
            <w:r w:rsidRPr="0083433F">
              <w:rPr>
                <w:sz w:val="20"/>
                <w:szCs w:val="20"/>
              </w:rPr>
              <w:t xml:space="preserve"> Pomposo</w:t>
            </w:r>
          </w:p>
        </w:tc>
      </w:tr>
      <w:tr w:rsidR="00040D6A" w:rsidRPr="00D15C58" w14:paraId="46388347" w14:textId="77777777" w:rsidTr="006E6F4D">
        <w:trPr>
          <w:trHeight w:val="1361"/>
        </w:trPr>
        <w:tc>
          <w:tcPr>
            <w:tcW w:w="2500" w:type="pct"/>
          </w:tcPr>
          <w:p w14:paraId="11CD00E4" w14:textId="77777777" w:rsidR="00040D6A" w:rsidRPr="00040D6A" w:rsidRDefault="00040D6A" w:rsidP="00C01236">
            <w:pPr>
              <w:jc w:val="center"/>
              <w:rPr>
                <w:sz w:val="20"/>
                <w:szCs w:val="20"/>
              </w:rPr>
            </w:pPr>
            <w:r w:rsidRPr="0083433F">
              <w:rPr>
                <w:sz w:val="20"/>
                <w:szCs w:val="20"/>
              </w:rPr>
              <w:t>Dª. María Isabel Méndez Almenara</w:t>
            </w:r>
          </w:p>
        </w:tc>
        <w:tc>
          <w:tcPr>
            <w:tcW w:w="2500" w:type="pct"/>
          </w:tcPr>
          <w:p w14:paraId="00A7F396" w14:textId="77777777" w:rsidR="00040D6A" w:rsidRPr="00040D6A" w:rsidRDefault="00040D6A" w:rsidP="00C01236">
            <w:pPr>
              <w:jc w:val="center"/>
              <w:rPr>
                <w:sz w:val="20"/>
                <w:szCs w:val="20"/>
                <w:lang w:val="pt-BR"/>
              </w:rPr>
            </w:pPr>
          </w:p>
        </w:tc>
      </w:tr>
    </w:tbl>
    <w:p w14:paraId="01112712" w14:textId="77777777" w:rsidR="00D95B27" w:rsidRPr="00852114" w:rsidRDefault="00D95B27" w:rsidP="00040D6A">
      <w:pPr>
        <w:pStyle w:val="bullet"/>
        <w:numPr>
          <w:ilvl w:val="0"/>
          <w:numId w:val="0"/>
        </w:numPr>
        <w:rPr>
          <w:sz w:val="20"/>
          <w:szCs w:val="20"/>
          <w:lang w:val="es-ES"/>
        </w:rPr>
      </w:pPr>
    </w:p>
    <w:sectPr w:rsidR="00D95B27" w:rsidRPr="00852114" w:rsidSect="00C52F68">
      <w:headerReference w:type="default" r:id="rId14"/>
      <w:footerReference w:type="default" r:id="rId15"/>
      <w:pgSz w:w="11900" w:h="16840" w:code="9"/>
      <w:pgMar w:top="1701" w:right="1418" w:bottom="1418" w:left="1701" w:header="124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E40F" w14:textId="77777777" w:rsidR="0009429D" w:rsidRDefault="0009429D" w:rsidP="00A06021">
      <w:r>
        <w:separator/>
      </w:r>
    </w:p>
  </w:endnote>
  <w:endnote w:type="continuationSeparator" w:id="0">
    <w:p w14:paraId="1E721420" w14:textId="77777777" w:rsidR="0009429D" w:rsidRDefault="0009429D"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Frutiger-Bold">
    <w:altName w:val="Times New Roman"/>
    <w:charset w:val="00"/>
    <w:family w:val="auto"/>
    <w:pitch w:val="variable"/>
    <w:sig w:usb0="800000A3" w:usb1="00000000" w:usb2="00000000" w:usb3="00000000" w:csb0="00000009"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3022615"/>
      <w:docPartObj>
        <w:docPartGallery w:val="Page Numbers (Bottom of Page)"/>
        <w:docPartUnique/>
      </w:docPartObj>
    </w:sdtPr>
    <w:sdtEndPr>
      <w:rPr>
        <w:sz w:val="18"/>
        <w:szCs w:val="18"/>
      </w:rPr>
    </w:sdtEndPr>
    <w:sdtContent>
      <w:sdt>
        <w:sdtPr>
          <w:rPr>
            <w:sz w:val="18"/>
            <w:szCs w:val="18"/>
          </w:rPr>
          <w:id w:val="-1259218990"/>
          <w:docPartObj>
            <w:docPartGallery w:val="Page Numbers (Top of Page)"/>
            <w:docPartUnique/>
          </w:docPartObj>
        </w:sdtPr>
        <w:sdtEndPr/>
        <w:sdtContent>
          <w:p w14:paraId="00751285" w14:textId="0F5F3068" w:rsidR="00176BA0" w:rsidRPr="002E3C11" w:rsidRDefault="00176BA0" w:rsidP="0045206D">
            <w:pPr>
              <w:pStyle w:val="Piedepgina"/>
              <w:jc w:val="right"/>
              <w:rPr>
                <w:sz w:val="18"/>
                <w:szCs w:val="18"/>
              </w:rPr>
            </w:pPr>
            <w:r w:rsidRPr="002E3C11">
              <w:rPr>
                <w:b/>
                <w:noProof/>
                <w:sz w:val="18"/>
                <w:szCs w:val="18"/>
                <w:lang w:eastAsia="es-ES"/>
              </w:rPr>
              <w:drawing>
                <wp:anchor distT="0" distB="0" distL="114300" distR="114300" simplePos="0" relativeHeight="251689984" behindDoc="1" locked="0" layoutInCell="1" allowOverlap="1" wp14:anchorId="5F69B0A1" wp14:editId="74AA03F3">
                  <wp:simplePos x="0" y="0"/>
                  <wp:positionH relativeFrom="page">
                    <wp:posOffset>-124970</wp:posOffset>
                  </wp:positionH>
                  <wp:positionV relativeFrom="paragraph">
                    <wp:posOffset>975581</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sidRPr="002E3C11">
              <w:rPr>
                <w:sz w:val="18"/>
                <w:szCs w:val="18"/>
              </w:rPr>
              <w:t xml:space="preserve">Página </w:t>
            </w:r>
            <w:r w:rsidRPr="002E3C11">
              <w:rPr>
                <w:sz w:val="18"/>
                <w:szCs w:val="18"/>
              </w:rPr>
              <w:fldChar w:fldCharType="begin"/>
            </w:r>
            <w:r w:rsidRPr="002E3C11">
              <w:rPr>
                <w:sz w:val="18"/>
                <w:szCs w:val="18"/>
              </w:rPr>
              <w:instrText>PAGE</w:instrText>
            </w:r>
            <w:r w:rsidRPr="002E3C11">
              <w:rPr>
                <w:sz w:val="18"/>
                <w:szCs w:val="18"/>
              </w:rPr>
              <w:fldChar w:fldCharType="separate"/>
            </w:r>
            <w:r w:rsidRPr="002E3C11">
              <w:rPr>
                <w:noProof/>
                <w:sz w:val="18"/>
                <w:szCs w:val="18"/>
              </w:rPr>
              <w:t>35</w:t>
            </w:r>
            <w:r w:rsidRPr="002E3C11">
              <w:rPr>
                <w:sz w:val="18"/>
                <w:szCs w:val="18"/>
              </w:rPr>
              <w:fldChar w:fldCharType="end"/>
            </w:r>
            <w:r w:rsidRPr="002E3C11">
              <w:rPr>
                <w:sz w:val="18"/>
                <w:szCs w:val="18"/>
              </w:rPr>
              <w:t xml:space="preserve"> de </w:t>
            </w:r>
            <w:r>
              <w:rPr>
                <w:sz w:val="18"/>
                <w:szCs w:val="18"/>
              </w:rPr>
              <w:t>4</w:t>
            </w:r>
            <w:r w:rsidR="00C52F68">
              <w:rPr>
                <w:sz w:val="18"/>
                <w:szCs w:val="18"/>
              </w:rPr>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919B" w14:textId="77777777" w:rsidR="00176BA0" w:rsidRDefault="00176BA0" w:rsidP="001E00FD">
    <w:pPr>
      <w:pStyle w:val="Piedepgina"/>
    </w:pPr>
    <w:r>
      <w:rPr>
        <w:noProof/>
        <w:lang w:eastAsia="es-ES"/>
      </w:rPr>
      <w:drawing>
        <wp:anchor distT="0" distB="0" distL="114300" distR="114300" simplePos="0" relativeHeight="251681792" behindDoc="1" locked="0" layoutInCell="1" allowOverlap="1" wp14:anchorId="7874F6C5" wp14:editId="3A2BDF46">
          <wp:simplePos x="0" y="0"/>
          <wp:positionH relativeFrom="column">
            <wp:posOffset>-486270</wp:posOffset>
          </wp:positionH>
          <wp:positionV relativeFrom="page">
            <wp:posOffset>9611173</wp:posOffset>
          </wp:positionV>
          <wp:extent cx="7111365" cy="10452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1365" cy="10452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0206407"/>
      <w:docPartObj>
        <w:docPartGallery w:val="Page Numbers (Bottom of Page)"/>
        <w:docPartUnique/>
      </w:docPartObj>
    </w:sdtPr>
    <w:sdtEndPr/>
    <w:sdtContent>
      <w:p w14:paraId="6A53E1AC" w14:textId="0C463D8C" w:rsidR="00176BA0" w:rsidRPr="00E34164" w:rsidRDefault="00702DB0" w:rsidP="0073325C">
        <w:pPr>
          <w:pStyle w:val="Piedepgina"/>
          <w:jc w:val="right"/>
          <w:rPr>
            <w:sz w:val="18"/>
            <w:szCs w:val="18"/>
          </w:rPr>
        </w:pPr>
        <w:sdt>
          <w:sdtPr>
            <w:rPr>
              <w:sz w:val="18"/>
              <w:szCs w:val="18"/>
            </w:rPr>
            <w:id w:val="365097293"/>
            <w:docPartObj>
              <w:docPartGallery w:val="Page Numbers (Top of Page)"/>
              <w:docPartUnique/>
            </w:docPartObj>
          </w:sdtPr>
          <w:sdtEndPr/>
          <w:sdtContent>
            <w:r w:rsidR="00176BA0" w:rsidRPr="00E34164">
              <w:rPr>
                <w:b/>
                <w:noProof/>
                <w:sz w:val="18"/>
                <w:szCs w:val="18"/>
                <w:lang w:eastAsia="es-ES"/>
              </w:rPr>
              <w:drawing>
                <wp:anchor distT="0" distB="0" distL="114300" distR="114300" simplePos="0" relativeHeight="251694080" behindDoc="1" locked="0" layoutInCell="1" allowOverlap="1" wp14:anchorId="7DBBE055" wp14:editId="2B9A0C60">
                  <wp:simplePos x="0" y="0"/>
                  <wp:positionH relativeFrom="page">
                    <wp:posOffset>-124970</wp:posOffset>
                  </wp:positionH>
                  <wp:positionV relativeFrom="paragraph">
                    <wp:posOffset>975581</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sidR="00176BA0" w:rsidRPr="00E34164">
              <w:rPr>
                <w:sz w:val="18"/>
                <w:szCs w:val="18"/>
              </w:rPr>
              <w:t xml:space="preserve">Página </w:t>
            </w:r>
            <w:r w:rsidR="00176BA0" w:rsidRPr="00E34164">
              <w:rPr>
                <w:sz w:val="18"/>
                <w:szCs w:val="18"/>
              </w:rPr>
              <w:fldChar w:fldCharType="begin"/>
            </w:r>
            <w:r w:rsidR="00176BA0" w:rsidRPr="00E34164">
              <w:rPr>
                <w:sz w:val="18"/>
                <w:szCs w:val="18"/>
              </w:rPr>
              <w:instrText>PAGE</w:instrText>
            </w:r>
            <w:r w:rsidR="00176BA0" w:rsidRPr="00E34164">
              <w:rPr>
                <w:sz w:val="18"/>
                <w:szCs w:val="18"/>
              </w:rPr>
              <w:fldChar w:fldCharType="separate"/>
            </w:r>
            <w:r w:rsidR="00176BA0" w:rsidRPr="00E34164">
              <w:rPr>
                <w:noProof/>
                <w:sz w:val="18"/>
                <w:szCs w:val="18"/>
              </w:rPr>
              <w:t>36</w:t>
            </w:r>
            <w:r w:rsidR="00176BA0" w:rsidRPr="00E34164">
              <w:rPr>
                <w:sz w:val="18"/>
                <w:szCs w:val="18"/>
              </w:rPr>
              <w:fldChar w:fldCharType="end"/>
            </w:r>
            <w:r w:rsidR="00176BA0" w:rsidRPr="00E34164">
              <w:rPr>
                <w:sz w:val="18"/>
                <w:szCs w:val="18"/>
              </w:rPr>
              <w:t xml:space="preserve"> de </w:t>
            </w:r>
            <w:r w:rsidR="00176BA0">
              <w:rPr>
                <w:sz w:val="18"/>
                <w:szCs w:val="18"/>
              </w:rPr>
              <w:t>4</w:t>
            </w:r>
            <w:r w:rsidR="00C52F68">
              <w:rPr>
                <w:sz w:val="18"/>
                <w:szCs w:val="18"/>
              </w:rPr>
              <w:t>3</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3C0F" w14:textId="77777777" w:rsidR="0009429D" w:rsidRDefault="0009429D" w:rsidP="00A06021">
      <w:r>
        <w:separator/>
      </w:r>
    </w:p>
  </w:footnote>
  <w:footnote w:type="continuationSeparator" w:id="0">
    <w:p w14:paraId="729F2F47" w14:textId="77777777" w:rsidR="0009429D" w:rsidRDefault="0009429D"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A4D4" w14:textId="77777777" w:rsidR="00176BA0" w:rsidRDefault="00176BA0" w:rsidP="003849D9">
    <w:pPr>
      <w:pStyle w:val="Encabezado"/>
      <w:rPr>
        <w:b/>
        <w:snapToGrid w:val="0"/>
        <w:sz w:val="20"/>
      </w:rPr>
    </w:pPr>
    <w:r>
      <w:rPr>
        <w:b/>
        <w:noProof/>
        <w:lang w:eastAsia="es-ES"/>
      </w:rPr>
      <w:drawing>
        <wp:anchor distT="0" distB="0" distL="114300" distR="114300" simplePos="0" relativeHeight="251686911" behindDoc="1" locked="0" layoutInCell="1" allowOverlap="1" wp14:anchorId="065374C5" wp14:editId="6122B1D5">
          <wp:simplePos x="0" y="0"/>
          <wp:positionH relativeFrom="page">
            <wp:align>right</wp:align>
          </wp:positionH>
          <wp:positionV relativeFrom="paragraph">
            <wp:posOffset>-753745</wp:posOffset>
          </wp:positionV>
          <wp:extent cx="7679055" cy="1148080"/>
          <wp:effectExtent l="0" t="0" r="0" b="0"/>
          <wp:wrapTight wrapText="bothSides">
            <wp:wrapPolygon edited="0">
              <wp:start x="3161" y="6093"/>
              <wp:lineTo x="3161" y="16487"/>
              <wp:lineTo x="3483" y="16487"/>
              <wp:lineTo x="17897" y="15412"/>
              <wp:lineTo x="18272" y="12903"/>
              <wp:lineTo x="17844" y="12544"/>
              <wp:lineTo x="17897" y="11111"/>
              <wp:lineTo x="17469" y="9677"/>
              <wp:lineTo x="16075" y="6093"/>
              <wp:lineTo x="3161" y="6093"/>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148080"/>
                  </a:xfrm>
                  <a:prstGeom prst="rect">
                    <a:avLst/>
                  </a:prstGeom>
                </pic:spPr>
              </pic:pic>
            </a:graphicData>
          </a:graphic>
          <wp14:sizeRelH relativeFrom="page">
            <wp14:pctWidth>0</wp14:pctWidth>
          </wp14:sizeRelH>
          <wp14:sizeRelV relativeFrom="page">
            <wp14:pctHeight>0</wp14:pctHeight>
          </wp14:sizeRelV>
        </wp:anchor>
      </w:drawing>
    </w:r>
  </w:p>
  <w:p w14:paraId="18D63D59" w14:textId="09854D4D" w:rsidR="00176BA0" w:rsidRPr="003A4111" w:rsidRDefault="00176BA0" w:rsidP="003849D9">
    <w:pPr>
      <w:pStyle w:val="Encabezado"/>
      <w:rPr>
        <w:i/>
        <w:sz w:val="18"/>
        <w:szCs w:val="18"/>
      </w:rPr>
    </w:pPr>
    <w:r w:rsidRPr="003A4111">
      <w:rPr>
        <w:i/>
        <w:snapToGrid w:val="0"/>
        <w:sz w:val="18"/>
        <w:szCs w:val="18"/>
      </w:rPr>
      <w:t>Cuentas Anuales de Promotur Turism</w:t>
    </w:r>
    <w:r>
      <w:rPr>
        <w:i/>
        <w:snapToGrid w:val="0"/>
        <w:sz w:val="18"/>
        <w:szCs w:val="18"/>
      </w:rPr>
      <w:t>o Canarias, S.A. – Ejercicio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9807" w14:textId="77777777" w:rsidR="00176BA0" w:rsidRDefault="00176BA0" w:rsidP="00A06021">
    <w:pPr>
      <w:pStyle w:val="Encabezado"/>
    </w:pPr>
    <w:r>
      <w:rPr>
        <w:b/>
        <w:noProof/>
        <w:lang w:eastAsia="es-ES"/>
      </w:rPr>
      <w:drawing>
        <wp:anchor distT="0" distB="0" distL="114300" distR="114300" simplePos="0" relativeHeight="251679744" behindDoc="1" locked="0" layoutInCell="1" allowOverlap="1" wp14:anchorId="39667DF5" wp14:editId="2BFB036F">
          <wp:simplePos x="0" y="0"/>
          <wp:positionH relativeFrom="page">
            <wp:align>right</wp:align>
          </wp:positionH>
          <wp:positionV relativeFrom="paragraph">
            <wp:posOffset>-1015776</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Pr>
        <w:b/>
        <w:noProof/>
        <w:lang w:eastAsia="es-ES"/>
      </w:rPr>
      <w:drawing>
        <wp:anchor distT="0" distB="0" distL="114300" distR="114300" simplePos="0" relativeHeight="251666432" behindDoc="1" locked="1" layoutInCell="1" allowOverlap="1" wp14:anchorId="57BF9496" wp14:editId="6BB42178">
          <wp:simplePos x="0" y="0"/>
          <wp:positionH relativeFrom="column">
            <wp:posOffset>-1102995</wp:posOffset>
          </wp:positionH>
          <wp:positionV relativeFrom="page">
            <wp:posOffset>1697990</wp:posOffset>
          </wp:positionV>
          <wp:extent cx="640715" cy="69475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1DF2" w14:textId="7916D694" w:rsidR="00176BA0" w:rsidRPr="003A4111" w:rsidRDefault="00176BA0" w:rsidP="003849D9">
    <w:pPr>
      <w:pStyle w:val="Encabezado"/>
      <w:rPr>
        <w:b/>
        <w:snapToGrid w:val="0"/>
        <w:sz w:val="18"/>
        <w:szCs w:val="18"/>
      </w:rPr>
    </w:pPr>
    <w:r>
      <w:rPr>
        <w:b/>
        <w:noProof/>
        <w:lang w:eastAsia="es-ES"/>
      </w:rPr>
      <w:drawing>
        <wp:anchor distT="0" distB="0" distL="114300" distR="114300" simplePos="0" relativeHeight="251685888" behindDoc="1" locked="0" layoutInCell="1" allowOverlap="1" wp14:anchorId="40215613" wp14:editId="069DDD09">
          <wp:simplePos x="0" y="0"/>
          <wp:positionH relativeFrom="page">
            <wp:posOffset>-88265</wp:posOffset>
          </wp:positionH>
          <wp:positionV relativeFrom="paragraph">
            <wp:posOffset>-785495</wp:posOffset>
          </wp:positionV>
          <wp:extent cx="7673340" cy="1050290"/>
          <wp:effectExtent l="0" t="0" r="0" b="0"/>
          <wp:wrapTight wrapText="bothSides">
            <wp:wrapPolygon edited="0">
              <wp:start x="3164" y="6268"/>
              <wp:lineTo x="3164" y="16455"/>
              <wp:lineTo x="3539" y="16455"/>
              <wp:lineTo x="18232" y="14888"/>
              <wp:lineTo x="18232" y="11753"/>
              <wp:lineTo x="16087" y="6268"/>
              <wp:lineTo x="3164" y="6268"/>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3340" cy="1050290"/>
                  </a:xfrm>
                  <a:prstGeom prst="rect">
                    <a:avLst/>
                  </a:prstGeom>
                </pic:spPr>
              </pic:pic>
            </a:graphicData>
          </a:graphic>
          <wp14:sizeRelH relativeFrom="page">
            <wp14:pctWidth>0</wp14:pctWidth>
          </wp14:sizeRelH>
          <wp14:sizeRelV relativeFrom="page">
            <wp14:pctHeight>0</wp14:pctHeight>
          </wp14:sizeRelV>
        </wp:anchor>
      </w:drawing>
    </w:r>
  </w:p>
  <w:p w14:paraId="6D26B284" w14:textId="250D9EBC" w:rsidR="00176BA0" w:rsidRPr="003A4111" w:rsidRDefault="00176BA0" w:rsidP="003849D9">
    <w:pPr>
      <w:pStyle w:val="Encabezado"/>
      <w:rPr>
        <w:i/>
        <w:sz w:val="18"/>
        <w:szCs w:val="18"/>
      </w:rPr>
    </w:pPr>
    <w:r w:rsidRPr="003A4111">
      <w:rPr>
        <w:i/>
        <w:snapToGrid w:val="0"/>
        <w:sz w:val="18"/>
        <w:szCs w:val="18"/>
      </w:rPr>
      <w:t xml:space="preserve">Cuentas </w:t>
    </w:r>
    <w:r>
      <w:rPr>
        <w:i/>
        <w:snapToGrid w:val="0"/>
        <w:sz w:val="18"/>
        <w:szCs w:val="18"/>
      </w:rPr>
      <w:t>a</w:t>
    </w:r>
    <w:r w:rsidRPr="003A4111">
      <w:rPr>
        <w:i/>
        <w:snapToGrid w:val="0"/>
        <w:sz w:val="18"/>
        <w:szCs w:val="18"/>
      </w:rPr>
      <w:t>nuales de Promotur Turismo</w:t>
    </w:r>
    <w:r>
      <w:rPr>
        <w:i/>
        <w:snapToGrid w:val="0"/>
        <w:sz w:val="18"/>
        <w:szCs w:val="18"/>
      </w:rPr>
      <w:t xml:space="preserve"> Canarias, S.A. – Ejercicio 2021</w:t>
    </w:r>
  </w:p>
  <w:p w14:paraId="009B577C" w14:textId="77777777" w:rsidR="00176BA0" w:rsidRDefault="00176BA0" w:rsidP="003849D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5514" w14:textId="060348A2" w:rsidR="00176BA0" w:rsidRPr="00A75530" w:rsidRDefault="00176BA0" w:rsidP="003849D9">
    <w:pPr>
      <w:pStyle w:val="Encabezado"/>
      <w:rPr>
        <w:i/>
        <w:snapToGrid w:val="0"/>
        <w:sz w:val="18"/>
        <w:szCs w:val="18"/>
      </w:rPr>
    </w:pPr>
    <w:r>
      <w:rPr>
        <w:b/>
        <w:noProof/>
        <w:lang w:eastAsia="es-ES"/>
      </w:rPr>
      <w:drawing>
        <wp:anchor distT="0" distB="0" distL="114300" distR="114300" simplePos="0" relativeHeight="251687936" behindDoc="1" locked="0" layoutInCell="1" allowOverlap="1" wp14:anchorId="62BD342C" wp14:editId="79576C13">
          <wp:simplePos x="0" y="0"/>
          <wp:positionH relativeFrom="page">
            <wp:align>right</wp:align>
          </wp:positionH>
          <wp:positionV relativeFrom="paragraph">
            <wp:posOffset>-612775</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sidRPr="00A75530">
      <w:rPr>
        <w:i/>
        <w:snapToGrid w:val="0"/>
        <w:sz w:val="18"/>
        <w:szCs w:val="18"/>
      </w:rPr>
      <w:t>Informe de Gestión de Promotur Turismo</w:t>
    </w:r>
    <w:r>
      <w:rPr>
        <w:i/>
        <w:snapToGrid w:val="0"/>
        <w:sz w:val="18"/>
        <w:szCs w:val="18"/>
      </w:rPr>
      <w:t xml:space="preserve"> Canarias, S.A. - Ejercicio 2021</w:t>
    </w:r>
  </w:p>
  <w:p w14:paraId="1984A38E" w14:textId="77777777" w:rsidR="00176BA0" w:rsidRPr="00A75530" w:rsidRDefault="00176BA0" w:rsidP="003849D9">
    <w:pPr>
      <w:pStyle w:val="Encabezado"/>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19FD" w14:textId="77777777" w:rsidR="00176BA0" w:rsidRDefault="00176BA0" w:rsidP="003849D9">
    <w:pPr>
      <w:pStyle w:val="Encabezado"/>
    </w:pPr>
    <w:r>
      <w:rPr>
        <w:b/>
        <w:noProof/>
        <w:lang w:eastAsia="es-ES"/>
      </w:rPr>
      <w:drawing>
        <wp:anchor distT="0" distB="0" distL="114300" distR="114300" simplePos="0" relativeHeight="251692032" behindDoc="1" locked="0" layoutInCell="1" allowOverlap="1" wp14:anchorId="56D1A75D" wp14:editId="564B39FF">
          <wp:simplePos x="0" y="0"/>
          <wp:positionH relativeFrom="page">
            <wp:posOffset>-128905</wp:posOffset>
          </wp:positionH>
          <wp:positionV relativeFrom="paragraph">
            <wp:posOffset>-745490</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B431FF"/>
    <w:multiLevelType w:val="hybridMultilevel"/>
    <w:tmpl w:val="8A2EB29E"/>
    <w:lvl w:ilvl="0" w:tplc="2A3CB45A">
      <w:start w:val="1"/>
      <w:numFmt w:val="lowerLetter"/>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3" w15:restartNumberingAfterBreak="0">
    <w:nsid w:val="0EA628A0"/>
    <w:multiLevelType w:val="hybridMultilevel"/>
    <w:tmpl w:val="59D0188C"/>
    <w:styleLink w:val="Estiloimportado6"/>
    <w:lvl w:ilvl="0" w:tplc="3BA46934">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AB4900A">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DF85DB4">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21F62E6C">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9D0318E">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604A5F0">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84240324">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820C29C">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8AC22F2">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5" w15:restartNumberingAfterBreak="0">
    <w:nsid w:val="12B60594"/>
    <w:multiLevelType w:val="multilevel"/>
    <w:tmpl w:val="02F0F144"/>
    <w:lvl w:ilvl="0">
      <w:start w:val="1"/>
      <w:numFmt w:val="decimal"/>
      <w:lvlText w:val="%1"/>
      <w:lvlJc w:val="left"/>
      <w:pPr>
        <w:tabs>
          <w:tab w:val="num" w:pos="595"/>
        </w:tabs>
        <w:ind w:left="595" w:hanging="595"/>
      </w:pPr>
    </w:lvl>
    <w:lvl w:ilvl="1">
      <w:start w:val="1"/>
      <w:numFmt w:val="decimal"/>
      <w:pStyle w:val="Listaconnmeros4"/>
      <w:lvlText w:val="%2"/>
      <w:lvlJc w:val="left"/>
      <w:pPr>
        <w:tabs>
          <w:tab w:val="num" w:pos="1191"/>
        </w:tabs>
        <w:ind w:left="1191" w:hanging="595"/>
      </w:pPr>
    </w:lvl>
    <w:lvl w:ilvl="2">
      <w:start w:val="1"/>
      <w:numFmt w:val="decimal"/>
      <w:pStyle w:val="Listaconnmeros5"/>
      <w:lvlText w:val="%3"/>
      <w:lvlJc w:val="left"/>
      <w:pPr>
        <w:tabs>
          <w:tab w:val="num" w:pos="1786"/>
        </w:tabs>
        <w:ind w:left="1786" w:hanging="595"/>
      </w:pPr>
    </w:lvl>
    <w:lvl w:ilvl="3">
      <w:start w:val="1"/>
      <w:numFmt w:val="decimal"/>
      <w:pStyle w:val="Listaconnmeros4"/>
      <w:lvlText w:val="%4"/>
      <w:lvlJc w:val="left"/>
      <w:pPr>
        <w:tabs>
          <w:tab w:val="num" w:pos="2381"/>
        </w:tabs>
        <w:ind w:left="2381" w:hanging="595"/>
      </w:pPr>
    </w:lvl>
    <w:lvl w:ilvl="4">
      <w:start w:val="1"/>
      <w:numFmt w:val="decimal"/>
      <w:pStyle w:val="Listaconnmeros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6" w15:restartNumberingAfterBreak="0">
    <w:nsid w:val="12CC4C02"/>
    <w:multiLevelType w:val="hybridMultilevel"/>
    <w:tmpl w:val="696E1272"/>
    <w:styleLink w:val="Estiloimportado7"/>
    <w:lvl w:ilvl="0" w:tplc="060C7B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686AA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CEB81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C4A9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9AB8E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C0BE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4E0F2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DAD5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D45C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EE6593"/>
    <w:multiLevelType w:val="hybridMultilevel"/>
    <w:tmpl w:val="696E1272"/>
    <w:numStyleLink w:val="Estiloimportado7"/>
  </w:abstractNum>
  <w:abstractNum w:abstractNumId="8" w15:restartNumberingAfterBreak="0">
    <w:nsid w:val="13A67DC1"/>
    <w:multiLevelType w:val="hybridMultilevel"/>
    <w:tmpl w:val="EA08F104"/>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42167A9"/>
    <w:multiLevelType w:val="hybridMultilevel"/>
    <w:tmpl w:val="C69CF8E0"/>
    <w:numStyleLink w:val="Estiloimportado8"/>
  </w:abstractNum>
  <w:abstractNum w:abstractNumId="10" w15:restartNumberingAfterBreak="0">
    <w:nsid w:val="1D1D25B7"/>
    <w:multiLevelType w:val="hybridMultilevel"/>
    <w:tmpl w:val="9F56135C"/>
    <w:numStyleLink w:val="Estiloimportado5"/>
  </w:abstractNum>
  <w:abstractNum w:abstractNumId="11"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B11AF5"/>
    <w:multiLevelType w:val="hybridMultilevel"/>
    <w:tmpl w:val="CE6CAF38"/>
    <w:styleLink w:val="Estiloimportado2"/>
    <w:lvl w:ilvl="0" w:tplc="7442A4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46B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5E40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BE55B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DE09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10FC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84943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92E19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D463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A86429"/>
    <w:multiLevelType w:val="hybridMultilevel"/>
    <w:tmpl w:val="6A7A424E"/>
    <w:styleLink w:val="Nmero"/>
    <w:lvl w:ilvl="0" w:tplc="FFFFFFFF">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hanging="283"/>
      </w:pPr>
      <w:rPr>
        <w:b/>
        <w:bCs/>
        <w:caps w:val="0"/>
        <w:smallCaps w:val="0"/>
        <w:strike w:val="0"/>
        <w:dstrike w:val="0"/>
        <w:outline w:val="0"/>
        <w:emboss w:val="0"/>
        <w:imprint w:val="0"/>
        <w:spacing w:val="0"/>
        <w:w w:val="100"/>
        <w:kern w:val="0"/>
        <w:position w:val="0"/>
        <w:highlight w:val="none"/>
        <w:vertAlign w:val="baseline"/>
      </w:rPr>
    </w:lvl>
    <w:lvl w:ilvl="1" w:tplc="26863B9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841ADA">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97666B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3DC3AA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FB0F1D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27A1A3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6A653AE">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BC5D3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1C754A7"/>
    <w:multiLevelType w:val="hybridMultilevel"/>
    <w:tmpl w:val="C69CF8E0"/>
    <w:styleLink w:val="Estiloimportado8"/>
    <w:lvl w:ilvl="0" w:tplc="6C2ADE76">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2C22086">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E1A5CBC">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1E4C93EA">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9E22054">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C1E9474">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BB089FB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EAE9666">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BF2B138">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1CD3AF1"/>
    <w:multiLevelType w:val="hybridMultilevel"/>
    <w:tmpl w:val="EA569B2C"/>
    <w:lvl w:ilvl="0" w:tplc="CA74425E">
      <w:start w:val="3"/>
      <w:numFmt w:val="lowerLetter"/>
      <w:lvlText w:val="%1)"/>
      <w:lvlJc w:val="left"/>
      <w:pPr>
        <w:ind w:left="644"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8" w15:restartNumberingAfterBreak="0">
    <w:nsid w:val="3AE349D9"/>
    <w:multiLevelType w:val="hybridMultilevel"/>
    <w:tmpl w:val="1346A114"/>
    <w:lvl w:ilvl="0" w:tplc="0C0A0017">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3B9494C"/>
    <w:multiLevelType w:val="hybridMultilevel"/>
    <w:tmpl w:val="D200C1D0"/>
    <w:numStyleLink w:val="Estiloimportado4"/>
  </w:abstractNum>
  <w:abstractNum w:abstractNumId="21" w15:restartNumberingAfterBreak="0">
    <w:nsid w:val="521F439E"/>
    <w:multiLevelType w:val="hybridMultilevel"/>
    <w:tmpl w:val="9F56135C"/>
    <w:styleLink w:val="Estiloimportado5"/>
    <w:lvl w:ilvl="0" w:tplc="0834242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DE39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38E3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589F6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5019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807C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02C2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3AB5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EEB31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85D330C"/>
    <w:multiLevelType w:val="hybridMultilevel"/>
    <w:tmpl w:val="689E0556"/>
    <w:lvl w:ilvl="0" w:tplc="BE623DA2">
      <w:start w:val="1"/>
      <w:numFmt w:val="decimal"/>
      <w:lvlText w:val="%1."/>
      <w:lvlJc w:val="left"/>
      <w:pPr>
        <w:tabs>
          <w:tab w:val="num" w:pos="6031"/>
        </w:tabs>
        <w:ind w:left="6031" w:hanging="360"/>
      </w:pPr>
      <w:rPr>
        <w:rFonts w:hint="default"/>
        <w:b/>
        <w:i w:val="0"/>
        <w:sz w:val="20"/>
        <w:szCs w:val="22"/>
      </w:rPr>
    </w:lvl>
    <w:lvl w:ilvl="1" w:tplc="E8443EE8">
      <w:start w:val="1"/>
      <w:numFmt w:val="lowerRoman"/>
      <w:lvlText w:val="(%2)"/>
      <w:lvlJc w:val="left"/>
      <w:pPr>
        <w:tabs>
          <w:tab w:val="num" w:pos="1800"/>
        </w:tabs>
        <w:ind w:left="1800" w:hanging="720"/>
      </w:pPr>
      <w:rPr>
        <w:rFonts w:hint="default"/>
        <w:b w:val="0"/>
        <w:i/>
        <w:sz w:val="20"/>
        <w:szCs w:val="20"/>
      </w:rPr>
    </w:lvl>
    <w:lvl w:ilvl="2" w:tplc="7C52E0C4">
      <w:start w:val="1"/>
      <w:numFmt w:val="lowerRoman"/>
      <w:lvlText w:val="(%3)"/>
      <w:lvlJc w:val="left"/>
      <w:pPr>
        <w:tabs>
          <w:tab w:val="num" w:pos="2700"/>
        </w:tabs>
        <w:ind w:left="2700" w:hanging="720"/>
      </w:pPr>
      <w:rPr>
        <w:rFonts w:hint="default"/>
        <w:b w:val="0"/>
        <w:i/>
        <w:sz w:val="20"/>
        <w:szCs w:val="20"/>
      </w:rPr>
    </w:lvl>
    <w:lvl w:ilvl="3" w:tplc="303CB2E4">
      <w:start w:val="1"/>
      <w:numFmt w:val="lowerLetter"/>
      <w:lvlText w:val="%4)"/>
      <w:lvlJc w:val="left"/>
      <w:pPr>
        <w:ind w:left="2880" w:hanging="360"/>
      </w:pPr>
      <w:rPr>
        <w:rFonts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B8C6330"/>
    <w:multiLevelType w:val="hybridMultilevel"/>
    <w:tmpl w:val="2506D886"/>
    <w:lvl w:ilvl="0" w:tplc="0BEA6550">
      <w:start w:val="1"/>
      <w:numFmt w:val="lowerLetter"/>
      <w:lvlText w:val="%1)"/>
      <w:lvlJc w:val="left"/>
      <w:pPr>
        <w:ind w:left="644" w:hanging="360"/>
      </w:pPr>
      <w:rPr>
        <w:rFonts w:hint="default"/>
        <w:i/>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ED962B4"/>
    <w:multiLevelType w:val="multilevel"/>
    <w:tmpl w:val="C29698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381ACF"/>
    <w:multiLevelType w:val="hybridMultilevel"/>
    <w:tmpl w:val="73589C56"/>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6533332C"/>
    <w:multiLevelType w:val="hybridMultilevel"/>
    <w:tmpl w:val="D200C1D0"/>
    <w:styleLink w:val="Estiloimportado4"/>
    <w:lvl w:ilvl="0" w:tplc="046017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A0DCA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84A1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92ED4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AC86F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06E43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D688A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3247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FA2B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53A2A41"/>
    <w:multiLevelType w:val="hybridMultilevel"/>
    <w:tmpl w:val="B34E4D14"/>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DDD0B3F"/>
    <w:multiLevelType w:val="hybridMultilevel"/>
    <w:tmpl w:val="CE6CAF38"/>
    <w:numStyleLink w:val="Estiloimportado2"/>
  </w:abstractNum>
  <w:abstractNum w:abstractNumId="30" w15:restartNumberingAfterBreak="0">
    <w:nsid w:val="6E730AF3"/>
    <w:multiLevelType w:val="hybridMultilevel"/>
    <w:tmpl w:val="02E45DD0"/>
    <w:numStyleLink w:val="Estiloimportado1"/>
  </w:abstractNum>
  <w:abstractNum w:abstractNumId="31" w15:restartNumberingAfterBreak="0">
    <w:nsid w:val="713B263D"/>
    <w:multiLevelType w:val="hybridMultilevel"/>
    <w:tmpl w:val="46EE7B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7">
      <w:start w:val="1"/>
      <w:numFmt w:val="lowerLetter"/>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7486167"/>
    <w:multiLevelType w:val="hybridMultilevel"/>
    <w:tmpl w:val="273C8294"/>
    <w:lvl w:ilvl="0" w:tplc="0C0A0015">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3113DD"/>
    <w:multiLevelType w:val="hybridMultilevel"/>
    <w:tmpl w:val="EDD8F5B2"/>
    <w:lvl w:ilvl="0" w:tplc="E0969F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7D904C53"/>
    <w:multiLevelType w:val="hybridMultilevel"/>
    <w:tmpl w:val="59D0188C"/>
    <w:numStyleLink w:val="Estiloimportado6"/>
  </w:abstractNum>
  <w:num w:numId="1">
    <w:abstractNumId w:val="19"/>
  </w:num>
  <w:num w:numId="2">
    <w:abstractNumId w:val="4"/>
  </w:num>
  <w:num w:numId="3">
    <w:abstractNumId w:val="28"/>
  </w:num>
  <w:num w:numId="4">
    <w:abstractNumId w:val="11"/>
  </w:num>
  <w:num w:numId="5">
    <w:abstractNumId w:val="13"/>
  </w:num>
  <w:num w:numId="6">
    <w:abstractNumId w:val="22"/>
  </w:num>
  <w:num w:numId="7">
    <w:abstractNumId w:val="0"/>
    <w:lvlOverride w:ilvl="0">
      <w:lvl w:ilvl="0">
        <w:start w:val="1"/>
        <w:numFmt w:val="bullet"/>
        <w:lvlText w:val=""/>
        <w:legacy w:legacy="1" w:legacySpace="0" w:legacyIndent="283"/>
        <w:lvlJc w:val="left"/>
        <w:pPr>
          <w:ind w:left="823" w:hanging="283"/>
        </w:pPr>
        <w:rPr>
          <w:rFonts w:ascii="Wingdings" w:hAnsi="Wingdings" w:hint="default"/>
          <w:b w:val="0"/>
          <w:i w:val="0"/>
          <w:sz w:val="24"/>
        </w:rPr>
      </w:lvl>
    </w:lvlOverride>
  </w:num>
  <w:num w:numId="8">
    <w:abstractNumId w:val="5"/>
  </w:num>
  <w:num w:numId="9">
    <w:abstractNumId w:val="2"/>
  </w:num>
  <w:num w:numId="10">
    <w:abstractNumId w:val="17"/>
  </w:num>
  <w:num w:numId="11">
    <w:abstractNumId w:val="8"/>
  </w:num>
  <w:num w:numId="12">
    <w:abstractNumId w:val="1"/>
  </w:num>
  <w:num w:numId="13">
    <w:abstractNumId w:val="25"/>
  </w:num>
  <w:num w:numId="14">
    <w:abstractNumId w:val="23"/>
  </w:num>
  <w:num w:numId="15">
    <w:abstractNumId w:val="33"/>
  </w:num>
  <w:num w:numId="16">
    <w:abstractNumId w:val="27"/>
  </w:num>
  <w:num w:numId="17">
    <w:abstractNumId w:val="24"/>
  </w:num>
  <w:num w:numId="18">
    <w:abstractNumId w:val="32"/>
  </w:num>
  <w:num w:numId="19">
    <w:abstractNumId w:val="16"/>
  </w:num>
  <w:num w:numId="20">
    <w:abstractNumId w:val="14"/>
  </w:num>
  <w:num w:numId="21">
    <w:abstractNumId w:val="18"/>
  </w:num>
  <w:num w:numId="22">
    <w:abstractNumId w:val="30"/>
  </w:num>
  <w:num w:numId="23">
    <w:abstractNumId w:val="12"/>
  </w:num>
  <w:num w:numId="24">
    <w:abstractNumId w:val="29"/>
  </w:num>
  <w:num w:numId="25">
    <w:abstractNumId w:val="26"/>
  </w:num>
  <w:num w:numId="26">
    <w:abstractNumId w:val="20"/>
  </w:num>
  <w:num w:numId="27">
    <w:abstractNumId w:val="21"/>
  </w:num>
  <w:num w:numId="28">
    <w:abstractNumId w:val="10"/>
  </w:num>
  <w:num w:numId="29">
    <w:abstractNumId w:val="3"/>
  </w:num>
  <w:num w:numId="30">
    <w:abstractNumId w:val="34"/>
  </w:num>
  <w:num w:numId="31">
    <w:abstractNumId w:val="6"/>
  </w:num>
  <w:num w:numId="32">
    <w:abstractNumId w:val="7"/>
  </w:num>
  <w:num w:numId="33">
    <w:abstractNumId w:val="15"/>
  </w:num>
  <w:num w:numId="34">
    <w:abstractNumId w:val="9"/>
  </w:num>
  <w:num w:numId="35">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A2"/>
    <w:rsid w:val="000027F9"/>
    <w:rsid w:val="000047D6"/>
    <w:rsid w:val="00005631"/>
    <w:rsid w:val="00006A70"/>
    <w:rsid w:val="00014555"/>
    <w:rsid w:val="00022891"/>
    <w:rsid w:val="00022F57"/>
    <w:rsid w:val="00023227"/>
    <w:rsid w:val="00026BFA"/>
    <w:rsid w:val="00030521"/>
    <w:rsid w:val="000322A4"/>
    <w:rsid w:val="00035595"/>
    <w:rsid w:val="00037561"/>
    <w:rsid w:val="00040D6A"/>
    <w:rsid w:val="00041856"/>
    <w:rsid w:val="000440E6"/>
    <w:rsid w:val="0004659E"/>
    <w:rsid w:val="00051D20"/>
    <w:rsid w:val="00052BF5"/>
    <w:rsid w:val="00056CDF"/>
    <w:rsid w:val="000612E0"/>
    <w:rsid w:val="00061F97"/>
    <w:rsid w:val="000623EC"/>
    <w:rsid w:val="00063EF4"/>
    <w:rsid w:val="00065019"/>
    <w:rsid w:val="00066C08"/>
    <w:rsid w:val="00067147"/>
    <w:rsid w:val="000715CB"/>
    <w:rsid w:val="00071D2C"/>
    <w:rsid w:val="000724EE"/>
    <w:rsid w:val="00075944"/>
    <w:rsid w:val="00077070"/>
    <w:rsid w:val="000778A8"/>
    <w:rsid w:val="00085996"/>
    <w:rsid w:val="000868A4"/>
    <w:rsid w:val="0009429D"/>
    <w:rsid w:val="00094C69"/>
    <w:rsid w:val="000A0387"/>
    <w:rsid w:val="000A1698"/>
    <w:rsid w:val="000A34DD"/>
    <w:rsid w:val="000A3FFB"/>
    <w:rsid w:val="000A70C7"/>
    <w:rsid w:val="000B2D3E"/>
    <w:rsid w:val="000B47C8"/>
    <w:rsid w:val="000B52AE"/>
    <w:rsid w:val="000B6D98"/>
    <w:rsid w:val="000C2B02"/>
    <w:rsid w:val="000C3260"/>
    <w:rsid w:val="000C37FA"/>
    <w:rsid w:val="000C51DB"/>
    <w:rsid w:val="000C7CE0"/>
    <w:rsid w:val="000D187A"/>
    <w:rsid w:val="000D57C6"/>
    <w:rsid w:val="000D720C"/>
    <w:rsid w:val="000D76CC"/>
    <w:rsid w:val="000E12D1"/>
    <w:rsid w:val="000E2049"/>
    <w:rsid w:val="000E486B"/>
    <w:rsid w:val="000E5182"/>
    <w:rsid w:val="000F0A0E"/>
    <w:rsid w:val="000F0BE8"/>
    <w:rsid w:val="000F190D"/>
    <w:rsid w:val="000F3823"/>
    <w:rsid w:val="000F5366"/>
    <w:rsid w:val="00102B83"/>
    <w:rsid w:val="00110AC1"/>
    <w:rsid w:val="00112D26"/>
    <w:rsid w:val="001131DF"/>
    <w:rsid w:val="00113C04"/>
    <w:rsid w:val="001145E6"/>
    <w:rsid w:val="00116267"/>
    <w:rsid w:val="00116AEF"/>
    <w:rsid w:val="0012116C"/>
    <w:rsid w:val="00121E60"/>
    <w:rsid w:val="00131D27"/>
    <w:rsid w:val="00133239"/>
    <w:rsid w:val="00135E45"/>
    <w:rsid w:val="00136A7F"/>
    <w:rsid w:val="00140586"/>
    <w:rsid w:val="00143155"/>
    <w:rsid w:val="00144303"/>
    <w:rsid w:val="00144FB3"/>
    <w:rsid w:val="0014698A"/>
    <w:rsid w:val="001476DB"/>
    <w:rsid w:val="001504BF"/>
    <w:rsid w:val="00157635"/>
    <w:rsid w:val="001604EE"/>
    <w:rsid w:val="00160F6C"/>
    <w:rsid w:val="00170181"/>
    <w:rsid w:val="0017030D"/>
    <w:rsid w:val="00173DFA"/>
    <w:rsid w:val="001743D3"/>
    <w:rsid w:val="00176581"/>
    <w:rsid w:val="00176BA0"/>
    <w:rsid w:val="00181C52"/>
    <w:rsid w:val="001823B1"/>
    <w:rsid w:val="00184908"/>
    <w:rsid w:val="00184A9E"/>
    <w:rsid w:val="001941F7"/>
    <w:rsid w:val="001946E6"/>
    <w:rsid w:val="00195823"/>
    <w:rsid w:val="001958DD"/>
    <w:rsid w:val="001A4656"/>
    <w:rsid w:val="001B1D99"/>
    <w:rsid w:val="001B3292"/>
    <w:rsid w:val="001B46F3"/>
    <w:rsid w:val="001B79CB"/>
    <w:rsid w:val="001B7D27"/>
    <w:rsid w:val="001B7EC0"/>
    <w:rsid w:val="001C41C7"/>
    <w:rsid w:val="001C58A9"/>
    <w:rsid w:val="001C66D9"/>
    <w:rsid w:val="001C6975"/>
    <w:rsid w:val="001C7151"/>
    <w:rsid w:val="001C7E63"/>
    <w:rsid w:val="001D2BE2"/>
    <w:rsid w:val="001D401D"/>
    <w:rsid w:val="001D4E55"/>
    <w:rsid w:val="001D6767"/>
    <w:rsid w:val="001E00FD"/>
    <w:rsid w:val="001E5EC8"/>
    <w:rsid w:val="001F49F8"/>
    <w:rsid w:val="001F5E6C"/>
    <w:rsid w:val="001F7A68"/>
    <w:rsid w:val="00200AD5"/>
    <w:rsid w:val="00200D1B"/>
    <w:rsid w:val="00203B25"/>
    <w:rsid w:val="00204098"/>
    <w:rsid w:val="00206334"/>
    <w:rsid w:val="002109C5"/>
    <w:rsid w:val="0021370E"/>
    <w:rsid w:val="00215893"/>
    <w:rsid w:val="002174D8"/>
    <w:rsid w:val="00217CEC"/>
    <w:rsid w:val="00222A9D"/>
    <w:rsid w:val="00224A31"/>
    <w:rsid w:val="0022661E"/>
    <w:rsid w:val="00232D19"/>
    <w:rsid w:val="00232FF9"/>
    <w:rsid w:val="00234CDF"/>
    <w:rsid w:val="00236065"/>
    <w:rsid w:val="00240C47"/>
    <w:rsid w:val="00241C65"/>
    <w:rsid w:val="00247EFE"/>
    <w:rsid w:val="00252876"/>
    <w:rsid w:val="0025368E"/>
    <w:rsid w:val="002536C5"/>
    <w:rsid w:val="002555C0"/>
    <w:rsid w:val="002577AD"/>
    <w:rsid w:val="00267FB3"/>
    <w:rsid w:val="00272FC9"/>
    <w:rsid w:val="00274775"/>
    <w:rsid w:val="00274EE1"/>
    <w:rsid w:val="00280EF8"/>
    <w:rsid w:val="002823AE"/>
    <w:rsid w:val="00282647"/>
    <w:rsid w:val="00282FB1"/>
    <w:rsid w:val="00283801"/>
    <w:rsid w:val="00286D62"/>
    <w:rsid w:val="0029048A"/>
    <w:rsid w:val="002917C6"/>
    <w:rsid w:val="00292276"/>
    <w:rsid w:val="0029421E"/>
    <w:rsid w:val="00296ADC"/>
    <w:rsid w:val="002972DE"/>
    <w:rsid w:val="00297CBF"/>
    <w:rsid w:val="002A12E1"/>
    <w:rsid w:val="002A3D30"/>
    <w:rsid w:val="002A444E"/>
    <w:rsid w:val="002B1377"/>
    <w:rsid w:val="002B29DF"/>
    <w:rsid w:val="002B36B3"/>
    <w:rsid w:val="002B422A"/>
    <w:rsid w:val="002B4A4B"/>
    <w:rsid w:val="002B673F"/>
    <w:rsid w:val="002B6C07"/>
    <w:rsid w:val="002B7F89"/>
    <w:rsid w:val="002C53CE"/>
    <w:rsid w:val="002C7202"/>
    <w:rsid w:val="002D1FCD"/>
    <w:rsid w:val="002D4285"/>
    <w:rsid w:val="002D429A"/>
    <w:rsid w:val="002D46EE"/>
    <w:rsid w:val="002D6427"/>
    <w:rsid w:val="002D73E2"/>
    <w:rsid w:val="002E1C4E"/>
    <w:rsid w:val="002E2791"/>
    <w:rsid w:val="002E2D28"/>
    <w:rsid w:val="002E3C11"/>
    <w:rsid w:val="002E3DE5"/>
    <w:rsid w:val="002E4354"/>
    <w:rsid w:val="002F4CCB"/>
    <w:rsid w:val="002F682F"/>
    <w:rsid w:val="00302391"/>
    <w:rsid w:val="00304D7A"/>
    <w:rsid w:val="0030596B"/>
    <w:rsid w:val="00306A4F"/>
    <w:rsid w:val="00306D4F"/>
    <w:rsid w:val="00306E28"/>
    <w:rsid w:val="0031018D"/>
    <w:rsid w:val="00312C0B"/>
    <w:rsid w:val="00321478"/>
    <w:rsid w:val="003214B8"/>
    <w:rsid w:val="00322988"/>
    <w:rsid w:val="00322D31"/>
    <w:rsid w:val="00322E9D"/>
    <w:rsid w:val="00323C6B"/>
    <w:rsid w:val="003245BF"/>
    <w:rsid w:val="003254FA"/>
    <w:rsid w:val="00325C27"/>
    <w:rsid w:val="0033779A"/>
    <w:rsid w:val="00345259"/>
    <w:rsid w:val="00345D0E"/>
    <w:rsid w:val="00346101"/>
    <w:rsid w:val="00350591"/>
    <w:rsid w:val="00352C5B"/>
    <w:rsid w:val="0035534D"/>
    <w:rsid w:val="00355E8C"/>
    <w:rsid w:val="00361A3D"/>
    <w:rsid w:val="003704B2"/>
    <w:rsid w:val="00371E52"/>
    <w:rsid w:val="003722DE"/>
    <w:rsid w:val="00374E98"/>
    <w:rsid w:val="00376FAC"/>
    <w:rsid w:val="003801D3"/>
    <w:rsid w:val="0038090B"/>
    <w:rsid w:val="00381420"/>
    <w:rsid w:val="00382980"/>
    <w:rsid w:val="003849D9"/>
    <w:rsid w:val="0039193B"/>
    <w:rsid w:val="00391C14"/>
    <w:rsid w:val="0039296B"/>
    <w:rsid w:val="00395ADC"/>
    <w:rsid w:val="00396CA4"/>
    <w:rsid w:val="003A0588"/>
    <w:rsid w:val="003A372A"/>
    <w:rsid w:val="003A4111"/>
    <w:rsid w:val="003A50C9"/>
    <w:rsid w:val="003A65CE"/>
    <w:rsid w:val="003A6C51"/>
    <w:rsid w:val="003A749C"/>
    <w:rsid w:val="003A7BAA"/>
    <w:rsid w:val="003A7C0E"/>
    <w:rsid w:val="003B2290"/>
    <w:rsid w:val="003B2544"/>
    <w:rsid w:val="003B5254"/>
    <w:rsid w:val="003B548A"/>
    <w:rsid w:val="003B6DBC"/>
    <w:rsid w:val="003C0451"/>
    <w:rsid w:val="003C1332"/>
    <w:rsid w:val="003C189C"/>
    <w:rsid w:val="003C1930"/>
    <w:rsid w:val="003D034B"/>
    <w:rsid w:val="003D08A2"/>
    <w:rsid w:val="003D1B57"/>
    <w:rsid w:val="003D1D1F"/>
    <w:rsid w:val="003D20EB"/>
    <w:rsid w:val="003D3B22"/>
    <w:rsid w:val="003D3F6E"/>
    <w:rsid w:val="003D6D7D"/>
    <w:rsid w:val="003E127C"/>
    <w:rsid w:val="003E1A27"/>
    <w:rsid w:val="003E27B2"/>
    <w:rsid w:val="003E75F6"/>
    <w:rsid w:val="003F01E0"/>
    <w:rsid w:val="00403785"/>
    <w:rsid w:val="00403F0F"/>
    <w:rsid w:val="00411493"/>
    <w:rsid w:val="0041190B"/>
    <w:rsid w:val="00411C50"/>
    <w:rsid w:val="00414B3D"/>
    <w:rsid w:val="004161BD"/>
    <w:rsid w:val="00416FC5"/>
    <w:rsid w:val="00417BE6"/>
    <w:rsid w:val="004208BD"/>
    <w:rsid w:val="00421F84"/>
    <w:rsid w:val="004227CE"/>
    <w:rsid w:val="004236F4"/>
    <w:rsid w:val="0042510C"/>
    <w:rsid w:val="004255AF"/>
    <w:rsid w:val="004261D1"/>
    <w:rsid w:val="004269B8"/>
    <w:rsid w:val="0042745B"/>
    <w:rsid w:val="00430922"/>
    <w:rsid w:val="00431587"/>
    <w:rsid w:val="004318A7"/>
    <w:rsid w:val="004331A5"/>
    <w:rsid w:val="00433906"/>
    <w:rsid w:val="00435866"/>
    <w:rsid w:val="0044471E"/>
    <w:rsid w:val="00445336"/>
    <w:rsid w:val="00447C36"/>
    <w:rsid w:val="0045206D"/>
    <w:rsid w:val="0045288C"/>
    <w:rsid w:val="00454A59"/>
    <w:rsid w:val="00456D4B"/>
    <w:rsid w:val="00457C8B"/>
    <w:rsid w:val="00462D8D"/>
    <w:rsid w:val="0046371B"/>
    <w:rsid w:val="0047053A"/>
    <w:rsid w:val="00472545"/>
    <w:rsid w:val="00472E15"/>
    <w:rsid w:val="0047349F"/>
    <w:rsid w:val="004772D1"/>
    <w:rsid w:val="004777E0"/>
    <w:rsid w:val="00484275"/>
    <w:rsid w:val="00485AF2"/>
    <w:rsid w:val="00485EDD"/>
    <w:rsid w:val="00490AC6"/>
    <w:rsid w:val="004941E4"/>
    <w:rsid w:val="004959C1"/>
    <w:rsid w:val="004965EB"/>
    <w:rsid w:val="00497BA8"/>
    <w:rsid w:val="00497BBB"/>
    <w:rsid w:val="004A104F"/>
    <w:rsid w:val="004A54EC"/>
    <w:rsid w:val="004B1700"/>
    <w:rsid w:val="004B46C7"/>
    <w:rsid w:val="004B7053"/>
    <w:rsid w:val="004C5A43"/>
    <w:rsid w:val="004C62E4"/>
    <w:rsid w:val="004D0B1C"/>
    <w:rsid w:val="004E32CD"/>
    <w:rsid w:val="004E5A86"/>
    <w:rsid w:val="004E657A"/>
    <w:rsid w:val="004E7CD6"/>
    <w:rsid w:val="004F02E4"/>
    <w:rsid w:val="004F5879"/>
    <w:rsid w:val="004F7AF3"/>
    <w:rsid w:val="00510137"/>
    <w:rsid w:val="00512261"/>
    <w:rsid w:val="00515CDC"/>
    <w:rsid w:val="005255F2"/>
    <w:rsid w:val="00526C3A"/>
    <w:rsid w:val="005339D3"/>
    <w:rsid w:val="00540FEA"/>
    <w:rsid w:val="005434FC"/>
    <w:rsid w:val="00543507"/>
    <w:rsid w:val="0054621C"/>
    <w:rsid w:val="005462D0"/>
    <w:rsid w:val="00546AFE"/>
    <w:rsid w:val="00552027"/>
    <w:rsid w:val="0055254B"/>
    <w:rsid w:val="00552684"/>
    <w:rsid w:val="00552936"/>
    <w:rsid w:val="00554C19"/>
    <w:rsid w:val="00556E1C"/>
    <w:rsid w:val="00556F48"/>
    <w:rsid w:val="00562268"/>
    <w:rsid w:val="005644E5"/>
    <w:rsid w:val="00567092"/>
    <w:rsid w:val="00571DEB"/>
    <w:rsid w:val="00572031"/>
    <w:rsid w:val="0057231A"/>
    <w:rsid w:val="00573442"/>
    <w:rsid w:val="00575E57"/>
    <w:rsid w:val="00576388"/>
    <w:rsid w:val="0058030F"/>
    <w:rsid w:val="00580F44"/>
    <w:rsid w:val="0058330F"/>
    <w:rsid w:val="00583645"/>
    <w:rsid w:val="005846A3"/>
    <w:rsid w:val="00585227"/>
    <w:rsid w:val="005873E7"/>
    <w:rsid w:val="00590594"/>
    <w:rsid w:val="00592E6A"/>
    <w:rsid w:val="00593CEC"/>
    <w:rsid w:val="005A0FA3"/>
    <w:rsid w:val="005A1911"/>
    <w:rsid w:val="005A1CFC"/>
    <w:rsid w:val="005A360B"/>
    <w:rsid w:val="005A6619"/>
    <w:rsid w:val="005A6965"/>
    <w:rsid w:val="005A6FEF"/>
    <w:rsid w:val="005B2CA4"/>
    <w:rsid w:val="005B6BD0"/>
    <w:rsid w:val="005C29A2"/>
    <w:rsid w:val="005D2B4E"/>
    <w:rsid w:val="005D3D49"/>
    <w:rsid w:val="005D7621"/>
    <w:rsid w:val="005E201B"/>
    <w:rsid w:val="005E23ED"/>
    <w:rsid w:val="005E5AD2"/>
    <w:rsid w:val="005E66DC"/>
    <w:rsid w:val="005E7BDC"/>
    <w:rsid w:val="005F6BBE"/>
    <w:rsid w:val="00601586"/>
    <w:rsid w:val="00601A06"/>
    <w:rsid w:val="00603985"/>
    <w:rsid w:val="00604402"/>
    <w:rsid w:val="00615565"/>
    <w:rsid w:val="006220A2"/>
    <w:rsid w:val="006248B7"/>
    <w:rsid w:val="0062683D"/>
    <w:rsid w:val="0063334D"/>
    <w:rsid w:val="0063457A"/>
    <w:rsid w:val="00634704"/>
    <w:rsid w:val="0063724F"/>
    <w:rsid w:val="00640101"/>
    <w:rsid w:val="0064184F"/>
    <w:rsid w:val="00644201"/>
    <w:rsid w:val="00646619"/>
    <w:rsid w:val="006523E1"/>
    <w:rsid w:val="00652744"/>
    <w:rsid w:val="00652FA1"/>
    <w:rsid w:val="00653214"/>
    <w:rsid w:val="006579C4"/>
    <w:rsid w:val="006617F6"/>
    <w:rsid w:val="00663F02"/>
    <w:rsid w:val="00664EB9"/>
    <w:rsid w:val="00667183"/>
    <w:rsid w:val="00667463"/>
    <w:rsid w:val="0066765D"/>
    <w:rsid w:val="006748A4"/>
    <w:rsid w:val="00674AB4"/>
    <w:rsid w:val="006801C1"/>
    <w:rsid w:val="00680448"/>
    <w:rsid w:val="0068399C"/>
    <w:rsid w:val="00685956"/>
    <w:rsid w:val="00685F35"/>
    <w:rsid w:val="00691B37"/>
    <w:rsid w:val="00691F3B"/>
    <w:rsid w:val="00693BB6"/>
    <w:rsid w:val="00694E39"/>
    <w:rsid w:val="0069591A"/>
    <w:rsid w:val="006A1502"/>
    <w:rsid w:val="006A4779"/>
    <w:rsid w:val="006A5379"/>
    <w:rsid w:val="006B5B03"/>
    <w:rsid w:val="006B7ECA"/>
    <w:rsid w:val="006C2D55"/>
    <w:rsid w:val="006C4782"/>
    <w:rsid w:val="006C61B5"/>
    <w:rsid w:val="006C6979"/>
    <w:rsid w:val="006D2B5D"/>
    <w:rsid w:val="006D30E7"/>
    <w:rsid w:val="006D373F"/>
    <w:rsid w:val="006D37A3"/>
    <w:rsid w:val="006D42A8"/>
    <w:rsid w:val="006D502E"/>
    <w:rsid w:val="006D5571"/>
    <w:rsid w:val="006D5DC1"/>
    <w:rsid w:val="006E21EB"/>
    <w:rsid w:val="006E2A92"/>
    <w:rsid w:val="006E3FEF"/>
    <w:rsid w:val="006E5A24"/>
    <w:rsid w:val="006E6F4D"/>
    <w:rsid w:val="006E72F2"/>
    <w:rsid w:val="006F5361"/>
    <w:rsid w:val="006F5F89"/>
    <w:rsid w:val="00701735"/>
    <w:rsid w:val="007022BA"/>
    <w:rsid w:val="00702391"/>
    <w:rsid w:val="00702DB0"/>
    <w:rsid w:val="00706DDF"/>
    <w:rsid w:val="007078BF"/>
    <w:rsid w:val="00710A40"/>
    <w:rsid w:val="0071126B"/>
    <w:rsid w:val="00714155"/>
    <w:rsid w:val="00716059"/>
    <w:rsid w:val="00716A99"/>
    <w:rsid w:val="007210BA"/>
    <w:rsid w:val="00723F3F"/>
    <w:rsid w:val="00724D7B"/>
    <w:rsid w:val="00725815"/>
    <w:rsid w:val="00725A7D"/>
    <w:rsid w:val="00725D74"/>
    <w:rsid w:val="0073325C"/>
    <w:rsid w:val="00734BAD"/>
    <w:rsid w:val="007413EB"/>
    <w:rsid w:val="00743C43"/>
    <w:rsid w:val="00744388"/>
    <w:rsid w:val="00750A62"/>
    <w:rsid w:val="00754309"/>
    <w:rsid w:val="00754640"/>
    <w:rsid w:val="00754BAD"/>
    <w:rsid w:val="0075517F"/>
    <w:rsid w:val="0075646D"/>
    <w:rsid w:val="00756961"/>
    <w:rsid w:val="0075792A"/>
    <w:rsid w:val="007579CC"/>
    <w:rsid w:val="007639B1"/>
    <w:rsid w:val="00767602"/>
    <w:rsid w:val="007714E0"/>
    <w:rsid w:val="007804E8"/>
    <w:rsid w:val="00781F0B"/>
    <w:rsid w:val="007825C6"/>
    <w:rsid w:val="00784500"/>
    <w:rsid w:val="00784A95"/>
    <w:rsid w:val="0078563B"/>
    <w:rsid w:val="00785864"/>
    <w:rsid w:val="00787B38"/>
    <w:rsid w:val="00791951"/>
    <w:rsid w:val="00791EA5"/>
    <w:rsid w:val="00792C0E"/>
    <w:rsid w:val="00797DBD"/>
    <w:rsid w:val="007A0EB8"/>
    <w:rsid w:val="007A6B38"/>
    <w:rsid w:val="007B1AD4"/>
    <w:rsid w:val="007B20B9"/>
    <w:rsid w:val="007B27DA"/>
    <w:rsid w:val="007B4E43"/>
    <w:rsid w:val="007B55EF"/>
    <w:rsid w:val="007B6698"/>
    <w:rsid w:val="007B6A11"/>
    <w:rsid w:val="007C425D"/>
    <w:rsid w:val="007C7F1C"/>
    <w:rsid w:val="007D28E0"/>
    <w:rsid w:val="007E0B23"/>
    <w:rsid w:val="007E661F"/>
    <w:rsid w:val="007E6D2B"/>
    <w:rsid w:val="007E7835"/>
    <w:rsid w:val="007E7A97"/>
    <w:rsid w:val="007F2865"/>
    <w:rsid w:val="007F3953"/>
    <w:rsid w:val="007F48B7"/>
    <w:rsid w:val="007F5EAB"/>
    <w:rsid w:val="008002D2"/>
    <w:rsid w:val="00801015"/>
    <w:rsid w:val="00801980"/>
    <w:rsid w:val="0080257D"/>
    <w:rsid w:val="00803471"/>
    <w:rsid w:val="008046C2"/>
    <w:rsid w:val="008063DC"/>
    <w:rsid w:val="00807933"/>
    <w:rsid w:val="00807D98"/>
    <w:rsid w:val="00811681"/>
    <w:rsid w:val="00813C69"/>
    <w:rsid w:val="00814174"/>
    <w:rsid w:val="008230D3"/>
    <w:rsid w:val="00823399"/>
    <w:rsid w:val="00826EF5"/>
    <w:rsid w:val="0083127F"/>
    <w:rsid w:val="00831BAC"/>
    <w:rsid w:val="00832C26"/>
    <w:rsid w:val="008335C9"/>
    <w:rsid w:val="0083433F"/>
    <w:rsid w:val="00840DE8"/>
    <w:rsid w:val="00841182"/>
    <w:rsid w:val="008459B8"/>
    <w:rsid w:val="00851B1B"/>
    <w:rsid w:val="00852114"/>
    <w:rsid w:val="00852663"/>
    <w:rsid w:val="00856EA0"/>
    <w:rsid w:val="0086380F"/>
    <w:rsid w:val="00865454"/>
    <w:rsid w:val="00865B58"/>
    <w:rsid w:val="0087116E"/>
    <w:rsid w:val="00872E8D"/>
    <w:rsid w:val="00881880"/>
    <w:rsid w:val="0088391B"/>
    <w:rsid w:val="008842B4"/>
    <w:rsid w:val="00891AE6"/>
    <w:rsid w:val="00892DE4"/>
    <w:rsid w:val="00897398"/>
    <w:rsid w:val="00897658"/>
    <w:rsid w:val="008A1827"/>
    <w:rsid w:val="008A2B22"/>
    <w:rsid w:val="008B14CA"/>
    <w:rsid w:val="008B1A55"/>
    <w:rsid w:val="008B2F3D"/>
    <w:rsid w:val="008B4094"/>
    <w:rsid w:val="008B575B"/>
    <w:rsid w:val="008C0170"/>
    <w:rsid w:val="008C019D"/>
    <w:rsid w:val="008C63CA"/>
    <w:rsid w:val="008C7C5B"/>
    <w:rsid w:val="008D2705"/>
    <w:rsid w:val="008D275F"/>
    <w:rsid w:val="008D2839"/>
    <w:rsid w:val="008D42A8"/>
    <w:rsid w:val="008D53BF"/>
    <w:rsid w:val="008D73BD"/>
    <w:rsid w:val="008D7FF4"/>
    <w:rsid w:val="008E57E1"/>
    <w:rsid w:val="008E59B0"/>
    <w:rsid w:val="008E73A6"/>
    <w:rsid w:val="008F0420"/>
    <w:rsid w:val="008F08BE"/>
    <w:rsid w:val="008F157F"/>
    <w:rsid w:val="008F20A3"/>
    <w:rsid w:val="008F34A0"/>
    <w:rsid w:val="008F635C"/>
    <w:rsid w:val="008F72ED"/>
    <w:rsid w:val="00900988"/>
    <w:rsid w:val="00901CFD"/>
    <w:rsid w:val="00903894"/>
    <w:rsid w:val="00903C15"/>
    <w:rsid w:val="00910B13"/>
    <w:rsid w:val="009112F6"/>
    <w:rsid w:val="009123B2"/>
    <w:rsid w:val="00912E6F"/>
    <w:rsid w:val="0091748D"/>
    <w:rsid w:val="00920E21"/>
    <w:rsid w:val="00932392"/>
    <w:rsid w:val="00940461"/>
    <w:rsid w:val="0094063E"/>
    <w:rsid w:val="00945812"/>
    <w:rsid w:val="009524CA"/>
    <w:rsid w:val="009527C4"/>
    <w:rsid w:val="00954AA6"/>
    <w:rsid w:val="00954BA5"/>
    <w:rsid w:val="00956D35"/>
    <w:rsid w:val="00960471"/>
    <w:rsid w:val="00960E49"/>
    <w:rsid w:val="00961CFD"/>
    <w:rsid w:val="009642FA"/>
    <w:rsid w:val="00964D0D"/>
    <w:rsid w:val="00965BA3"/>
    <w:rsid w:val="00972FA9"/>
    <w:rsid w:val="00973506"/>
    <w:rsid w:val="00973730"/>
    <w:rsid w:val="00973D88"/>
    <w:rsid w:val="0097484D"/>
    <w:rsid w:val="00976A40"/>
    <w:rsid w:val="00977E78"/>
    <w:rsid w:val="0098694D"/>
    <w:rsid w:val="00986F8E"/>
    <w:rsid w:val="00990647"/>
    <w:rsid w:val="00990A3A"/>
    <w:rsid w:val="00990AB7"/>
    <w:rsid w:val="00991F63"/>
    <w:rsid w:val="00992840"/>
    <w:rsid w:val="009A1CDA"/>
    <w:rsid w:val="009A2A1E"/>
    <w:rsid w:val="009A334E"/>
    <w:rsid w:val="009A441A"/>
    <w:rsid w:val="009A4A35"/>
    <w:rsid w:val="009B0773"/>
    <w:rsid w:val="009B444A"/>
    <w:rsid w:val="009B51EF"/>
    <w:rsid w:val="009B6041"/>
    <w:rsid w:val="009C202C"/>
    <w:rsid w:val="009C2A23"/>
    <w:rsid w:val="009C441C"/>
    <w:rsid w:val="009C6D31"/>
    <w:rsid w:val="009C72B4"/>
    <w:rsid w:val="009C7621"/>
    <w:rsid w:val="009D0745"/>
    <w:rsid w:val="009D5C40"/>
    <w:rsid w:val="009E1CF7"/>
    <w:rsid w:val="009E2926"/>
    <w:rsid w:val="009E2F2D"/>
    <w:rsid w:val="009E3E60"/>
    <w:rsid w:val="009E4433"/>
    <w:rsid w:val="009E45BB"/>
    <w:rsid w:val="009F3016"/>
    <w:rsid w:val="009F348E"/>
    <w:rsid w:val="009F5973"/>
    <w:rsid w:val="009F6B6F"/>
    <w:rsid w:val="009F6DA0"/>
    <w:rsid w:val="009F7D5D"/>
    <w:rsid w:val="00A009EA"/>
    <w:rsid w:val="00A039AB"/>
    <w:rsid w:val="00A04128"/>
    <w:rsid w:val="00A05A11"/>
    <w:rsid w:val="00A06021"/>
    <w:rsid w:val="00A063E7"/>
    <w:rsid w:val="00A11A5E"/>
    <w:rsid w:val="00A1201B"/>
    <w:rsid w:val="00A121FF"/>
    <w:rsid w:val="00A14949"/>
    <w:rsid w:val="00A15557"/>
    <w:rsid w:val="00A15B2A"/>
    <w:rsid w:val="00A160CF"/>
    <w:rsid w:val="00A20743"/>
    <w:rsid w:val="00A25C02"/>
    <w:rsid w:val="00A25CEC"/>
    <w:rsid w:val="00A304AB"/>
    <w:rsid w:val="00A30AB8"/>
    <w:rsid w:val="00A34718"/>
    <w:rsid w:val="00A347E9"/>
    <w:rsid w:val="00A3680E"/>
    <w:rsid w:val="00A40E6F"/>
    <w:rsid w:val="00A4210A"/>
    <w:rsid w:val="00A42A87"/>
    <w:rsid w:val="00A47E7E"/>
    <w:rsid w:val="00A50435"/>
    <w:rsid w:val="00A5196F"/>
    <w:rsid w:val="00A526A7"/>
    <w:rsid w:val="00A54830"/>
    <w:rsid w:val="00A55920"/>
    <w:rsid w:val="00A628B2"/>
    <w:rsid w:val="00A62913"/>
    <w:rsid w:val="00A62EFB"/>
    <w:rsid w:val="00A648CF"/>
    <w:rsid w:val="00A6604E"/>
    <w:rsid w:val="00A66166"/>
    <w:rsid w:val="00A6616B"/>
    <w:rsid w:val="00A721D1"/>
    <w:rsid w:val="00A75530"/>
    <w:rsid w:val="00A76DB8"/>
    <w:rsid w:val="00A77EBF"/>
    <w:rsid w:val="00A8074D"/>
    <w:rsid w:val="00A807E1"/>
    <w:rsid w:val="00A86619"/>
    <w:rsid w:val="00A86B67"/>
    <w:rsid w:val="00A90C6C"/>
    <w:rsid w:val="00A935F4"/>
    <w:rsid w:val="00A95AD9"/>
    <w:rsid w:val="00A95D59"/>
    <w:rsid w:val="00AA190B"/>
    <w:rsid w:val="00AA4EEB"/>
    <w:rsid w:val="00AB4061"/>
    <w:rsid w:val="00AC0D8E"/>
    <w:rsid w:val="00AC0F67"/>
    <w:rsid w:val="00AC38AC"/>
    <w:rsid w:val="00AC40F6"/>
    <w:rsid w:val="00AC52D4"/>
    <w:rsid w:val="00AC7167"/>
    <w:rsid w:val="00AD73A0"/>
    <w:rsid w:val="00AD7E92"/>
    <w:rsid w:val="00AE5CFA"/>
    <w:rsid w:val="00AE6657"/>
    <w:rsid w:val="00AF19D8"/>
    <w:rsid w:val="00AF493F"/>
    <w:rsid w:val="00AF4CD2"/>
    <w:rsid w:val="00B00A6F"/>
    <w:rsid w:val="00B02419"/>
    <w:rsid w:val="00B04211"/>
    <w:rsid w:val="00B05CA5"/>
    <w:rsid w:val="00B05E03"/>
    <w:rsid w:val="00B06A04"/>
    <w:rsid w:val="00B10DE7"/>
    <w:rsid w:val="00B144A9"/>
    <w:rsid w:val="00B1785B"/>
    <w:rsid w:val="00B17C47"/>
    <w:rsid w:val="00B251C8"/>
    <w:rsid w:val="00B25C3F"/>
    <w:rsid w:val="00B30148"/>
    <w:rsid w:val="00B30832"/>
    <w:rsid w:val="00B31880"/>
    <w:rsid w:val="00B33A26"/>
    <w:rsid w:val="00B3763E"/>
    <w:rsid w:val="00B4079B"/>
    <w:rsid w:val="00B42311"/>
    <w:rsid w:val="00B46D86"/>
    <w:rsid w:val="00B546B7"/>
    <w:rsid w:val="00B615BF"/>
    <w:rsid w:val="00B6701C"/>
    <w:rsid w:val="00B67903"/>
    <w:rsid w:val="00B709F2"/>
    <w:rsid w:val="00B74D0B"/>
    <w:rsid w:val="00B84071"/>
    <w:rsid w:val="00B847DA"/>
    <w:rsid w:val="00B84CC7"/>
    <w:rsid w:val="00B84DA4"/>
    <w:rsid w:val="00B875FB"/>
    <w:rsid w:val="00B91626"/>
    <w:rsid w:val="00B93FDD"/>
    <w:rsid w:val="00B94784"/>
    <w:rsid w:val="00B961C1"/>
    <w:rsid w:val="00B96EF1"/>
    <w:rsid w:val="00BA0A03"/>
    <w:rsid w:val="00BA529E"/>
    <w:rsid w:val="00BA59D0"/>
    <w:rsid w:val="00BA74DA"/>
    <w:rsid w:val="00BB07CB"/>
    <w:rsid w:val="00BB1445"/>
    <w:rsid w:val="00BB2CD8"/>
    <w:rsid w:val="00BB4230"/>
    <w:rsid w:val="00BB5B4B"/>
    <w:rsid w:val="00BB6BB5"/>
    <w:rsid w:val="00BB6BB6"/>
    <w:rsid w:val="00BB72F7"/>
    <w:rsid w:val="00BC1D00"/>
    <w:rsid w:val="00BC3FA9"/>
    <w:rsid w:val="00BC4177"/>
    <w:rsid w:val="00BC53E0"/>
    <w:rsid w:val="00BC7948"/>
    <w:rsid w:val="00BC7B66"/>
    <w:rsid w:val="00BD10D4"/>
    <w:rsid w:val="00BD1CC5"/>
    <w:rsid w:val="00BD3B7B"/>
    <w:rsid w:val="00BD680E"/>
    <w:rsid w:val="00BE129A"/>
    <w:rsid w:val="00BE2B7B"/>
    <w:rsid w:val="00BE5DE6"/>
    <w:rsid w:val="00BE76DE"/>
    <w:rsid w:val="00BF3F0E"/>
    <w:rsid w:val="00BF47F0"/>
    <w:rsid w:val="00BF65D0"/>
    <w:rsid w:val="00BF6A88"/>
    <w:rsid w:val="00C003BB"/>
    <w:rsid w:val="00C00537"/>
    <w:rsid w:val="00C01236"/>
    <w:rsid w:val="00C01F3D"/>
    <w:rsid w:val="00C04E2C"/>
    <w:rsid w:val="00C113FE"/>
    <w:rsid w:val="00C13F57"/>
    <w:rsid w:val="00C15BD4"/>
    <w:rsid w:val="00C16578"/>
    <w:rsid w:val="00C16766"/>
    <w:rsid w:val="00C20837"/>
    <w:rsid w:val="00C2117E"/>
    <w:rsid w:val="00C251EF"/>
    <w:rsid w:val="00C447AA"/>
    <w:rsid w:val="00C44A46"/>
    <w:rsid w:val="00C52F68"/>
    <w:rsid w:val="00C554F9"/>
    <w:rsid w:val="00C56400"/>
    <w:rsid w:val="00C652D8"/>
    <w:rsid w:val="00C669BB"/>
    <w:rsid w:val="00C66D69"/>
    <w:rsid w:val="00C67F6F"/>
    <w:rsid w:val="00C73E63"/>
    <w:rsid w:val="00C75016"/>
    <w:rsid w:val="00C75886"/>
    <w:rsid w:val="00C7650F"/>
    <w:rsid w:val="00C76624"/>
    <w:rsid w:val="00C82F49"/>
    <w:rsid w:val="00C830C9"/>
    <w:rsid w:val="00C86D31"/>
    <w:rsid w:val="00C87167"/>
    <w:rsid w:val="00C87412"/>
    <w:rsid w:val="00C90531"/>
    <w:rsid w:val="00C93969"/>
    <w:rsid w:val="00C95AAF"/>
    <w:rsid w:val="00C97B50"/>
    <w:rsid w:val="00C97B7D"/>
    <w:rsid w:val="00CA02DE"/>
    <w:rsid w:val="00CA0A25"/>
    <w:rsid w:val="00CA7AF6"/>
    <w:rsid w:val="00CB003A"/>
    <w:rsid w:val="00CB02BB"/>
    <w:rsid w:val="00CC3262"/>
    <w:rsid w:val="00CC7A4A"/>
    <w:rsid w:val="00CD1281"/>
    <w:rsid w:val="00CD13D3"/>
    <w:rsid w:val="00CD26FA"/>
    <w:rsid w:val="00CD3131"/>
    <w:rsid w:val="00CD636F"/>
    <w:rsid w:val="00CD7884"/>
    <w:rsid w:val="00CE02FA"/>
    <w:rsid w:val="00CE03BE"/>
    <w:rsid w:val="00CE3C1A"/>
    <w:rsid w:val="00CE6549"/>
    <w:rsid w:val="00CE6C42"/>
    <w:rsid w:val="00CF28F6"/>
    <w:rsid w:val="00CF5A82"/>
    <w:rsid w:val="00CF69E6"/>
    <w:rsid w:val="00D00E30"/>
    <w:rsid w:val="00D01C6C"/>
    <w:rsid w:val="00D0273B"/>
    <w:rsid w:val="00D03D56"/>
    <w:rsid w:val="00D0415E"/>
    <w:rsid w:val="00D05FEC"/>
    <w:rsid w:val="00D06769"/>
    <w:rsid w:val="00D15C58"/>
    <w:rsid w:val="00D219EE"/>
    <w:rsid w:val="00D235C9"/>
    <w:rsid w:val="00D25633"/>
    <w:rsid w:val="00D26E96"/>
    <w:rsid w:val="00D3384E"/>
    <w:rsid w:val="00D34C69"/>
    <w:rsid w:val="00D357B3"/>
    <w:rsid w:val="00D36170"/>
    <w:rsid w:val="00D365EE"/>
    <w:rsid w:val="00D44970"/>
    <w:rsid w:val="00D509C6"/>
    <w:rsid w:val="00D51508"/>
    <w:rsid w:val="00D52E64"/>
    <w:rsid w:val="00D56777"/>
    <w:rsid w:val="00D57DCF"/>
    <w:rsid w:val="00D61675"/>
    <w:rsid w:val="00D63680"/>
    <w:rsid w:val="00D65DC9"/>
    <w:rsid w:val="00D66664"/>
    <w:rsid w:val="00D66995"/>
    <w:rsid w:val="00D80D91"/>
    <w:rsid w:val="00D8391F"/>
    <w:rsid w:val="00D840DF"/>
    <w:rsid w:val="00D877DD"/>
    <w:rsid w:val="00D90D20"/>
    <w:rsid w:val="00D93900"/>
    <w:rsid w:val="00D95B27"/>
    <w:rsid w:val="00DA1EFA"/>
    <w:rsid w:val="00DA5AD4"/>
    <w:rsid w:val="00DA650E"/>
    <w:rsid w:val="00DA79F6"/>
    <w:rsid w:val="00DB4135"/>
    <w:rsid w:val="00DC1493"/>
    <w:rsid w:val="00DC2490"/>
    <w:rsid w:val="00DC4561"/>
    <w:rsid w:val="00DC4B4F"/>
    <w:rsid w:val="00DD13B4"/>
    <w:rsid w:val="00DD76A2"/>
    <w:rsid w:val="00DE1DD6"/>
    <w:rsid w:val="00DE320C"/>
    <w:rsid w:val="00DF139B"/>
    <w:rsid w:val="00DF4BF7"/>
    <w:rsid w:val="00DF7E65"/>
    <w:rsid w:val="00E0430A"/>
    <w:rsid w:val="00E046AA"/>
    <w:rsid w:val="00E10974"/>
    <w:rsid w:val="00E109EE"/>
    <w:rsid w:val="00E130AA"/>
    <w:rsid w:val="00E15B19"/>
    <w:rsid w:val="00E204E5"/>
    <w:rsid w:val="00E23FE6"/>
    <w:rsid w:val="00E256FC"/>
    <w:rsid w:val="00E269EC"/>
    <w:rsid w:val="00E26F66"/>
    <w:rsid w:val="00E33393"/>
    <w:rsid w:val="00E34164"/>
    <w:rsid w:val="00E36FF0"/>
    <w:rsid w:val="00E40672"/>
    <w:rsid w:val="00E42075"/>
    <w:rsid w:val="00E46870"/>
    <w:rsid w:val="00E50CFD"/>
    <w:rsid w:val="00E50D95"/>
    <w:rsid w:val="00E575E8"/>
    <w:rsid w:val="00E605E5"/>
    <w:rsid w:val="00E61015"/>
    <w:rsid w:val="00E6315F"/>
    <w:rsid w:val="00E712D5"/>
    <w:rsid w:val="00E721DC"/>
    <w:rsid w:val="00E72AE3"/>
    <w:rsid w:val="00E76A07"/>
    <w:rsid w:val="00E8209A"/>
    <w:rsid w:val="00E823FB"/>
    <w:rsid w:val="00E87C68"/>
    <w:rsid w:val="00E906B0"/>
    <w:rsid w:val="00E90EEA"/>
    <w:rsid w:val="00E95C1B"/>
    <w:rsid w:val="00E97A0B"/>
    <w:rsid w:val="00EA53D1"/>
    <w:rsid w:val="00EB074B"/>
    <w:rsid w:val="00EB2BBD"/>
    <w:rsid w:val="00EB4DAF"/>
    <w:rsid w:val="00EB731A"/>
    <w:rsid w:val="00EC15AF"/>
    <w:rsid w:val="00EC29B8"/>
    <w:rsid w:val="00EC5A5C"/>
    <w:rsid w:val="00EC5B36"/>
    <w:rsid w:val="00EC7B18"/>
    <w:rsid w:val="00ED2A51"/>
    <w:rsid w:val="00ED5389"/>
    <w:rsid w:val="00EE2732"/>
    <w:rsid w:val="00EF0DE6"/>
    <w:rsid w:val="00EF202A"/>
    <w:rsid w:val="00EF5376"/>
    <w:rsid w:val="00EF6EBF"/>
    <w:rsid w:val="00EF7826"/>
    <w:rsid w:val="00F01829"/>
    <w:rsid w:val="00F03509"/>
    <w:rsid w:val="00F04E54"/>
    <w:rsid w:val="00F0611A"/>
    <w:rsid w:val="00F06EE1"/>
    <w:rsid w:val="00F11CDD"/>
    <w:rsid w:val="00F13106"/>
    <w:rsid w:val="00F13C69"/>
    <w:rsid w:val="00F13C6F"/>
    <w:rsid w:val="00F16643"/>
    <w:rsid w:val="00F241B7"/>
    <w:rsid w:val="00F25BCC"/>
    <w:rsid w:val="00F26194"/>
    <w:rsid w:val="00F372AF"/>
    <w:rsid w:val="00F423E2"/>
    <w:rsid w:val="00F4437C"/>
    <w:rsid w:val="00F44EAB"/>
    <w:rsid w:val="00F47B07"/>
    <w:rsid w:val="00F47B3B"/>
    <w:rsid w:val="00F5041C"/>
    <w:rsid w:val="00F50518"/>
    <w:rsid w:val="00F509FC"/>
    <w:rsid w:val="00F569D5"/>
    <w:rsid w:val="00F605FF"/>
    <w:rsid w:val="00F618D3"/>
    <w:rsid w:val="00F61C20"/>
    <w:rsid w:val="00F621B0"/>
    <w:rsid w:val="00F62799"/>
    <w:rsid w:val="00F63441"/>
    <w:rsid w:val="00F67EE5"/>
    <w:rsid w:val="00F741B4"/>
    <w:rsid w:val="00F76C5B"/>
    <w:rsid w:val="00F80C42"/>
    <w:rsid w:val="00F83F3A"/>
    <w:rsid w:val="00F86F16"/>
    <w:rsid w:val="00F9163F"/>
    <w:rsid w:val="00F92D2C"/>
    <w:rsid w:val="00F97D36"/>
    <w:rsid w:val="00FA1D48"/>
    <w:rsid w:val="00FA2F7B"/>
    <w:rsid w:val="00FA3E52"/>
    <w:rsid w:val="00FA3F42"/>
    <w:rsid w:val="00FA4067"/>
    <w:rsid w:val="00FB27C9"/>
    <w:rsid w:val="00FB4D9A"/>
    <w:rsid w:val="00FC013C"/>
    <w:rsid w:val="00FC226B"/>
    <w:rsid w:val="00FC5BBE"/>
    <w:rsid w:val="00FC70CC"/>
    <w:rsid w:val="00FC7D65"/>
    <w:rsid w:val="00FD0726"/>
    <w:rsid w:val="00FD1BEA"/>
    <w:rsid w:val="00FD445C"/>
    <w:rsid w:val="00FD5BF3"/>
    <w:rsid w:val="00FD61DC"/>
    <w:rsid w:val="00FE082B"/>
    <w:rsid w:val="00FE44A7"/>
    <w:rsid w:val="00FE7C4C"/>
    <w:rsid w:val="00FF1AF3"/>
    <w:rsid w:val="00FF35D6"/>
    <w:rsid w:val="00FF5498"/>
    <w:rsid w:val="00FF5F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65A2A5BE"/>
  <w14:defaultImageDpi w14:val="32767"/>
  <w15:chartTrackingRefBased/>
  <w15:docId w15:val="{9B689413-BF74-4976-A1C9-A2C30AAC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A2"/>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qFormat/>
    <w:rsid w:val="00A06021"/>
    <w:pPr>
      <w:numPr>
        <w:numId w:val="4"/>
      </w:numPr>
      <w:outlineLvl w:val="0"/>
    </w:pPr>
    <w:rPr>
      <w:rFonts w:ascii="Arial" w:hAnsi="Arial" w:cs="Arial"/>
      <w:b/>
    </w:rPr>
  </w:style>
  <w:style w:type="paragraph" w:styleId="Ttulo2">
    <w:name w:val="heading 2"/>
    <w:basedOn w:val="Ttulo1"/>
    <w:next w:val="Normal"/>
    <w:link w:val="Ttulo2Car"/>
    <w:unhideWhenUsed/>
    <w:qFormat/>
    <w:rsid w:val="00A06021"/>
    <w:pPr>
      <w:numPr>
        <w:ilvl w:val="1"/>
      </w:numPr>
      <w:outlineLvl w:val="1"/>
    </w:pPr>
  </w:style>
  <w:style w:type="paragraph" w:styleId="Ttulo3">
    <w:name w:val="heading 3"/>
    <w:basedOn w:val="Ttulo2"/>
    <w:next w:val="Normal"/>
    <w:link w:val="Ttulo3Car"/>
    <w:unhideWhenUsed/>
    <w:qFormat/>
    <w:rsid w:val="00A06021"/>
    <w:pPr>
      <w:numPr>
        <w:ilvl w:val="2"/>
      </w:numPr>
      <w:outlineLvl w:val="2"/>
    </w:pPr>
  </w:style>
  <w:style w:type="paragraph" w:styleId="Ttulo4">
    <w:name w:val="heading 4"/>
    <w:basedOn w:val="Normal"/>
    <w:next w:val="Normal"/>
    <w:link w:val="Ttulo4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jc w:val="both"/>
      <w:outlineLvl w:val="3"/>
    </w:pPr>
    <w:rPr>
      <w:rFonts w:ascii="CG Omega" w:eastAsia="Times New Roman" w:hAnsi="CG Omega" w:cs="Times New Roman"/>
      <w:snapToGrid w:val="0"/>
      <w:sz w:val="22"/>
      <w:szCs w:val="20"/>
      <w:u w:val="single"/>
      <w:bdr w:val="none" w:sz="0" w:space="0" w:color="auto"/>
      <w:lang w:eastAsia="es-ES"/>
    </w:rPr>
  </w:style>
  <w:style w:type="paragraph" w:styleId="Ttulo5">
    <w:name w:val="heading 5"/>
    <w:basedOn w:val="Normal"/>
    <w:next w:val="Normal"/>
    <w:link w:val="Ttulo5Car"/>
    <w:unhideWhenUsed/>
    <w:qFormat/>
    <w:rsid w:val="006220A2"/>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187" w:lineRule="exact"/>
      <w:outlineLvl w:val="5"/>
    </w:pPr>
    <w:rPr>
      <w:rFonts w:ascii="CG Omega" w:eastAsia="Times New Roman" w:hAnsi="CG Omega" w:cs="Times New Roman"/>
      <w:b/>
      <w:snapToGrid w:val="0"/>
      <w:sz w:val="20"/>
      <w:szCs w:val="20"/>
      <w:bdr w:val="none" w:sz="0" w:space="0" w:color="auto"/>
      <w:lang w:eastAsia="es-ES"/>
    </w:rPr>
  </w:style>
  <w:style w:type="paragraph" w:styleId="Ttulo7">
    <w:name w:val="heading 7"/>
    <w:basedOn w:val="Normal"/>
    <w:next w:val="Normal"/>
    <w:link w:val="Ttulo7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187" w:lineRule="exact"/>
      <w:outlineLvl w:val="6"/>
    </w:pPr>
    <w:rPr>
      <w:rFonts w:ascii="CG Omega" w:eastAsia="Times New Roman" w:hAnsi="CG Omega" w:cs="Times New Roman"/>
      <w:b/>
      <w:snapToGrid w:val="0"/>
      <w:sz w:val="18"/>
      <w:szCs w:val="20"/>
      <w:bdr w:val="none" w:sz="0" w:space="0" w:color="auto"/>
      <w:lang w:eastAsia="es-ES"/>
    </w:rPr>
  </w:style>
  <w:style w:type="paragraph" w:styleId="Ttulo8">
    <w:name w:val="heading 8"/>
    <w:basedOn w:val="Normal"/>
    <w:next w:val="Normal"/>
    <w:link w:val="Ttulo8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CG Omega" w:eastAsia="Times New Roman" w:hAnsi="CG Omega" w:cs="Times New Roman"/>
      <w:b/>
      <w:snapToGrid w:val="0"/>
      <w:sz w:val="18"/>
      <w:szCs w:val="20"/>
      <w:u w:val="single"/>
      <w:bdr w:val="none" w:sz="0" w:space="0" w:color="auto"/>
      <w:lang w:eastAsia="es-ES"/>
    </w:rPr>
  </w:style>
  <w:style w:type="paragraph" w:styleId="Ttulo9">
    <w:name w:val="heading 9"/>
    <w:basedOn w:val="Normal"/>
    <w:next w:val="Normal"/>
    <w:link w:val="Ttulo9Car"/>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8"/>
    </w:pPr>
    <w:rPr>
      <w:rFonts w:ascii="CG Omega" w:eastAsia="Times New Roman" w:hAnsi="CG Omega" w:cs="Times New Roman"/>
      <w:b/>
      <w:snapToGrid w:val="0"/>
      <w:sz w:val="18"/>
      <w:szCs w:val="20"/>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uiPriority w:val="34"/>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2"/>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3"/>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nhideWhenUsed/>
    <w:rsid w:val="0075646D"/>
    <w:rPr>
      <w:color w:val="0563C1" w:themeColor="hyperlink"/>
      <w:u w:val="single"/>
    </w:rPr>
  </w:style>
  <w:style w:type="character" w:customStyle="1" w:styleId="Ttulo1Car">
    <w:name w:val="Título 1 Car"/>
    <w:basedOn w:val="Fuentedeprrafopredeter"/>
    <w:link w:val="Ttulo1"/>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5"/>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customStyle="1" w:styleId="TextePrinc">
    <w:name w:val="TextePrin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textAlignment w:val="baseline"/>
      <w:outlineLvl w:val="9"/>
    </w:pPr>
    <w:rPr>
      <w:rFonts w:eastAsia="Times New Roman" w:cs="Times New Roman"/>
      <w:noProof/>
      <w:sz w:val="18"/>
      <w:szCs w:val="20"/>
      <w:bdr w:val="none" w:sz="0" w:space="0" w:color="auto"/>
      <w:lang w:eastAsia="es-ES"/>
    </w:rPr>
  </w:style>
  <w:style w:type="character" w:customStyle="1" w:styleId="Ttulo5Car">
    <w:name w:val="Título 5 Car"/>
    <w:basedOn w:val="Fuentedeprrafopredeter"/>
    <w:link w:val="Ttulo5"/>
    <w:rsid w:val="006220A2"/>
    <w:rPr>
      <w:rFonts w:asciiTheme="majorHAnsi" w:eastAsiaTheme="majorEastAsia" w:hAnsiTheme="majorHAnsi" w:cstheme="majorBidi"/>
      <w:color w:val="2F5496" w:themeColor="accent1" w:themeShade="BF"/>
      <w:u w:color="000000"/>
      <w:bdr w:val="nil"/>
      <w:lang w:val="es-ES" w:eastAsia="es-ES_tradnl"/>
    </w:rPr>
  </w:style>
  <w:style w:type="character" w:customStyle="1" w:styleId="Ttulo4Car">
    <w:name w:val="Título 4 Car"/>
    <w:basedOn w:val="Fuentedeprrafopredeter"/>
    <w:link w:val="Ttulo4"/>
    <w:rsid w:val="006220A2"/>
    <w:rPr>
      <w:rFonts w:ascii="CG Omega" w:eastAsia="Times New Roman" w:hAnsi="CG Omega" w:cs="Times New Roman"/>
      <w:snapToGrid w:val="0"/>
      <w:color w:val="000000"/>
      <w:sz w:val="22"/>
      <w:szCs w:val="20"/>
      <w:u w:val="single" w:color="000000"/>
      <w:lang w:val="es-ES" w:eastAsia="es-ES"/>
    </w:rPr>
  </w:style>
  <w:style w:type="character" w:customStyle="1" w:styleId="Ttulo6Car">
    <w:name w:val="Título 6 Car"/>
    <w:basedOn w:val="Fuentedeprrafopredeter"/>
    <w:link w:val="Ttulo6"/>
    <w:rsid w:val="006220A2"/>
    <w:rPr>
      <w:rFonts w:ascii="CG Omega" w:eastAsia="Times New Roman" w:hAnsi="CG Omega" w:cs="Times New Roman"/>
      <w:b/>
      <w:snapToGrid w:val="0"/>
      <w:color w:val="000000"/>
      <w:sz w:val="20"/>
      <w:szCs w:val="20"/>
      <w:u w:color="000000"/>
      <w:lang w:val="es-ES" w:eastAsia="es-ES"/>
    </w:rPr>
  </w:style>
  <w:style w:type="character" w:customStyle="1" w:styleId="Ttulo7Car">
    <w:name w:val="Título 7 Car"/>
    <w:basedOn w:val="Fuentedeprrafopredeter"/>
    <w:link w:val="Ttulo7"/>
    <w:rsid w:val="006220A2"/>
    <w:rPr>
      <w:rFonts w:ascii="CG Omega" w:eastAsia="Times New Roman" w:hAnsi="CG Omega" w:cs="Times New Roman"/>
      <w:b/>
      <w:snapToGrid w:val="0"/>
      <w:color w:val="000000"/>
      <w:sz w:val="18"/>
      <w:szCs w:val="20"/>
      <w:u w:color="000000"/>
      <w:lang w:val="es-ES" w:eastAsia="es-ES"/>
    </w:rPr>
  </w:style>
  <w:style w:type="character" w:customStyle="1" w:styleId="Ttulo8Car">
    <w:name w:val="Título 8 Car"/>
    <w:basedOn w:val="Fuentedeprrafopredeter"/>
    <w:link w:val="Ttulo8"/>
    <w:rsid w:val="006220A2"/>
    <w:rPr>
      <w:rFonts w:ascii="CG Omega" w:eastAsia="Times New Roman" w:hAnsi="CG Omega" w:cs="Times New Roman"/>
      <w:b/>
      <w:snapToGrid w:val="0"/>
      <w:color w:val="000000"/>
      <w:sz w:val="18"/>
      <w:szCs w:val="20"/>
      <w:u w:val="single" w:color="000000"/>
      <w:lang w:val="es-ES" w:eastAsia="es-ES"/>
    </w:rPr>
  </w:style>
  <w:style w:type="character" w:customStyle="1" w:styleId="Ttulo9Car">
    <w:name w:val="Título 9 Car"/>
    <w:basedOn w:val="Fuentedeprrafopredeter"/>
    <w:link w:val="Ttulo9"/>
    <w:rsid w:val="006220A2"/>
    <w:rPr>
      <w:rFonts w:ascii="CG Omega" w:eastAsia="Times New Roman" w:hAnsi="CG Omega" w:cs="Times New Roman"/>
      <w:b/>
      <w:snapToGrid w:val="0"/>
      <w:color w:val="000000"/>
      <w:sz w:val="18"/>
      <w:szCs w:val="20"/>
      <w:u w:color="000000"/>
      <w:lang w:val="es-ES" w:eastAsia="es-ES"/>
    </w:rPr>
  </w:style>
  <w:style w:type="character" w:styleId="Nmerodepgina">
    <w:name w:val="page number"/>
    <w:basedOn w:val="Fuentedeprrafopredeter"/>
    <w:rsid w:val="006220A2"/>
  </w:style>
  <w:style w:type="paragraph" w:styleId="Sangradetextonormal">
    <w:name w:val="Body Text Indent"/>
    <w:basedOn w:val="Normal"/>
    <w:link w:val="Sangradetextonormal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outlineLvl w:val="9"/>
    </w:pPr>
    <w:rPr>
      <w:rFonts w:ascii="CG Omega" w:eastAsia="Times New Roman" w:hAnsi="CG Omega" w:cs="Times New Roman"/>
      <w:snapToGrid w:val="0"/>
      <w:szCs w:val="20"/>
      <w:bdr w:val="none" w:sz="0" w:space="0" w:color="auto"/>
      <w:lang w:eastAsia="es-ES"/>
    </w:rPr>
  </w:style>
  <w:style w:type="character" w:customStyle="1" w:styleId="SangradetextonormalCar">
    <w:name w:val="Sangría de texto normal Car"/>
    <w:basedOn w:val="Fuentedeprrafopredeter"/>
    <w:link w:val="Sangradetextonormal"/>
    <w:rsid w:val="006220A2"/>
    <w:rPr>
      <w:rFonts w:ascii="CG Omega" w:eastAsia="Times New Roman" w:hAnsi="CG Omega" w:cs="Times New Roman"/>
      <w:snapToGrid w:val="0"/>
      <w:color w:val="000000"/>
      <w:szCs w:val="20"/>
      <w:u w:color="000000"/>
      <w:lang w:val="es-ES" w:eastAsia="es-ES"/>
    </w:rPr>
  </w:style>
  <w:style w:type="paragraph" w:styleId="Mapadeldocumento">
    <w:name w:val="Document Map"/>
    <w:basedOn w:val="Normal"/>
    <w:link w:val="MapadeldocumentoCar"/>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outlineLvl w:val="9"/>
    </w:pPr>
    <w:rPr>
      <w:rFonts w:ascii="Tahoma" w:eastAsia="Times New Roman" w:hAnsi="Tahoma" w:cs="Times New Roman"/>
      <w:color w:val="auto"/>
      <w:sz w:val="22"/>
      <w:szCs w:val="20"/>
      <w:bdr w:val="none" w:sz="0" w:space="0" w:color="auto"/>
      <w:lang w:eastAsia="en-US"/>
    </w:rPr>
  </w:style>
  <w:style w:type="character" w:customStyle="1" w:styleId="MapadeldocumentoCar">
    <w:name w:val="Mapa del documento Car"/>
    <w:basedOn w:val="Fuentedeprrafopredeter"/>
    <w:link w:val="Mapadeldocumento"/>
    <w:semiHidden/>
    <w:rsid w:val="006220A2"/>
    <w:rPr>
      <w:rFonts w:ascii="Tahoma" w:eastAsia="Times New Roman" w:hAnsi="Tahoma" w:cs="Times New Roman"/>
      <w:sz w:val="22"/>
      <w:szCs w:val="20"/>
      <w:u w:color="000000"/>
      <w:shd w:val="clear" w:color="auto" w:fill="000080"/>
      <w:lang w:val="es-ES"/>
    </w:rPr>
  </w:style>
  <w:style w:type="paragraph" w:styleId="Textoindependiente">
    <w:name w:val="Body Text"/>
    <w:basedOn w:val="Normal"/>
    <w:link w:val="Textoindependiente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G Omega" w:eastAsia="Times New Roman" w:hAnsi="CG Omega" w:cs="Times New Roman"/>
      <w:i/>
      <w:snapToGrid w:val="0"/>
      <w:color w:val="FF0000"/>
      <w:sz w:val="28"/>
      <w:szCs w:val="20"/>
      <w:bdr w:val="none" w:sz="0" w:space="0" w:color="auto"/>
      <w:lang w:eastAsia="es-ES"/>
    </w:rPr>
  </w:style>
  <w:style w:type="character" w:customStyle="1" w:styleId="TextoindependienteCar">
    <w:name w:val="Texto independiente Car"/>
    <w:basedOn w:val="Fuentedeprrafopredeter"/>
    <w:link w:val="Textoindependiente"/>
    <w:rsid w:val="006220A2"/>
    <w:rPr>
      <w:rFonts w:ascii="CG Omega" w:eastAsia="Times New Roman" w:hAnsi="CG Omega" w:cs="Times New Roman"/>
      <w:i/>
      <w:snapToGrid w:val="0"/>
      <w:color w:val="FF0000"/>
      <w:sz w:val="28"/>
      <w:szCs w:val="20"/>
      <w:u w:color="000000"/>
      <w:lang w:val="es-ES" w:eastAsia="es-ES"/>
    </w:rPr>
  </w:style>
  <w:style w:type="paragraph" w:styleId="Sangra2detindependiente">
    <w:name w:val="Body Text Indent 2"/>
    <w:basedOn w:val="Normal"/>
    <w:link w:val="Sangra2detindependienteCar"/>
    <w:rsid w:val="006220A2"/>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outlineLvl w:val="9"/>
    </w:pPr>
    <w:rPr>
      <w:rFonts w:ascii="CG Omega" w:eastAsia="Times New Roman" w:hAnsi="CG Omega" w:cs="Times New Roman"/>
      <w:snapToGrid w:val="0"/>
      <w:sz w:val="22"/>
      <w:szCs w:val="20"/>
      <w:bdr w:val="none" w:sz="0" w:space="0" w:color="auto"/>
      <w:lang w:eastAsia="es-ES"/>
    </w:rPr>
  </w:style>
  <w:style w:type="character" w:customStyle="1" w:styleId="Sangra2detindependienteCar">
    <w:name w:val="Sangría 2 de t. independiente Car"/>
    <w:basedOn w:val="Fuentedeprrafopredeter"/>
    <w:link w:val="Sangra2detindependiente"/>
    <w:rsid w:val="006220A2"/>
    <w:rPr>
      <w:rFonts w:ascii="CG Omega" w:eastAsia="Times New Roman" w:hAnsi="CG Omega" w:cs="Times New Roman"/>
      <w:snapToGrid w:val="0"/>
      <w:color w:val="000000"/>
      <w:sz w:val="22"/>
      <w:szCs w:val="20"/>
      <w:u w:color="000000"/>
      <w:lang w:val="es-ES" w:eastAsia="es-ES"/>
    </w:rPr>
  </w:style>
  <w:style w:type="paragraph" w:styleId="Textoindependiente2">
    <w:name w:val="Body Text 2"/>
    <w:basedOn w:val="Normal"/>
    <w:link w:val="Textoindependiente2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outlineLvl w:val="9"/>
    </w:pPr>
    <w:rPr>
      <w:rFonts w:ascii="CG Omega" w:eastAsia="Times New Roman" w:hAnsi="CG Omega" w:cs="Times New Roman"/>
      <w:i/>
      <w:snapToGrid w:val="0"/>
      <w:sz w:val="22"/>
      <w:szCs w:val="20"/>
      <w:bdr w:val="none" w:sz="0" w:space="0" w:color="auto"/>
      <w:lang w:eastAsia="es-ES"/>
    </w:rPr>
  </w:style>
  <w:style w:type="character" w:customStyle="1" w:styleId="Textoindependiente2Car">
    <w:name w:val="Texto independiente 2 Car"/>
    <w:basedOn w:val="Fuentedeprrafopredeter"/>
    <w:link w:val="Textoindependiente2"/>
    <w:rsid w:val="006220A2"/>
    <w:rPr>
      <w:rFonts w:ascii="CG Omega" w:eastAsia="Times New Roman" w:hAnsi="CG Omega" w:cs="Times New Roman"/>
      <w:i/>
      <w:snapToGrid w:val="0"/>
      <w:color w:val="000000"/>
      <w:sz w:val="22"/>
      <w:szCs w:val="20"/>
      <w:u w:color="000000"/>
      <w:lang w:val="es-ES" w:eastAsia="es-ES"/>
    </w:rPr>
  </w:style>
  <w:style w:type="paragraph" w:styleId="Textoindependiente3">
    <w:name w:val="Body Text 3"/>
    <w:basedOn w:val="Normal"/>
    <w:link w:val="Textoindependiente3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G Omega" w:eastAsia="Times New Roman" w:hAnsi="CG Omega" w:cs="Times New Roman"/>
      <w:i/>
      <w:snapToGrid w:val="0"/>
      <w:sz w:val="22"/>
      <w:szCs w:val="20"/>
      <w:bdr w:val="none" w:sz="0" w:space="0" w:color="auto"/>
      <w:lang w:eastAsia="es-ES"/>
    </w:rPr>
  </w:style>
  <w:style w:type="character" w:customStyle="1" w:styleId="Textoindependiente3Car">
    <w:name w:val="Texto independiente 3 Car"/>
    <w:basedOn w:val="Fuentedeprrafopredeter"/>
    <w:link w:val="Textoindependiente3"/>
    <w:rsid w:val="006220A2"/>
    <w:rPr>
      <w:rFonts w:ascii="CG Omega" w:eastAsia="Times New Roman" w:hAnsi="CG Omega" w:cs="Times New Roman"/>
      <w:i/>
      <w:snapToGrid w:val="0"/>
      <w:color w:val="000000"/>
      <w:sz w:val="22"/>
      <w:szCs w:val="20"/>
      <w:u w:color="000000"/>
      <w:lang w:val="es-ES" w:eastAsia="es-ES"/>
    </w:rPr>
  </w:style>
  <w:style w:type="paragraph" w:styleId="Sangra3detindependiente">
    <w:name w:val="Body Text Indent 3"/>
    <w:basedOn w:val="Normal"/>
    <w:link w:val="Sangra3detindependiente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outlineLvl w:val="9"/>
    </w:pPr>
    <w:rPr>
      <w:rFonts w:ascii="CG Omega" w:eastAsia="Times New Roman" w:hAnsi="CG Omega" w:cs="Times New Roman"/>
      <w:snapToGrid w:val="0"/>
      <w:sz w:val="22"/>
      <w:szCs w:val="20"/>
      <w:bdr w:val="none" w:sz="0" w:space="0" w:color="auto"/>
      <w:lang w:eastAsia="es-ES"/>
    </w:rPr>
  </w:style>
  <w:style w:type="character" w:customStyle="1" w:styleId="Sangra3detindependienteCar">
    <w:name w:val="Sangría 3 de t. independiente Car"/>
    <w:basedOn w:val="Fuentedeprrafopredeter"/>
    <w:link w:val="Sangra3detindependiente"/>
    <w:rsid w:val="006220A2"/>
    <w:rPr>
      <w:rFonts w:ascii="CG Omega" w:eastAsia="Times New Roman" w:hAnsi="CG Omega" w:cs="Times New Roman"/>
      <w:snapToGrid w:val="0"/>
      <w:color w:val="000000"/>
      <w:sz w:val="22"/>
      <w:szCs w:val="20"/>
      <w:u w:color="000000"/>
      <w:lang w:val="es-ES" w:eastAsia="es-ES"/>
    </w:rPr>
  </w:style>
  <w:style w:type="paragraph" w:customStyle="1" w:styleId="Disclaimer">
    <w:name w:val="Disclaimer"/>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outlineLvl w:val="9"/>
    </w:pPr>
    <w:rPr>
      <w:rFonts w:ascii="Times New Roman" w:eastAsia="Times New Roman" w:hAnsi="Times New Roman" w:cs="Times New Roman"/>
      <w:color w:val="auto"/>
      <w:sz w:val="16"/>
      <w:szCs w:val="20"/>
      <w:bdr w:val="none" w:sz="0" w:space="0" w:color="auto"/>
      <w:lang w:val="es-ES_tradnl" w:eastAsia="en-US"/>
    </w:rPr>
  </w:style>
  <w:style w:type="paragraph" w:customStyle="1" w:styleId="Address">
    <w:name w:val="Address"/>
    <w:basedOn w:val="Normal"/>
    <w:rsid w:val="006220A2"/>
    <w:pPr>
      <w:pBdr>
        <w:top w:val="none" w:sz="0" w:space="0" w:color="auto"/>
        <w:left w:val="single" w:sz="4" w:space="6" w:color="auto"/>
        <w:bottom w:val="none" w:sz="0" w:space="0" w:color="auto"/>
        <w:right w:val="none" w:sz="0" w:space="0" w:color="auto"/>
        <w:between w:val="none" w:sz="0" w:space="0" w:color="auto"/>
        <w:bar w:val="none" w:sz="0" w:color="auto"/>
      </w:pBdr>
      <w:spacing w:line="200" w:lineRule="exact"/>
      <w:outlineLvl w:val="9"/>
    </w:pPr>
    <w:rPr>
      <w:rFonts w:ascii="Times New Roman" w:eastAsia="Times New Roman" w:hAnsi="Times New Roman" w:cs="Times New Roman"/>
      <w:color w:val="auto"/>
      <w:sz w:val="16"/>
      <w:szCs w:val="20"/>
      <w:bdr w:val="none" w:sz="0" w:space="0" w:color="auto"/>
      <w:lang w:val="es-ES_tradnl" w:eastAsia="en-US"/>
    </w:rPr>
  </w:style>
  <w:style w:type="paragraph" w:customStyle="1" w:styleId="Indent3">
    <w:name w:val="Indent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line="290" w:lineRule="atLeast"/>
      <w:ind w:left="2160"/>
      <w:outlineLvl w:val="9"/>
    </w:pPr>
    <w:rPr>
      <w:rFonts w:ascii="Times New Roman" w:eastAsia="Times New Roman" w:hAnsi="Times New Roman" w:cs="Times New Roman"/>
      <w:color w:val="auto"/>
      <w:szCs w:val="20"/>
      <w:bdr w:val="none" w:sz="0" w:space="0" w:color="auto"/>
      <w:lang w:val="es-ES_tradnl" w:eastAsia="en-US"/>
    </w:rPr>
  </w:style>
  <w:style w:type="paragraph" w:styleId="Textonotapie">
    <w:name w:val="footnote text"/>
    <w:basedOn w:val="Normal"/>
    <w:link w:val="TextonotapieCar"/>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G Omega" w:eastAsia="Times New Roman" w:hAnsi="CG Omega" w:cs="Times New Roman"/>
      <w:color w:val="auto"/>
      <w:sz w:val="20"/>
      <w:szCs w:val="20"/>
      <w:bdr w:val="none" w:sz="0" w:space="0" w:color="auto"/>
      <w:lang w:eastAsia="en-US"/>
    </w:rPr>
  </w:style>
  <w:style w:type="character" w:customStyle="1" w:styleId="TextonotapieCar">
    <w:name w:val="Texto nota pie Car"/>
    <w:basedOn w:val="Fuentedeprrafopredeter"/>
    <w:link w:val="Textonotapie"/>
    <w:semiHidden/>
    <w:rsid w:val="006220A2"/>
    <w:rPr>
      <w:rFonts w:ascii="CG Omega" w:eastAsia="Times New Roman" w:hAnsi="CG Omega" w:cs="Times New Roman"/>
      <w:sz w:val="20"/>
      <w:szCs w:val="20"/>
      <w:u w:color="000000"/>
      <w:lang w:val="es-ES"/>
    </w:rPr>
  </w:style>
  <w:style w:type="paragraph" w:customStyle="1" w:styleId="Estilo1">
    <w:name w:val="Estilo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134"/>
      </w:tabs>
      <w:ind w:left="1134" w:hanging="1134"/>
      <w:outlineLvl w:val="9"/>
    </w:pPr>
    <w:rPr>
      <w:rFonts w:ascii="CG Omega" w:eastAsia="Times New Roman" w:hAnsi="CG Omega" w:cs="Times New Roman"/>
      <w:b/>
      <w:caps/>
      <w:color w:val="auto"/>
      <w:sz w:val="22"/>
      <w:szCs w:val="20"/>
      <w:bdr w:val="none" w:sz="0" w:space="0" w:color="auto"/>
      <w:lang w:eastAsia="en-US"/>
    </w:rPr>
  </w:style>
  <w:style w:type="paragraph" w:customStyle="1" w:styleId="Pdc">
    <w:name w:val="Pd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285"/>
        <w:tab w:val="left" w:leader="dot" w:pos="567"/>
        <w:tab w:val="left" w:leader="dot" w:pos="852"/>
        <w:tab w:val="left" w:leader="dot" w:pos="1134"/>
        <w:tab w:val="left" w:leader="dot" w:pos="1419"/>
        <w:tab w:val="left" w:leader="dot" w:pos="1701"/>
        <w:tab w:val="left" w:leader="dot" w:pos="1986"/>
        <w:tab w:val="left" w:leader="dot" w:pos="2268"/>
        <w:tab w:val="left" w:leader="dot" w:pos="2553"/>
        <w:tab w:val="left" w:leader="dot" w:pos="2835"/>
        <w:tab w:val="left" w:leader="dot" w:pos="3120"/>
        <w:tab w:val="left" w:leader="dot" w:pos="3402"/>
        <w:tab w:val="left" w:leader="dot" w:pos="3687"/>
        <w:tab w:val="left" w:leader="dot" w:pos="3969"/>
        <w:tab w:val="left" w:leader="dot" w:pos="4254"/>
        <w:tab w:val="left" w:leader="dot" w:pos="4536"/>
        <w:tab w:val="left" w:leader="dot" w:pos="4821"/>
        <w:tab w:val="left" w:leader="dot" w:pos="5100"/>
        <w:tab w:val="left" w:leader="dot" w:pos="5382"/>
        <w:tab w:val="left" w:leader="dot" w:pos="5667"/>
        <w:tab w:val="left" w:leader="dot" w:pos="5949"/>
        <w:tab w:val="left" w:leader="dot" w:pos="6234"/>
        <w:tab w:val="left" w:leader="dot" w:pos="6516"/>
        <w:tab w:val="left" w:leader="dot" w:pos="6801"/>
        <w:tab w:val="left" w:leader="dot" w:pos="7083"/>
        <w:tab w:val="left" w:leader="dot" w:pos="7368"/>
      </w:tabs>
      <w:overflowPunct w:val="0"/>
      <w:autoSpaceDE w:val="0"/>
      <w:autoSpaceDN w:val="0"/>
      <w:adjustRightInd w:val="0"/>
      <w:jc w:val="both"/>
      <w:textAlignment w:val="baseline"/>
      <w:outlineLvl w:val="9"/>
    </w:pPr>
    <w:rPr>
      <w:rFonts w:ascii="Times New Roman" w:eastAsia="Times New Roman" w:hAnsi="Times New Roman" w:cs="Times New Roman"/>
      <w:noProof/>
      <w:color w:val="FFFF00"/>
      <w:sz w:val="20"/>
      <w:szCs w:val="20"/>
      <w:bdr w:val="none" w:sz="0" w:space="0" w:color="auto"/>
      <w:lang w:eastAsia="es-ES"/>
    </w:rPr>
  </w:style>
  <w:style w:type="paragraph" w:customStyle="1" w:styleId="CelluleCourant">
    <w:name w:val="CelluleCouran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character" w:customStyle="1" w:styleId="fmteuro">
    <w:name w:val="fmteuro"/>
    <w:rsid w:val="006220A2"/>
    <w:rPr>
      <w:rFonts w:ascii="Times" w:hAnsi="Times"/>
      <w:sz w:val="24"/>
    </w:rPr>
  </w:style>
  <w:style w:type="paragraph" w:styleId="Remitedesobre">
    <w:name w:val="envelope return"/>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Frutiger-Light" w:eastAsia="Times New Roman" w:hAnsi="Frutiger-Light" w:cs="Times New Roman"/>
      <w:color w:val="auto"/>
      <w:sz w:val="20"/>
      <w:szCs w:val="20"/>
      <w:bdr w:val="none" w:sz="0" w:space="0" w:color="auto"/>
      <w:lang w:val="es-ES_tradnl" w:eastAsia="es-ES"/>
    </w:rPr>
  </w:style>
  <w:style w:type="paragraph" w:customStyle="1" w:styleId="Numeros">
    <w:name w:val="Numero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80"/>
      <w:textAlignment w:val="baseline"/>
      <w:outlineLvl w:val="9"/>
    </w:pPr>
    <w:rPr>
      <w:rFonts w:eastAsia="Times New Roman" w:cs="Times New Roman"/>
      <w:b/>
      <w:noProof/>
      <w:color w:val="FFFF00"/>
      <w:szCs w:val="20"/>
      <w:bdr w:val="none" w:sz="0" w:space="0" w:color="auto"/>
      <w:lang w:eastAsia="es-ES"/>
    </w:rPr>
  </w:style>
  <w:style w:type="paragraph" w:customStyle="1" w:styleId="Style1">
    <w:name w:val="Style 1"/>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2">
    <w:name w:val="Style 2"/>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tLeast"/>
      <w:ind w:left="288" w:hanging="252"/>
      <w:outlineLvl w:val="9"/>
    </w:pPr>
    <w:rPr>
      <w:rFonts w:ascii="Times New Roman" w:eastAsia="Times New Roman" w:hAnsi="Times New Roman" w:cs="Times New Roman"/>
      <w:color w:val="auto"/>
      <w:sz w:val="20"/>
      <w:bdr w:val="none" w:sz="0" w:space="0" w:color="auto"/>
      <w:lang w:val="en-US" w:eastAsia="en-US"/>
    </w:rPr>
  </w:style>
  <w:style w:type="paragraph" w:customStyle="1" w:styleId="Preci">
    <w:name w:val="Preci"/>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ind w:left="285"/>
      <w:jc w:val="both"/>
      <w:textAlignment w:val="baseline"/>
      <w:outlineLvl w:val="9"/>
    </w:pPr>
    <w:rPr>
      <w:rFonts w:eastAsia="Times New Roman" w:cs="Times New Roman"/>
      <w:noProof/>
      <w:sz w:val="18"/>
      <w:szCs w:val="20"/>
      <w:bdr w:val="none" w:sz="0" w:space="0" w:color="auto"/>
      <w:lang w:eastAsia="es-ES"/>
    </w:rPr>
  </w:style>
  <w:style w:type="paragraph" w:customStyle="1" w:styleId="TableFootnote">
    <w:name w:val="TableFootnot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New Roman" w:eastAsia="Times New Roman" w:hAnsi="Times New Roman" w:cs="Times New Roman"/>
      <w:noProof/>
      <w:sz w:val="20"/>
      <w:szCs w:val="20"/>
      <w:bdr w:val="none" w:sz="0" w:space="0" w:color="auto"/>
      <w:lang w:eastAsia="es-ES"/>
    </w:rPr>
  </w:style>
  <w:style w:type="paragraph" w:customStyle="1" w:styleId="TableTitle">
    <w:name w:val="TableTitl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10">
    <w:name w:val="Titre 10"/>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Style8">
    <w:name w:val="Style 8"/>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16" w:line="228" w:lineRule="atLeast"/>
      <w:jc w:val="center"/>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4">
    <w:name w:val="Style 4"/>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600" w:lineRule="atLeast"/>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3">
    <w:name w:val="Style 3"/>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24"/>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5">
    <w:name w:val="Style 5"/>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right="21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7">
    <w:name w:val="Style 7"/>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52" w:line="240" w:lineRule="atLeast"/>
      <w:jc w:val="center"/>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6">
    <w:name w:val="Style 6"/>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6" w:hanging="288"/>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9">
    <w:name w:val="Style 9"/>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right="216" w:firstLine="57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10">
    <w:name w:val="Style 10"/>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left="21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11">
    <w:name w:val="Style 11"/>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624" w:lineRule="exact"/>
      <w:jc w:val="center"/>
      <w:outlineLvl w:val="9"/>
    </w:pPr>
    <w:rPr>
      <w:rFonts w:ascii="Times New Roman" w:eastAsia="Times New Roman" w:hAnsi="Times New Roman" w:cs="Times New Roman"/>
      <w:color w:val="auto"/>
      <w:sz w:val="20"/>
      <w:bdr w:val="none" w:sz="0" w:space="0" w:color="auto"/>
      <w:lang w:val="en-US" w:eastAsia="en-US"/>
    </w:rPr>
  </w:style>
  <w:style w:type="paragraph" w:styleId="Textodebloque">
    <w:name w:val="Block Text"/>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6" w:right="142"/>
      <w:outlineLvl w:val="9"/>
    </w:pPr>
    <w:rPr>
      <w:rFonts w:ascii="Times New Roman" w:eastAsia="Times New Roman" w:hAnsi="Times New Roman" w:cs="Times New Roman"/>
      <w:color w:val="auto"/>
      <w:spacing w:val="-2"/>
      <w:sz w:val="16"/>
      <w:szCs w:val="16"/>
      <w:bdr w:val="none" w:sz="0" w:space="0" w:color="auto"/>
      <w:lang w:val="en-US" w:eastAsia="en-US"/>
    </w:rPr>
  </w:style>
  <w:style w:type="paragraph" w:styleId="Listaconvietas">
    <w:name w:val="List Bulle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2">
    <w:name w:val="List Bullet 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3">
    <w:name w:val="List Bullet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4">
    <w:name w:val="List Bullet 4"/>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5">
    <w:name w:val="List Bullet 5"/>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nmeros">
    <w:name w:val="List Number"/>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595"/>
      </w:tabs>
      <w:spacing w:after="240" w:line="240" w:lineRule="atLeast"/>
      <w:ind w:left="595" w:hanging="595"/>
      <w:outlineLvl w:val="9"/>
    </w:pPr>
    <w:rPr>
      <w:rFonts w:eastAsia="Times New Roman" w:cs="Times New Roman"/>
      <w:color w:val="auto"/>
      <w:sz w:val="20"/>
      <w:szCs w:val="20"/>
      <w:bdr w:val="none" w:sz="0" w:space="0" w:color="auto"/>
      <w:lang w:val="en-GB" w:eastAsia="en-US"/>
    </w:rPr>
  </w:style>
  <w:style w:type="paragraph" w:styleId="Listaconnmeros2">
    <w:name w:val="List Number 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191"/>
      </w:tabs>
      <w:spacing w:after="240" w:line="240" w:lineRule="atLeast"/>
      <w:ind w:left="1191" w:hanging="595"/>
      <w:outlineLvl w:val="9"/>
    </w:pPr>
    <w:rPr>
      <w:rFonts w:eastAsia="Times New Roman" w:cs="Times New Roman"/>
      <w:color w:val="auto"/>
      <w:sz w:val="20"/>
      <w:szCs w:val="20"/>
      <w:bdr w:val="none" w:sz="0" w:space="0" w:color="auto"/>
      <w:lang w:val="en-GB" w:eastAsia="en-US"/>
    </w:rPr>
  </w:style>
  <w:style w:type="paragraph" w:styleId="Listaconnmeros3">
    <w:name w:val="List Number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786"/>
      </w:tabs>
      <w:spacing w:after="240" w:line="240" w:lineRule="atLeast"/>
      <w:ind w:left="1786" w:hanging="595"/>
      <w:outlineLvl w:val="9"/>
    </w:pPr>
    <w:rPr>
      <w:rFonts w:eastAsia="Times New Roman" w:cs="Times New Roman"/>
      <w:color w:val="auto"/>
      <w:sz w:val="20"/>
      <w:szCs w:val="20"/>
      <w:bdr w:val="none" w:sz="0" w:space="0" w:color="auto"/>
      <w:lang w:val="en-GB" w:eastAsia="en-US"/>
    </w:rPr>
  </w:style>
  <w:style w:type="paragraph" w:styleId="Listaconnmeros4">
    <w:name w:val="List Number 4"/>
    <w:basedOn w:val="Normal"/>
    <w:rsid w:val="006220A2"/>
    <w:pPr>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outlineLvl w:val="9"/>
    </w:pPr>
    <w:rPr>
      <w:rFonts w:eastAsia="Times New Roman" w:cs="Times New Roman"/>
      <w:color w:val="auto"/>
      <w:sz w:val="20"/>
      <w:szCs w:val="20"/>
      <w:bdr w:val="none" w:sz="0" w:space="0" w:color="auto"/>
      <w:lang w:val="en-GB" w:eastAsia="en-US"/>
    </w:rPr>
  </w:style>
  <w:style w:type="paragraph" w:styleId="Listaconnmeros5">
    <w:name w:val="List Number 5"/>
    <w:basedOn w:val="Normal"/>
    <w:rsid w:val="006220A2"/>
    <w:pPr>
      <w:numPr>
        <w:ilvl w:val="4"/>
        <w:numId w:val="8"/>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outlineLvl w:val="9"/>
    </w:pPr>
    <w:rPr>
      <w:rFonts w:eastAsia="Times New Roman" w:cs="Times New Roman"/>
      <w:color w:val="auto"/>
      <w:sz w:val="20"/>
      <w:szCs w:val="20"/>
      <w:bdr w:val="none" w:sz="0" w:space="0" w:color="auto"/>
      <w:lang w:val="en-GB" w:eastAsia="en-US"/>
    </w:rPr>
  </w:style>
  <w:style w:type="paragraph" w:customStyle="1" w:styleId="TableBullet">
    <w:name w:val="Table Bullet"/>
    <w:basedOn w:val="TableText"/>
    <w:rsid w:val="006220A2"/>
    <w:pPr>
      <w:numPr>
        <w:numId w:val="9"/>
      </w:numPr>
    </w:pPr>
  </w:style>
  <w:style w:type="paragraph" w:customStyle="1" w:styleId="TableText">
    <w:name w:val="Table Tex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20" w:after="170" w:line="240" w:lineRule="atLeast"/>
      <w:outlineLvl w:val="9"/>
    </w:pPr>
    <w:rPr>
      <w:rFonts w:eastAsia="Times New Roman" w:cs="Times New Roman"/>
      <w:color w:val="auto"/>
      <w:sz w:val="20"/>
      <w:szCs w:val="20"/>
      <w:bdr w:val="none" w:sz="0" w:space="0" w:color="auto"/>
      <w:lang w:val="en-GB" w:eastAsia="en-US"/>
    </w:rPr>
  </w:style>
  <w:style w:type="paragraph" w:customStyle="1" w:styleId="TableListNumber">
    <w:name w:val="Table List Number"/>
    <w:basedOn w:val="TableText"/>
    <w:rsid w:val="006220A2"/>
    <w:pPr>
      <w:numPr>
        <w:numId w:val="10"/>
      </w:numPr>
      <w:tabs>
        <w:tab w:val="left" w:pos="298"/>
      </w:tabs>
    </w:pPr>
  </w:style>
  <w:style w:type="paragraph" w:customStyle="1" w:styleId="TableColumnHeader">
    <w:name w:val="Table Column Header"/>
    <w:basedOn w:val="TableText"/>
    <w:rsid w:val="006220A2"/>
    <w:rPr>
      <w:b/>
    </w:rPr>
  </w:style>
  <w:style w:type="character" w:styleId="Refdecomentario">
    <w:name w:val="annotation reference"/>
    <w:semiHidden/>
    <w:rsid w:val="006220A2"/>
    <w:rPr>
      <w:sz w:val="16"/>
      <w:szCs w:val="16"/>
    </w:rPr>
  </w:style>
  <w:style w:type="paragraph" w:customStyle="1" w:styleId="TableRowHeader">
    <w:name w:val="Table Row Header"/>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
      <w:outlineLvl w:val="9"/>
    </w:pPr>
    <w:rPr>
      <w:rFonts w:ascii="Times New Roman" w:eastAsia="Times New Roman" w:hAnsi="Times New Roman" w:cs="Times New Roman"/>
      <w:color w:val="auto"/>
      <w:spacing w:val="-2"/>
      <w:sz w:val="16"/>
      <w:szCs w:val="16"/>
      <w:bdr w:val="none" w:sz="0" w:space="0" w:color="auto"/>
      <w:lang w:val="en-GB" w:eastAsia="en-US"/>
    </w:rPr>
  </w:style>
  <w:style w:type="paragraph" w:customStyle="1" w:styleId="Body">
    <w:name w:val="Body"/>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Bulleted">
    <w:name w:val="Bullet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Body">
    <w:name w:val="CellBody"/>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Heading">
    <w:name w:val="CellHeading"/>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uleIntitul">
    <w:name w:val="Cellule Intitulé"/>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Footnote">
    <w:name w:val="Footnot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New Roman" w:eastAsia="Times New Roman" w:hAnsi="Times New Roman" w:cs="Times New Roman"/>
      <w:noProof/>
      <w:sz w:val="20"/>
      <w:szCs w:val="20"/>
      <w:bdr w:val="none" w:sz="0" w:space="0" w:color="auto"/>
      <w:lang w:eastAsia="es-ES"/>
    </w:rPr>
  </w:style>
  <w:style w:type="paragraph" w:customStyle="1" w:styleId="Heading1">
    <w:name w:val="Heading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80" w:after="120"/>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Heading2">
    <w:name w:val="Heading2"/>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after="6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HeadingRunIn">
    <w:name w:val="HeadingRunIn"/>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Indented">
    <w:name w:val="Indent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Numbered">
    <w:name w:val="Number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Numbered1">
    <w:name w:val="Numbered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extePreci">
    <w:name w:val="TextePreci"/>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ind w:left="285"/>
      <w:jc w:val="both"/>
      <w:textAlignment w:val="baseline"/>
      <w:outlineLvl w:val="9"/>
    </w:pPr>
    <w:rPr>
      <w:rFonts w:eastAsia="Times New Roman" w:cs="Times New Roman"/>
      <w:noProof/>
      <w:sz w:val="18"/>
      <w:szCs w:val="20"/>
      <w:bdr w:val="none" w:sz="0" w:space="0" w:color="auto"/>
      <w:lang w:eastAsia="es-ES"/>
    </w:rPr>
  </w:style>
  <w:style w:type="paragraph" w:customStyle="1" w:styleId="TexteSecond">
    <w:name w:val="TexteSecon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433"/>
      <w:jc w:val="both"/>
      <w:textAlignment w:val="baseline"/>
      <w:outlineLvl w:val="9"/>
    </w:pPr>
    <w:rPr>
      <w:rFonts w:eastAsia="Times New Roman" w:cs="Times New Roman"/>
      <w:noProof/>
      <w:sz w:val="18"/>
      <w:szCs w:val="20"/>
      <w:bdr w:val="none" w:sz="0" w:space="0" w:color="auto"/>
      <w:lang w:eastAsia="es-ES"/>
    </w:rPr>
  </w:style>
  <w:style w:type="paragraph" w:customStyle="1" w:styleId="TexteSecondNonRet">
    <w:name w:val="TexteSecondNonRe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eastAsia="Times New Roman" w:cs="Times New Roman"/>
      <w:noProof/>
      <w:sz w:val="18"/>
      <w:szCs w:val="20"/>
      <w:bdr w:val="none" w:sz="0" w:space="0" w:color="auto"/>
      <w:lang w:eastAsia="es-ES"/>
    </w:rPr>
  </w:style>
  <w:style w:type="paragraph" w:customStyle="1" w:styleId="Title1">
    <w:name w:val="Title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480" w:after="240" w:line="360" w:lineRule="atLeast"/>
      <w:jc w:val="center"/>
      <w:textAlignment w:val="baseline"/>
      <w:outlineLvl w:val="9"/>
    </w:pPr>
    <w:rPr>
      <w:rFonts w:ascii="Times New Roman" w:eastAsia="Times New Roman" w:hAnsi="Times New Roman" w:cs="Times New Roman"/>
      <w:b/>
      <w:noProof/>
      <w:sz w:val="36"/>
      <w:szCs w:val="20"/>
      <w:bdr w:val="none" w:sz="0" w:space="0" w:color="auto"/>
      <w:lang w:eastAsia="es-ES"/>
    </w:rPr>
  </w:style>
  <w:style w:type="paragraph" w:customStyle="1" w:styleId="Titre1">
    <w:name w:val="Titre 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1Intro">
    <w:name w:val="Titre 1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10Bis">
    <w:name w:val="Titre 10 Bis"/>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color w:val="0000FF"/>
      <w:sz w:val="28"/>
      <w:szCs w:val="20"/>
      <w:bdr w:val="none" w:sz="0" w:space="0" w:color="auto"/>
      <w:lang w:eastAsia="es-ES"/>
    </w:rPr>
  </w:style>
  <w:style w:type="paragraph" w:customStyle="1" w:styleId="Titre11">
    <w:name w:val="Titre 1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2">
    <w:name w:val="Titre 2"/>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2bis">
    <w:name w:val="Titre 2 bi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2Intro">
    <w:name w:val="Titre 2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417" w:line="26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
    <w:name w:val="Titre 3"/>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Bis">
    <w:name w:val="Titre 3 Bis"/>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Intro">
    <w:name w:val="Titre 3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eastAsia="Times New Roman" w:cs="Times New Roman"/>
      <w:b/>
      <w:noProof/>
      <w:szCs w:val="20"/>
      <w:bdr w:val="none" w:sz="0" w:space="0" w:color="auto"/>
      <w:lang w:eastAsia="es-ES"/>
    </w:rPr>
  </w:style>
  <w:style w:type="paragraph" w:customStyle="1" w:styleId="Titre4">
    <w:name w:val="Titre 4"/>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380" w:lineRule="atLeast"/>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4Intro">
    <w:name w:val="Titre 4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jc w:val="center"/>
      <w:textAlignment w:val="baseline"/>
      <w:outlineLvl w:val="9"/>
    </w:pPr>
    <w:rPr>
      <w:rFonts w:eastAsia="Times New Roman" w:cs="Times New Roman"/>
      <w:b/>
      <w:noProof/>
      <w:szCs w:val="20"/>
      <w:bdr w:val="none" w:sz="0" w:space="0" w:color="auto"/>
      <w:lang w:eastAsia="es-ES"/>
    </w:rPr>
  </w:style>
  <w:style w:type="paragraph" w:customStyle="1" w:styleId="Titre5">
    <w:name w:val="Titre 5"/>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6">
    <w:name w:val="Titre 6"/>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7">
    <w:name w:val="Titre 7"/>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after="240"/>
      <w:jc w:val="center"/>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8">
    <w:name w:val="Titre 8"/>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jc w:val="center"/>
      <w:textAlignment w:val="baseline"/>
      <w:outlineLvl w:val="9"/>
    </w:pPr>
    <w:rPr>
      <w:rFonts w:ascii="Times New Roman" w:eastAsia="Times New Roman" w:hAnsi="Times New Roman" w:cs="Times New Roman"/>
      <w:b/>
      <w:noProof/>
      <w:sz w:val="20"/>
      <w:szCs w:val="20"/>
      <w:bdr w:val="none" w:sz="0" w:space="0" w:color="auto"/>
      <w:lang w:eastAsia="es-ES"/>
    </w:rPr>
  </w:style>
  <w:style w:type="paragraph" w:customStyle="1" w:styleId="Titre9">
    <w:name w:val="Titre 9"/>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textAlignment w:val="baseline"/>
      <w:outlineLvl w:val="9"/>
    </w:pPr>
    <w:rPr>
      <w:rFonts w:ascii="Times New Roman" w:eastAsia="Times New Roman" w:hAnsi="Times New Roman" w:cs="Times New Roman"/>
      <w:b/>
      <w:noProof/>
      <w:color w:val="FFFF00"/>
      <w:sz w:val="28"/>
      <w:szCs w:val="20"/>
      <w:bdr w:val="none" w:sz="0" w:space="0" w:color="auto"/>
      <w:lang w:eastAsia="es-ES"/>
    </w:rPr>
  </w:style>
  <w:style w:type="paragraph" w:customStyle="1" w:styleId="Titre9Bis">
    <w:name w:val="Titre 9 Bi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itreTableau">
    <w:name w:val="TitreTableau"/>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85"/>
      <w:textAlignment w:val="baseline"/>
      <w:outlineLvl w:val="9"/>
    </w:pPr>
    <w:rPr>
      <w:rFonts w:ascii="Times New Roman" w:eastAsia="Times New Roman" w:hAnsi="Times New Roman" w:cs="Times New Roman"/>
      <w:b/>
      <w:noProof/>
      <w:sz w:val="20"/>
      <w:szCs w:val="20"/>
      <w:bdr w:val="none" w:sz="0" w:space="0" w:color="auto"/>
      <w:lang w:eastAsia="es-ES"/>
    </w:rPr>
  </w:style>
  <w:style w:type="paragraph" w:customStyle="1" w:styleId="TM">
    <w:name w:val="TM"/>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textAlignment w:val="baseline"/>
      <w:outlineLvl w:val="9"/>
    </w:pPr>
    <w:rPr>
      <w:rFonts w:ascii="Times New Roman" w:eastAsia="Times New Roman" w:hAnsi="Times New Roman" w:cs="Times New Roman"/>
      <w:noProof/>
      <w:color w:val="0000FF"/>
      <w:sz w:val="26"/>
      <w:szCs w:val="20"/>
      <w:bdr w:val="none" w:sz="0" w:space="0" w:color="auto"/>
      <w:lang w:eastAsia="es-ES"/>
    </w:rPr>
  </w:style>
  <w:style w:type="paragraph" w:customStyle="1" w:styleId="Tniv">
    <w:name w:val="Tniv"/>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nivIntro">
    <w:name w:val="Tniv Intro"/>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P">
    <w:name w:val="TP"/>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pc">
    <w:name w:val="Tp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433"/>
      <w:jc w:val="both"/>
      <w:textAlignment w:val="baseline"/>
      <w:outlineLvl w:val="9"/>
    </w:pPr>
    <w:rPr>
      <w:rFonts w:eastAsia="Times New Roman" w:cs="Times New Roman"/>
      <w:b/>
      <w:noProof/>
      <w:sz w:val="20"/>
      <w:szCs w:val="20"/>
      <w:bdr w:val="none" w:sz="0" w:space="0" w:color="auto"/>
      <w:lang w:eastAsia="es-ES"/>
    </w:rPr>
  </w:style>
  <w:style w:type="character" w:customStyle="1" w:styleId="Emphasis1">
    <w:name w:val="Emphasis1"/>
    <w:rsid w:val="006220A2"/>
    <w:rPr>
      <w:i/>
    </w:rPr>
  </w:style>
  <w:style w:type="character" w:customStyle="1" w:styleId="EquationVariables">
    <w:name w:val="EquationVariables"/>
    <w:rsid w:val="006220A2"/>
    <w:rPr>
      <w:i/>
    </w:rPr>
  </w:style>
  <w:style w:type="character" w:customStyle="1" w:styleId="Euro">
    <w:name w:val="Euro"/>
    <w:rsid w:val="006220A2"/>
    <w:rPr>
      <w:rFonts w:ascii="Times" w:hAnsi="Times"/>
      <w:sz w:val="24"/>
    </w:rPr>
  </w:style>
  <w:style w:type="character" w:customStyle="1" w:styleId="euro0">
    <w:name w:val="euro"/>
    <w:rsid w:val="006220A2"/>
    <w:rPr>
      <w:rFonts w:ascii="Times New Roman" w:hAnsi="Times New Roman"/>
      <w:color w:val="000000"/>
      <w:sz w:val="22"/>
    </w:rPr>
  </w:style>
  <w:style w:type="character" w:customStyle="1" w:styleId="FmArial">
    <w:name w:val="FmArial"/>
    <w:rsid w:val="006220A2"/>
    <w:rPr>
      <w:rFonts w:ascii="Arial" w:hAnsi="Arial"/>
      <w:sz w:val="24"/>
    </w:rPr>
  </w:style>
  <w:style w:type="character" w:customStyle="1" w:styleId="FmSymbol">
    <w:name w:val="FmSymbol"/>
    <w:rsid w:val="006220A2"/>
    <w:rPr>
      <w:rFonts w:ascii="Symbol" w:hAnsi="Symbol"/>
      <w:sz w:val="24"/>
    </w:rPr>
  </w:style>
  <w:style w:type="character" w:customStyle="1" w:styleId="FmWingdings">
    <w:name w:val="FmWingdings"/>
    <w:rsid w:val="006220A2"/>
    <w:rPr>
      <w:rFonts w:ascii="Wingdings" w:hAnsi="Wingdings"/>
      <w:sz w:val="24"/>
    </w:rPr>
  </w:style>
  <w:style w:type="character" w:customStyle="1" w:styleId="Gras">
    <w:name w:val="Gras"/>
    <w:rsid w:val="006220A2"/>
    <w:rPr>
      <w:rFonts w:ascii="Arial" w:hAnsi="Arial"/>
      <w:b/>
      <w:sz w:val="24"/>
    </w:rPr>
  </w:style>
  <w:style w:type="character" w:customStyle="1" w:styleId="GrasItal">
    <w:name w:val="GrasItal"/>
    <w:rsid w:val="006220A2"/>
    <w:rPr>
      <w:rFonts w:ascii="Arial" w:hAnsi="Arial"/>
      <w:b/>
      <w:i/>
      <w:sz w:val="24"/>
    </w:rPr>
  </w:style>
  <w:style w:type="character" w:customStyle="1" w:styleId="Refdoc">
    <w:name w:val="Refdoc"/>
    <w:basedOn w:val="Fuentedeprrafopredeter"/>
    <w:rsid w:val="006220A2"/>
  </w:style>
  <w:style w:type="character" w:customStyle="1" w:styleId="Rtx">
    <w:name w:val="Rtx"/>
    <w:basedOn w:val="Fuentedeprrafopredeter"/>
    <w:rsid w:val="006220A2"/>
  </w:style>
  <w:style w:type="character" w:customStyle="1" w:styleId="Sno">
    <w:name w:val="Sno"/>
    <w:rsid w:val="006220A2"/>
    <w:rPr>
      <w:rFonts w:ascii="Times" w:hAnsi="Times"/>
      <w:sz w:val="18"/>
    </w:rPr>
  </w:style>
  <w:style w:type="paragraph" w:customStyle="1" w:styleId="xl27">
    <w:name w:val="xl27"/>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outlineLvl w:val="9"/>
    </w:pPr>
    <w:rPr>
      <w:rFonts w:ascii="Frutiger-Bold" w:eastAsia="Arial Unicode MS" w:hAnsi="Frutiger-Bold" w:cs="Arial Unicode MS"/>
      <w:color w:val="auto"/>
      <w:sz w:val="16"/>
      <w:szCs w:val="16"/>
      <w:bdr w:val="none" w:sz="0" w:space="0" w:color="auto"/>
      <w:lang w:eastAsia="es-ES"/>
    </w:rPr>
  </w:style>
  <w:style w:type="paragraph" w:customStyle="1" w:styleId="sangrado1">
    <w:name w:val="sangrado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outlineLvl w:val="9"/>
    </w:pPr>
    <w:rPr>
      <w:rFonts w:ascii="Univers" w:eastAsia="Times New Roman" w:hAnsi="Univers" w:cs="Times New Roman"/>
      <w:color w:val="auto"/>
      <w:sz w:val="22"/>
      <w:szCs w:val="20"/>
      <w:bdr w:val="none" w:sz="0" w:space="0" w:color="auto"/>
      <w:lang w:val="es-ES_tradnl" w:eastAsia="es-ES"/>
    </w:rPr>
  </w:style>
  <w:style w:type="paragraph" w:customStyle="1" w:styleId="sangrado2">
    <w:name w:val="sangrado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ind w:left="1418" w:hanging="709"/>
      <w:jc w:val="both"/>
      <w:outlineLvl w:val="9"/>
    </w:pPr>
    <w:rPr>
      <w:rFonts w:ascii="Univers" w:eastAsia="Times New Roman" w:hAnsi="Univers" w:cs="Times New Roman"/>
      <w:color w:val="auto"/>
      <w:sz w:val="22"/>
      <w:szCs w:val="20"/>
      <w:bdr w:val="none" w:sz="0" w:space="0" w:color="auto"/>
      <w:lang w:val="es-ES_tradnl" w:eastAsia="es-ES"/>
    </w:rPr>
  </w:style>
  <w:style w:type="table" w:styleId="Tablaconcuadrcula">
    <w:name w:val="Table Grid"/>
    <w:basedOn w:val="Tablanormal"/>
    <w:rsid w:val="006220A2"/>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ourier New" w:eastAsia="Times New Roman" w:hAnsi="Courier New" w:cs="Courier New"/>
      <w:color w:val="auto"/>
      <w:sz w:val="20"/>
      <w:szCs w:val="20"/>
      <w:bdr w:val="none" w:sz="0" w:space="0" w:color="auto"/>
      <w:lang w:eastAsia="es-ES"/>
    </w:rPr>
  </w:style>
  <w:style w:type="character" w:customStyle="1" w:styleId="TextosinformatoCar">
    <w:name w:val="Texto sin formato Car"/>
    <w:basedOn w:val="Fuentedeprrafopredeter"/>
    <w:link w:val="Textosinformato"/>
    <w:rsid w:val="006220A2"/>
    <w:rPr>
      <w:rFonts w:ascii="Courier New" w:eastAsia="Times New Roman" w:hAnsi="Courier New" w:cs="Courier New"/>
      <w:sz w:val="20"/>
      <w:szCs w:val="20"/>
      <w:u w:color="000000"/>
      <w:lang w:val="es-ES" w:eastAsia="es-ES"/>
    </w:rPr>
  </w:style>
  <w:style w:type="paragraph" w:styleId="Tabladeilustraciones">
    <w:name w:val="table of figures"/>
    <w:basedOn w:val="Normal"/>
    <w:next w:val="Normal"/>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pPr>
    <w:rPr>
      <w:rFonts w:ascii="Book Antiqua" w:eastAsia="Times New Roman" w:hAnsi="Book Antiqua" w:cs="Times New Roman"/>
      <w:color w:val="auto"/>
      <w:sz w:val="20"/>
      <w:szCs w:val="20"/>
      <w:bdr w:val="none" w:sz="0" w:space="0" w:color="auto"/>
      <w:lang w:eastAsia="en-US"/>
    </w:rPr>
  </w:style>
  <w:style w:type="paragraph" w:customStyle="1" w:styleId="a">
    <w:name w:val="a"/>
    <w:basedOn w:val="Normal"/>
    <w:rsid w:val="006220A2"/>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ind w:left="1276" w:right="-28" w:hanging="284"/>
      <w:jc w:val="both"/>
      <w:outlineLvl w:val="9"/>
    </w:pPr>
    <w:rPr>
      <w:rFonts w:ascii="Times New Roman" w:eastAsia="Times New Roman" w:hAnsi="Times New Roman" w:cs="Times New Roman"/>
      <w:color w:val="auto"/>
      <w:szCs w:val="20"/>
      <w:bdr w:val="none" w:sz="0" w:space="0" w:color="auto"/>
      <w:lang w:eastAsia="en-US"/>
    </w:rPr>
  </w:style>
  <w:style w:type="paragraph" w:customStyle="1" w:styleId="tab">
    <w:name w:val="tab"/>
    <w:basedOn w:val="Normal"/>
    <w:rsid w:val="006220A2"/>
    <w:pPr>
      <w:keepLines/>
      <w:pBdr>
        <w:top w:val="none" w:sz="0" w:space="0" w:color="auto"/>
        <w:left w:val="none" w:sz="0" w:space="0" w:color="auto"/>
        <w:bottom w:val="none" w:sz="0" w:space="0" w:color="auto"/>
        <w:right w:val="none" w:sz="0" w:space="0" w:color="auto"/>
        <w:between w:val="none" w:sz="0" w:space="0" w:color="auto"/>
        <w:bar w:val="none" w:sz="0" w:color="auto"/>
      </w:pBdr>
      <w:ind w:left="20"/>
      <w:jc w:val="both"/>
      <w:outlineLvl w:val="9"/>
    </w:pPr>
    <w:rPr>
      <w:rFonts w:ascii="Times" w:eastAsia="Times New Roman" w:hAnsi="Times" w:cs="Times New Roman"/>
      <w:color w:val="auto"/>
      <w:sz w:val="28"/>
      <w:szCs w:val="20"/>
      <w:bdr w:val="none" w:sz="0" w:space="0" w:color="auto"/>
      <w:lang w:eastAsia="en-US"/>
    </w:rPr>
  </w:style>
  <w:style w:type="paragraph" w:customStyle="1" w:styleId="F2-normal">
    <w:name w:val="_F2-normal"/>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outlineLvl w:val="9"/>
    </w:pPr>
    <w:rPr>
      <w:rFonts w:ascii="Times New Roman" w:eastAsia="Times New Roman" w:hAnsi="Times New Roman" w:cs="Times New Roman"/>
      <w:color w:val="auto"/>
      <w:szCs w:val="20"/>
      <w:bdr w:val="none" w:sz="0" w:space="0" w:color="auto"/>
      <w:lang w:eastAsia="en-US"/>
    </w:rPr>
  </w:style>
  <w:style w:type="paragraph" w:styleId="NormalWeb">
    <w:name w:val="Normal (Web)"/>
    <w:basedOn w:val="Normal"/>
    <w:uiPriority w:val="99"/>
    <w:unhideWhenUsed/>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9"/>
    </w:pPr>
    <w:rPr>
      <w:rFonts w:ascii="Times New Roman" w:eastAsia="Times New Roman" w:hAnsi="Times New Roman" w:cs="Times New Roman"/>
      <w:color w:val="auto"/>
      <w:bdr w:val="none" w:sz="0" w:space="0" w:color="auto"/>
      <w:lang w:eastAsia="es-ES"/>
    </w:rPr>
  </w:style>
  <w:style w:type="paragraph" w:styleId="Textodeglobo">
    <w:name w:val="Balloon Text"/>
    <w:basedOn w:val="Normal"/>
    <w:link w:val="TextodegloboCar"/>
    <w:rsid w:val="006220A2"/>
    <w:pPr>
      <w:pBdr>
        <w:top w:val="none" w:sz="0" w:space="0" w:color="auto"/>
        <w:left w:val="none" w:sz="0" w:space="0" w:color="auto"/>
        <w:bottom w:val="none" w:sz="0" w:space="0" w:color="auto"/>
        <w:right w:val="none" w:sz="0" w:space="0" w:color="auto"/>
        <w:between w:val="none" w:sz="0" w:space="0" w:color="auto"/>
        <w:bar w:val="none" w:sz="0" w:color="auto"/>
      </w:pBdr>
      <w:ind w:left="284"/>
      <w:outlineLvl w:val="9"/>
    </w:pPr>
    <w:rPr>
      <w:rFonts w:ascii="Tahoma" w:eastAsia="Times" w:hAnsi="Tahoma" w:cs="Tahoma"/>
      <w:color w:val="auto"/>
      <w:sz w:val="16"/>
      <w:szCs w:val="16"/>
      <w:bdr w:val="none" w:sz="0" w:space="0" w:color="auto"/>
      <w:lang w:val="es-ES_tradnl" w:eastAsia="es-ES"/>
    </w:rPr>
  </w:style>
  <w:style w:type="character" w:customStyle="1" w:styleId="TextodegloboCar">
    <w:name w:val="Texto de globo Car"/>
    <w:basedOn w:val="Fuentedeprrafopredeter"/>
    <w:link w:val="Textodeglobo"/>
    <w:rsid w:val="006220A2"/>
    <w:rPr>
      <w:rFonts w:ascii="Tahoma" w:eastAsia="Times" w:hAnsi="Tahoma" w:cs="Tahoma"/>
      <w:sz w:val="16"/>
      <w:szCs w:val="16"/>
      <w:u w:color="000000"/>
      <w:lang w:eastAsia="es-ES"/>
    </w:rPr>
  </w:style>
  <w:style w:type="paragraph" w:styleId="Textocomentario">
    <w:name w:val="annotation text"/>
    <w:basedOn w:val="Normal"/>
    <w:link w:val="TextocomentarioCar"/>
    <w:unhideWhenUsed/>
    <w:rsid w:val="006220A2"/>
    <w:pPr>
      <w:pBdr>
        <w:top w:val="none" w:sz="0" w:space="0" w:color="auto"/>
        <w:left w:val="none" w:sz="0" w:space="0" w:color="auto"/>
        <w:bottom w:val="none" w:sz="0" w:space="0" w:color="auto"/>
        <w:right w:val="none" w:sz="0" w:space="0" w:color="auto"/>
        <w:between w:val="none" w:sz="0" w:space="0" w:color="auto"/>
        <w:bar w:val="none" w:sz="0" w:color="auto"/>
      </w:pBdr>
      <w:ind w:left="284"/>
      <w:outlineLvl w:val="9"/>
    </w:pPr>
    <w:rPr>
      <w:rFonts w:ascii="Times" w:eastAsia="Times" w:hAnsi="Times" w:cs="Times New Roman"/>
      <w:color w:val="auto"/>
      <w:sz w:val="20"/>
      <w:szCs w:val="20"/>
      <w:bdr w:val="none" w:sz="0" w:space="0" w:color="auto"/>
      <w:lang w:val="es-ES_tradnl" w:eastAsia="es-ES"/>
    </w:rPr>
  </w:style>
  <w:style w:type="character" w:customStyle="1" w:styleId="TextocomentarioCar">
    <w:name w:val="Texto comentario Car"/>
    <w:basedOn w:val="Fuentedeprrafopredeter"/>
    <w:link w:val="Textocomentario"/>
    <w:rsid w:val="006220A2"/>
    <w:rPr>
      <w:rFonts w:ascii="Times" w:eastAsia="Times" w:hAnsi="Times" w:cs="Times New Roman"/>
      <w:sz w:val="20"/>
      <w:szCs w:val="20"/>
      <w:u w:color="000000"/>
      <w:lang w:eastAsia="es-ES"/>
    </w:rPr>
  </w:style>
  <w:style w:type="paragraph" w:styleId="Asuntodelcomentario">
    <w:name w:val="annotation subject"/>
    <w:basedOn w:val="Textocomentario"/>
    <w:next w:val="Textocomentario"/>
    <w:link w:val="AsuntodelcomentarioCar"/>
    <w:semiHidden/>
    <w:unhideWhenUsed/>
    <w:rsid w:val="006220A2"/>
    <w:rPr>
      <w:b/>
      <w:bCs/>
    </w:rPr>
  </w:style>
  <w:style w:type="character" w:customStyle="1" w:styleId="AsuntodelcomentarioCar">
    <w:name w:val="Asunto del comentario Car"/>
    <w:basedOn w:val="TextocomentarioCar"/>
    <w:link w:val="Asuntodelcomentario"/>
    <w:semiHidden/>
    <w:rsid w:val="006220A2"/>
    <w:rPr>
      <w:rFonts w:ascii="Times" w:eastAsia="Times" w:hAnsi="Times" w:cs="Times New Roman"/>
      <w:b/>
      <w:bCs/>
      <w:sz w:val="20"/>
      <w:szCs w:val="20"/>
      <w:u w:color="000000"/>
      <w:lang w:eastAsia="es-ES"/>
    </w:rPr>
  </w:style>
  <w:style w:type="numbering" w:customStyle="1" w:styleId="Nmero">
    <w:name w:val="Número"/>
    <w:rsid w:val="002536C5"/>
    <w:pPr>
      <w:numPr>
        <w:numId w:val="20"/>
      </w:numPr>
    </w:pPr>
  </w:style>
  <w:style w:type="paragraph" w:customStyle="1" w:styleId="Estndar">
    <w:name w:val="Estándar"/>
    <w:rsid w:val="001B7D27"/>
    <w:rPr>
      <w:rFonts w:ascii="Times New Roman" w:eastAsia="Times New Roman" w:hAnsi="Times New Roman" w:cs="Times New Roman"/>
      <w:snapToGrid w:val="0"/>
      <w:color w:val="000000"/>
      <w:szCs w:val="20"/>
      <w:lang w:val="es-ES" w:eastAsia="es-ES"/>
    </w:rPr>
  </w:style>
  <w:style w:type="numbering" w:customStyle="1" w:styleId="Estiloimportado2">
    <w:name w:val="Estilo importado 2"/>
    <w:rsid w:val="00D03D56"/>
    <w:pPr>
      <w:numPr>
        <w:numId w:val="23"/>
      </w:numPr>
    </w:pPr>
  </w:style>
  <w:style w:type="numbering" w:customStyle="1" w:styleId="Estiloimportado4">
    <w:name w:val="Estilo importado 4"/>
    <w:rsid w:val="00D03D56"/>
    <w:pPr>
      <w:numPr>
        <w:numId w:val="25"/>
      </w:numPr>
    </w:pPr>
  </w:style>
  <w:style w:type="numbering" w:customStyle="1" w:styleId="Estiloimportado5">
    <w:name w:val="Estilo importado 5"/>
    <w:rsid w:val="00D03D56"/>
    <w:pPr>
      <w:numPr>
        <w:numId w:val="27"/>
      </w:numPr>
    </w:pPr>
  </w:style>
  <w:style w:type="numbering" w:customStyle="1" w:styleId="Estiloimportado6">
    <w:name w:val="Estilo importado 6"/>
    <w:rsid w:val="00D03D56"/>
    <w:pPr>
      <w:numPr>
        <w:numId w:val="29"/>
      </w:numPr>
    </w:pPr>
  </w:style>
  <w:style w:type="numbering" w:customStyle="1" w:styleId="Estiloimportado7">
    <w:name w:val="Estilo importado 7"/>
    <w:rsid w:val="00D03D56"/>
    <w:pPr>
      <w:numPr>
        <w:numId w:val="31"/>
      </w:numPr>
    </w:pPr>
  </w:style>
  <w:style w:type="numbering" w:customStyle="1" w:styleId="Estiloimportado8">
    <w:name w:val="Estilo importado 8"/>
    <w:rsid w:val="00D03D5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823">
      <w:bodyDiv w:val="1"/>
      <w:marLeft w:val="0"/>
      <w:marRight w:val="0"/>
      <w:marTop w:val="0"/>
      <w:marBottom w:val="0"/>
      <w:divBdr>
        <w:top w:val="none" w:sz="0" w:space="0" w:color="auto"/>
        <w:left w:val="none" w:sz="0" w:space="0" w:color="auto"/>
        <w:bottom w:val="none" w:sz="0" w:space="0" w:color="auto"/>
        <w:right w:val="none" w:sz="0" w:space="0" w:color="auto"/>
      </w:divBdr>
    </w:div>
    <w:div w:id="40205571">
      <w:bodyDiv w:val="1"/>
      <w:marLeft w:val="0"/>
      <w:marRight w:val="0"/>
      <w:marTop w:val="0"/>
      <w:marBottom w:val="0"/>
      <w:divBdr>
        <w:top w:val="none" w:sz="0" w:space="0" w:color="auto"/>
        <w:left w:val="none" w:sz="0" w:space="0" w:color="auto"/>
        <w:bottom w:val="none" w:sz="0" w:space="0" w:color="auto"/>
        <w:right w:val="none" w:sz="0" w:space="0" w:color="auto"/>
      </w:divBdr>
    </w:div>
    <w:div w:id="41446437">
      <w:bodyDiv w:val="1"/>
      <w:marLeft w:val="0"/>
      <w:marRight w:val="0"/>
      <w:marTop w:val="0"/>
      <w:marBottom w:val="0"/>
      <w:divBdr>
        <w:top w:val="none" w:sz="0" w:space="0" w:color="auto"/>
        <w:left w:val="none" w:sz="0" w:space="0" w:color="auto"/>
        <w:bottom w:val="none" w:sz="0" w:space="0" w:color="auto"/>
        <w:right w:val="none" w:sz="0" w:space="0" w:color="auto"/>
      </w:divBdr>
    </w:div>
    <w:div w:id="44985060">
      <w:bodyDiv w:val="1"/>
      <w:marLeft w:val="0"/>
      <w:marRight w:val="0"/>
      <w:marTop w:val="0"/>
      <w:marBottom w:val="0"/>
      <w:divBdr>
        <w:top w:val="none" w:sz="0" w:space="0" w:color="auto"/>
        <w:left w:val="none" w:sz="0" w:space="0" w:color="auto"/>
        <w:bottom w:val="none" w:sz="0" w:space="0" w:color="auto"/>
        <w:right w:val="none" w:sz="0" w:space="0" w:color="auto"/>
      </w:divBdr>
    </w:div>
    <w:div w:id="49156575">
      <w:bodyDiv w:val="1"/>
      <w:marLeft w:val="0"/>
      <w:marRight w:val="0"/>
      <w:marTop w:val="0"/>
      <w:marBottom w:val="0"/>
      <w:divBdr>
        <w:top w:val="none" w:sz="0" w:space="0" w:color="auto"/>
        <w:left w:val="none" w:sz="0" w:space="0" w:color="auto"/>
        <w:bottom w:val="none" w:sz="0" w:space="0" w:color="auto"/>
        <w:right w:val="none" w:sz="0" w:space="0" w:color="auto"/>
      </w:divBdr>
    </w:div>
    <w:div w:id="59325712">
      <w:bodyDiv w:val="1"/>
      <w:marLeft w:val="0"/>
      <w:marRight w:val="0"/>
      <w:marTop w:val="0"/>
      <w:marBottom w:val="0"/>
      <w:divBdr>
        <w:top w:val="none" w:sz="0" w:space="0" w:color="auto"/>
        <w:left w:val="none" w:sz="0" w:space="0" w:color="auto"/>
        <w:bottom w:val="none" w:sz="0" w:space="0" w:color="auto"/>
        <w:right w:val="none" w:sz="0" w:space="0" w:color="auto"/>
      </w:divBdr>
    </w:div>
    <w:div w:id="71972529">
      <w:bodyDiv w:val="1"/>
      <w:marLeft w:val="0"/>
      <w:marRight w:val="0"/>
      <w:marTop w:val="0"/>
      <w:marBottom w:val="0"/>
      <w:divBdr>
        <w:top w:val="none" w:sz="0" w:space="0" w:color="auto"/>
        <w:left w:val="none" w:sz="0" w:space="0" w:color="auto"/>
        <w:bottom w:val="none" w:sz="0" w:space="0" w:color="auto"/>
        <w:right w:val="none" w:sz="0" w:space="0" w:color="auto"/>
      </w:divBdr>
    </w:div>
    <w:div w:id="89937074">
      <w:bodyDiv w:val="1"/>
      <w:marLeft w:val="0"/>
      <w:marRight w:val="0"/>
      <w:marTop w:val="0"/>
      <w:marBottom w:val="0"/>
      <w:divBdr>
        <w:top w:val="none" w:sz="0" w:space="0" w:color="auto"/>
        <w:left w:val="none" w:sz="0" w:space="0" w:color="auto"/>
        <w:bottom w:val="none" w:sz="0" w:space="0" w:color="auto"/>
        <w:right w:val="none" w:sz="0" w:space="0" w:color="auto"/>
      </w:divBdr>
    </w:div>
    <w:div w:id="93062503">
      <w:bodyDiv w:val="1"/>
      <w:marLeft w:val="0"/>
      <w:marRight w:val="0"/>
      <w:marTop w:val="0"/>
      <w:marBottom w:val="0"/>
      <w:divBdr>
        <w:top w:val="none" w:sz="0" w:space="0" w:color="auto"/>
        <w:left w:val="none" w:sz="0" w:space="0" w:color="auto"/>
        <w:bottom w:val="none" w:sz="0" w:space="0" w:color="auto"/>
        <w:right w:val="none" w:sz="0" w:space="0" w:color="auto"/>
      </w:divBdr>
    </w:div>
    <w:div w:id="98181892">
      <w:bodyDiv w:val="1"/>
      <w:marLeft w:val="0"/>
      <w:marRight w:val="0"/>
      <w:marTop w:val="0"/>
      <w:marBottom w:val="0"/>
      <w:divBdr>
        <w:top w:val="none" w:sz="0" w:space="0" w:color="auto"/>
        <w:left w:val="none" w:sz="0" w:space="0" w:color="auto"/>
        <w:bottom w:val="none" w:sz="0" w:space="0" w:color="auto"/>
        <w:right w:val="none" w:sz="0" w:space="0" w:color="auto"/>
      </w:divBdr>
    </w:div>
    <w:div w:id="103111514">
      <w:bodyDiv w:val="1"/>
      <w:marLeft w:val="0"/>
      <w:marRight w:val="0"/>
      <w:marTop w:val="0"/>
      <w:marBottom w:val="0"/>
      <w:divBdr>
        <w:top w:val="none" w:sz="0" w:space="0" w:color="auto"/>
        <w:left w:val="none" w:sz="0" w:space="0" w:color="auto"/>
        <w:bottom w:val="none" w:sz="0" w:space="0" w:color="auto"/>
        <w:right w:val="none" w:sz="0" w:space="0" w:color="auto"/>
      </w:divBdr>
    </w:div>
    <w:div w:id="117996566">
      <w:bodyDiv w:val="1"/>
      <w:marLeft w:val="0"/>
      <w:marRight w:val="0"/>
      <w:marTop w:val="0"/>
      <w:marBottom w:val="0"/>
      <w:divBdr>
        <w:top w:val="none" w:sz="0" w:space="0" w:color="auto"/>
        <w:left w:val="none" w:sz="0" w:space="0" w:color="auto"/>
        <w:bottom w:val="none" w:sz="0" w:space="0" w:color="auto"/>
        <w:right w:val="none" w:sz="0" w:space="0" w:color="auto"/>
      </w:divBdr>
    </w:div>
    <w:div w:id="137264719">
      <w:bodyDiv w:val="1"/>
      <w:marLeft w:val="0"/>
      <w:marRight w:val="0"/>
      <w:marTop w:val="0"/>
      <w:marBottom w:val="0"/>
      <w:divBdr>
        <w:top w:val="none" w:sz="0" w:space="0" w:color="auto"/>
        <w:left w:val="none" w:sz="0" w:space="0" w:color="auto"/>
        <w:bottom w:val="none" w:sz="0" w:space="0" w:color="auto"/>
        <w:right w:val="none" w:sz="0" w:space="0" w:color="auto"/>
      </w:divBdr>
    </w:div>
    <w:div w:id="143008840">
      <w:bodyDiv w:val="1"/>
      <w:marLeft w:val="0"/>
      <w:marRight w:val="0"/>
      <w:marTop w:val="0"/>
      <w:marBottom w:val="0"/>
      <w:divBdr>
        <w:top w:val="none" w:sz="0" w:space="0" w:color="auto"/>
        <w:left w:val="none" w:sz="0" w:space="0" w:color="auto"/>
        <w:bottom w:val="none" w:sz="0" w:space="0" w:color="auto"/>
        <w:right w:val="none" w:sz="0" w:space="0" w:color="auto"/>
      </w:divBdr>
    </w:div>
    <w:div w:id="175001121">
      <w:bodyDiv w:val="1"/>
      <w:marLeft w:val="0"/>
      <w:marRight w:val="0"/>
      <w:marTop w:val="0"/>
      <w:marBottom w:val="0"/>
      <w:divBdr>
        <w:top w:val="none" w:sz="0" w:space="0" w:color="auto"/>
        <w:left w:val="none" w:sz="0" w:space="0" w:color="auto"/>
        <w:bottom w:val="none" w:sz="0" w:space="0" w:color="auto"/>
        <w:right w:val="none" w:sz="0" w:space="0" w:color="auto"/>
      </w:divBdr>
    </w:div>
    <w:div w:id="175921146">
      <w:bodyDiv w:val="1"/>
      <w:marLeft w:val="0"/>
      <w:marRight w:val="0"/>
      <w:marTop w:val="0"/>
      <w:marBottom w:val="0"/>
      <w:divBdr>
        <w:top w:val="none" w:sz="0" w:space="0" w:color="auto"/>
        <w:left w:val="none" w:sz="0" w:space="0" w:color="auto"/>
        <w:bottom w:val="none" w:sz="0" w:space="0" w:color="auto"/>
        <w:right w:val="none" w:sz="0" w:space="0" w:color="auto"/>
      </w:divBdr>
    </w:div>
    <w:div w:id="210581528">
      <w:bodyDiv w:val="1"/>
      <w:marLeft w:val="0"/>
      <w:marRight w:val="0"/>
      <w:marTop w:val="0"/>
      <w:marBottom w:val="0"/>
      <w:divBdr>
        <w:top w:val="none" w:sz="0" w:space="0" w:color="auto"/>
        <w:left w:val="none" w:sz="0" w:space="0" w:color="auto"/>
        <w:bottom w:val="none" w:sz="0" w:space="0" w:color="auto"/>
        <w:right w:val="none" w:sz="0" w:space="0" w:color="auto"/>
      </w:divBdr>
    </w:div>
    <w:div w:id="217515558">
      <w:bodyDiv w:val="1"/>
      <w:marLeft w:val="0"/>
      <w:marRight w:val="0"/>
      <w:marTop w:val="0"/>
      <w:marBottom w:val="0"/>
      <w:divBdr>
        <w:top w:val="none" w:sz="0" w:space="0" w:color="auto"/>
        <w:left w:val="none" w:sz="0" w:space="0" w:color="auto"/>
        <w:bottom w:val="none" w:sz="0" w:space="0" w:color="auto"/>
        <w:right w:val="none" w:sz="0" w:space="0" w:color="auto"/>
      </w:divBdr>
    </w:div>
    <w:div w:id="222330195">
      <w:bodyDiv w:val="1"/>
      <w:marLeft w:val="0"/>
      <w:marRight w:val="0"/>
      <w:marTop w:val="0"/>
      <w:marBottom w:val="0"/>
      <w:divBdr>
        <w:top w:val="none" w:sz="0" w:space="0" w:color="auto"/>
        <w:left w:val="none" w:sz="0" w:space="0" w:color="auto"/>
        <w:bottom w:val="none" w:sz="0" w:space="0" w:color="auto"/>
        <w:right w:val="none" w:sz="0" w:space="0" w:color="auto"/>
      </w:divBdr>
    </w:div>
    <w:div w:id="287663619">
      <w:bodyDiv w:val="1"/>
      <w:marLeft w:val="0"/>
      <w:marRight w:val="0"/>
      <w:marTop w:val="0"/>
      <w:marBottom w:val="0"/>
      <w:divBdr>
        <w:top w:val="none" w:sz="0" w:space="0" w:color="auto"/>
        <w:left w:val="none" w:sz="0" w:space="0" w:color="auto"/>
        <w:bottom w:val="none" w:sz="0" w:space="0" w:color="auto"/>
        <w:right w:val="none" w:sz="0" w:space="0" w:color="auto"/>
      </w:divBdr>
    </w:div>
    <w:div w:id="297420128">
      <w:bodyDiv w:val="1"/>
      <w:marLeft w:val="0"/>
      <w:marRight w:val="0"/>
      <w:marTop w:val="0"/>
      <w:marBottom w:val="0"/>
      <w:divBdr>
        <w:top w:val="none" w:sz="0" w:space="0" w:color="auto"/>
        <w:left w:val="none" w:sz="0" w:space="0" w:color="auto"/>
        <w:bottom w:val="none" w:sz="0" w:space="0" w:color="auto"/>
        <w:right w:val="none" w:sz="0" w:space="0" w:color="auto"/>
      </w:divBdr>
    </w:div>
    <w:div w:id="302317671">
      <w:bodyDiv w:val="1"/>
      <w:marLeft w:val="0"/>
      <w:marRight w:val="0"/>
      <w:marTop w:val="0"/>
      <w:marBottom w:val="0"/>
      <w:divBdr>
        <w:top w:val="none" w:sz="0" w:space="0" w:color="auto"/>
        <w:left w:val="none" w:sz="0" w:space="0" w:color="auto"/>
        <w:bottom w:val="none" w:sz="0" w:space="0" w:color="auto"/>
        <w:right w:val="none" w:sz="0" w:space="0" w:color="auto"/>
      </w:divBdr>
    </w:div>
    <w:div w:id="308247441">
      <w:bodyDiv w:val="1"/>
      <w:marLeft w:val="0"/>
      <w:marRight w:val="0"/>
      <w:marTop w:val="0"/>
      <w:marBottom w:val="0"/>
      <w:divBdr>
        <w:top w:val="none" w:sz="0" w:space="0" w:color="auto"/>
        <w:left w:val="none" w:sz="0" w:space="0" w:color="auto"/>
        <w:bottom w:val="none" w:sz="0" w:space="0" w:color="auto"/>
        <w:right w:val="none" w:sz="0" w:space="0" w:color="auto"/>
      </w:divBdr>
    </w:div>
    <w:div w:id="314187385">
      <w:bodyDiv w:val="1"/>
      <w:marLeft w:val="0"/>
      <w:marRight w:val="0"/>
      <w:marTop w:val="0"/>
      <w:marBottom w:val="0"/>
      <w:divBdr>
        <w:top w:val="none" w:sz="0" w:space="0" w:color="auto"/>
        <w:left w:val="none" w:sz="0" w:space="0" w:color="auto"/>
        <w:bottom w:val="none" w:sz="0" w:space="0" w:color="auto"/>
        <w:right w:val="none" w:sz="0" w:space="0" w:color="auto"/>
      </w:divBdr>
    </w:div>
    <w:div w:id="366295798">
      <w:bodyDiv w:val="1"/>
      <w:marLeft w:val="0"/>
      <w:marRight w:val="0"/>
      <w:marTop w:val="0"/>
      <w:marBottom w:val="0"/>
      <w:divBdr>
        <w:top w:val="none" w:sz="0" w:space="0" w:color="auto"/>
        <w:left w:val="none" w:sz="0" w:space="0" w:color="auto"/>
        <w:bottom w:val="none" w:sz="0" w:space="0" w:color="auto"/>
        <w:right w:val="none" w:sz="0" w:space="0" w:color="auto"/>
      </w:divBdr>
    </w:div>
    <w:div w:id="373313305">
      <w:bodyDiv w:val="1"/>
      <w:marLeft w:val="0"/>
      <w:marRight w:val="0"/>
      <w:marTop w:val="0"/>
      <w:marBottom w:val="0"/>
      <w:divBdr>
        <w:top w:val="none" w:sz="0" w:space="0" w:color="auto"/>
        <w:left w:val="none" w:sz="0" w:space="0" w:color="auto"/>
        <w:bottom w:val="none" w:sz="0" w:space="0" w:color="auto"/>
        <w:right w:val="none" w:sz="0" w:space="0" w:color="auto"/>
      </w:divBdr>
    </w:div>
    <w:div w:id="380254945">
      <w:bodyDiv w:val="1"/>
      <w:marLeft w:val="0"/>
      <w:marRight w:val="0"/>
      <w:marTop w:val="0"/>
      <w:marBottom w:val="0"/>
      <w:divBdr>
        <w:top w:val="none" w:sz="0" w:space="0" w:color="auto"/>
        <w:left w:val="none" w:sz="0" w:space="0" w:color="auto"/>
        <w:bottom w:val="none" w:sz="0" w:space="0" w:color="auto"/>
        <w:right w:val="none" w:sz="0" w:space="0" w:color="auto"/>
      </w:divBdr>
    </w:div>
    <w:div w:id="424427077">
      <w:bodyDiv w:val="1"/>
      <w:marLeft w:val="0"/>
      <w:marRight w:val="0"/>
      <w:marTop w:val="0"/>
      <w:marBottom w:val="0"/>
      <w:divBdr>
        <w:top w:val="none" w:sz="0" w:space="0" w:color="auto"/>
        <w:left w:val="none" w:sz="0" w:space="0" w:color="auto"/>
        <w:bottom w:val="none" w:sz="0" w:space="0" w:color="auto"/>
        <w:right w:val="none" w:sz="0" w:space="0" w:color="auto"/>
      </w:divBdr>
    </w:div>
    <w:div w:id="446698353">
      <w:bodyDiv w:val="1"/>
      <w:marLeft w:val="0"/>
      <w:marRight w:val="0"/>
      <w:marTop w:val="0"/>
      <w:marBottom w:val="0"/>
      <w:divBdr>
        <w:top w:val="none" w:sz="0" w:space="0" w:color="auto"/>
        <w:left w:val="none" w:sz="0" w:space="0" w:color="auto"/>
        <w:bottom w:val="none" w:sz="0" w:space="0" w:color="auto"/>
        <w:right w:val="none" w:sz="0" w:space="0" w:color="auto"/>
      </w:divBdr>
    </w:div>
    <w:div w:id="462777295">
      <w:bodyDiv w:val="1"/>
      <w:marLeft w:val="0"/>
      <w:marRight w:val="0"/>
      <w:marTop w:val="0"/>
      <w:marBottom w:val="0"/>
      <w:divBdr>
        <w:top w:val="none" w:sz="0" w:space="0" w:color="auto"/>
        <w:left w:val="none" w:sz="0" w:space="0" w:color="auto"/>
        <w:bottom w:val="none" w:sz="0" w:space="0" w:color="auto"/>
        <w:right w:val="none" w:sz="0" w:space="0" w:color="auto"/>
      </w:divBdr>
    </w:div>
    <w:div w:id="467667307">
      <w:bodyDiv w:val="1"/>
      <w:marLeft w:val="0"/>
      <w:marRight w:val="0"/>
      <w:marTop w:val="0"/>
      <w:marBottom w:val="0"/>
      <w:divBdr>
        <w:top w:val="none" w:sz="0" w:space="0" w:color="auto"/>
        <w:left w:val="none" w:sz="0" w:space="0" w:color="auto"/>
        <w:bottom w:val="none" w:sz="0" w:space="0" w:color="auto"/>
        <w:right w:val="none" w:sz="0" w:space="0" w:color="auto"/>
      </w:divBdr>
    </w:div>
    <w:div w:id="488642943">
      <w:bodyDiv w:val="1"/>
      <w:marLeft w:val="0"/>
      <w:marRight w:val="0"/>
      <w:marTop w:val="0"/>
      <w:marBottom w:val="0"/>
      <w:divBdr>
        <w:top w:val="none" w:sz="0" w:space="0" w:color="auto"/>
        <w:left w:val="none" w:sz="0" w:space="0" w:color="auto"/>
        <w:bottom w:val="none" w:sz="0" w:space="0" w:color="auto"/>
        <w:right w:val="none" w:sz="0" w:space="0" w:color="auto"/>
      </w:divBdr>
    </w:div>
    <w:div w:id="489518645">
      <w:bodyDiv w:val="1"/>
      <w:marLeft w:val="0"/>
      <w:marRight w:val="0"/>
      <w:marTop w:val="0"/>
      <w:marBottom w:val="0"/>
      <w:divBdr>
        <w:top w:val="none" w:sz="0" w:space="0" w:color="auto"/>
        <w:left w:val="none" w:sz="0" w:space="0" w:color="auto"/>
        <w:bottom w:val="none" w:sz="0" w:space="0" w:color="auto"/>
        <w:right w:val="none" w:sz="0" w:space="0" w:color="auto"/>
      </w:divBdr>
    </w:div>
    <w:div w:id="490633422">
      <w:bodyDiv w:val="1"/>
      <w:marLeft w:val="0"/>
      <w:marRight w:val="0"/>
      <w:marTop w:val="0"/>
      <w:marBottom w:val="0"/>
      <w:divBdr>
        <w:top w:val="none" w:sz="0" w:space="0" w:color="auto"/>
        <w:left w:val="none" w:sz="0" w:space="0" w:color="auto"/>
        <w:bottom w:val="none" w:sz="0" w:space="0" w:color="auto"/>
        <w:right w:val="none" w:sz="0" w:space="0" w:color="auto"/>
      </w:divBdr>
    </w:div>
    <w:div w:id="508712563">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11648065">
      <w:bodyDiv w:val="1"/>
      <w:marLeft w:val="0"/>
      <w:marRight w:val="0"/>
      <w:marTop w:val="0"/>
      <w:marBottom w:val="0"/>
      <w:divBdr>
        <w:top w:val="none" w:sz="0" w:space="0" w:color="auto"/>
        <w:left w:val="none" w:sz="0" w:space="0" w:color="auto"/>
        <w:bottom w:val="none" w:sz="0" w:space="0" w:color="auto"/>
        <w:right w:val="none" w:sz="0" w:space="0" w:color="auto"/>
      </w:divBdr>
    </w:div>
    <w:div w:id="520897231">
      <w:bodyDiv w:val="1"/>
      <w:marLeft w:val="0"/>
      <w:marRight w:val="0"/>
      <w:marTop w:val="0"/>
      <w:marBottom w:val="0"/>
      <w:divBdr>
        <w:top w:val="none" w:sz="0" w:space="0" w:color="auto"/>
        <w:left w:val="none" w:sz="0" w:space="0" w:color="auto"/>
        <w:bottom w:val="none" w:sz="0" w:space="0" w:color="auto"/>
        <w:right w:val="none" w:sz="0" w:space="0" w:color="auto"/>
      </w:divBdr>
    </w:div>
    <w:div w:id="532577356">
      <w:bodyDiv w:val="1"/>
      <w:marLeft w:val="0"/>
      <w:marRight w:val="0"/>
      <w:marTop w:val="0"/>
      <w:marBottom w:val="0"/>
      <w:divBdr>
        <w:top w:val="none" w:sz="0" w:space="0" w:color="auto"/>
        <w:left w:val="none" w:sz="0" w:space="0" w:color="auto"/>
        <w:bottom w:val="none" w:sz="0" w:space="0" w:color="auto"/>
        <w:right w:val="none" w:sz="0" w:space="0" w:color="auto"/>
      </w:divBdr>
    </w:div>
    <w:div w:id="551504551">
      <w:bodyDiv w:val="1"/>
      <w:marLeft w:val="0"/>
      <w:marRight w:val="0"/>
      <w:marTop w:val="0"/>
      <w:marBottom w:val="0"/>
      <w:divBdr>
        <w:top w:val="none" w:sz="0" w:space="0" w:color="auto"/>
        <w:left w:val="none" w:sz="0" w:space="0" w:color="auto"/>
        <w:bottom w:val="none" w:sz="0" w:space="0" w:color="auto"/>
        <w:right w:val="none" w:sz="0" w:space="0" w:color="auto"/>
      </w:divBdr>
    </w:div>
    <w:div w:id="551965782">
      <w:bodyDiv w:val="1"/>
      <w:marLeft w:val="0"/>
      <w:marRight w:val="0"/>
      <w:marTop w:val="0"/>
      <w:marBottom w:val="0"/>
      <w:divBdr>
        <w:top w:val="none" w:sz="0" w:space="0" w:color="auto"/>
        <w:left w:val="none" w:sz="0" w:space="0" w:color="auto"/>
        <w:bottom w:val="none" w:sz="0" w:space="0" w:color="auto"/>
        <w:right w:val="none" w:sz="0" w:space="0" w:color="auto"/>
      </w:divBdr>
    </w:div>
    <w:div w:id="592780101">
      <w:bodyDiv w:val="1"/>
      <w:marLeft w:val="0"/>
      <w:marRight w:val="0"/>
      <w:marTop w:val="0"/>
      <w:marBottom w:val="0"/>
      <w:divBdr>
        <w:top w:val="none" w:sz="0" w:space="0" w:color="auto"/>
        <w:left w:val="none" w:sz="0" w:space="0" w:color="auto"/>
        <w:bottom w:val="none" w:sz="0" w:space="0" w:color="auto"/>
        <w:right w:val="none" w:sz="0" w:space="0" w:color="auto"/>
      </w:divBdr>
    </w:div>
    <w:div w:id="632096378">
      <w:bodyDiv w:val="1"/>
      <w:marLeft w:val="0"/>
      <w:marRight w:val="0"/>
      <w:marTop w:val="0"/>
      <w:marBottom w:val="0"/>
      <w:divBdr>
        <w:top w:val="none" w:sz="0" w:space="0" w:color="auto"/>
        <w:left w:val="none" w:sz="0" w:space="0" w:color="auto"/>
        <w:bottom w:val="none" w:sz="0" w:space="0" w:color="auto"/>
        <w:right w:val="none" w:sz="0" w:space="0" w:color="auto"/>
      </w:divBdr>
    </w:div>
    <w:div w:id="679310329">
      <w:bodyDiv w:val="1"/>
      <w:marLeft w:val="0"/>
      <w:marRight w:val="0"/>
      <w:marTop w:val="0"/>
      <w:marBottom w:val="0"/>
      <w:divBdr>
        <w:top w:val="none" w:sz="0" w:space="0" w:color="auto"/>
        <w:left w:val="none" w:sz="0" w:space="0" w:color="auto"/>
        <w:bottom w:val="none" w:sz="0" w:space="0" w:color="auto"/>
        <w:right w:val="none" w:sz="0" w:space="0" w:color="auto"/>
      </w:divBdr>
    </w:div>
    <w:div w:id="687802372">
      <w:bodyDiv w:val="1"/>
      <w:marLeft w:val="0"/>
      <w:marRight w:val="0"/>
      <w:marTop w:val="0"/>
      <w:marBottom w:val="0"/>
      <w:divBdr>
        <w:top w:val="none" w:sz="0" w:space="0" w:color="auto"/>
        <w:left w:val="none" w:sz="0" w:space="0" w:color="auto"/>
        <w:bottom w:val="none" w:sz="0" w:space="0" w:color="auto"/>
        <w:right w:val="none" w:sz="0" w:space="0" w:color="auto"/>
      </w:divBdr>
    </w:div>
    <w:div w:id="690423761">
      <w:bodyDiv w:val="1"/>
      <w:marLeft w:val="0"/>
      <w:marRight w:val="0"/>
      <w:marTop w:val="0"/>
      <w:marBottom w:val="0"/>
      <w:divBdr>
        <w:top w:val="none" w:sz="0" w:space="0" w:color="auto"/>
        <w:left w:val="none" w:sz="0" w:space="0" w:color="auto"/>
        <w:bottom w:val="none" w:sz="0" w:space="0" w:color="auto"/>
        <w:right w:val="none" w:sz="0" w:space="0" w:color="auto"/>
      </w:divBdr>
    </w:div>
    <w:div w:id="697504897">
      <w:bodyDiv w:val="1"/>
      <w:marLeft w:val="0"/>
      <w:marRight w:val="0"/>
      <w:marTop w:val="0"/>
      <w:marBottom w:val="0"/>
      <w:divBdr>
        <w:top w:val="none" w:sz="0" w:space="0" w:color="auto"/>
        <w:left w:val="none" w:sz="0" w:space="0" w:color="auto"/>
        <w:bottom w:val="none" w:sz="0" w:space="0" w:color="auto"/>
        <w:right w:val="none" w:sz="0" w:space="0" w:color="auto"/>
      </w:divBdr>
    </w:div>
    <w:div w:id="720714937">
      <w:bodyDiv w:val="1"/>
      <w:marLeft w:val="0"/>
      <w:marRight w:val="0"/>
      <w:marTop w:val="0"/>
      <w:marBottom w:val="0"/>
      <w:divBdr>
        <w:top w:val="none" w:sz="0" w:space="0" w:color="auto"/>
        <w:left w:val="none" w:sz="0" w:space="0" w:color="auto"/>
        <w:bottom w:val="none" w:sz="0" w:space="0" w:color="auto"/>
        <w:right w:val="none" w:sz="0" w:space="0" w:color="auto"/>
      </w:divBdr>
    </w:div>
    <w:div w:id="723338305">
      <w:bodyDiv w:val="1"/>
      <w:marLeft w:val="0"/>
      <w:marRight w:val="0"/>
      <w:marTop w:val="0"/>
      <w:marBottom w:val="0"/>
      <w:divBdr>
        <w:top w:val="none" w:sz="0" w:space="0" w:color="auto"/>
        <w:left w:val="none" w:sz="0" w:space="0" w:color="auto"/>
        <w:bottom w:val="none" w:sz="0" w:space="0" w:color="auto"/>
        <w:right w:val="none" w:sz="0" w:space="0" w:color="auto"/>
      </w:divBdr>
    </w:div>
    <w:div w:id="739594485">
      <w:bodyDiv w:val="1"/>
      <w:marLeft w:val="0"/>
      <w:marRight w:val="0"/>
      <w:marTop w:val="0"/>
      <w:marBottom w:val="0"/>
      <w:divBdr>
        <w:top w:val="none" w:sz="0" w:space="0" w:color="auto"/>
        <w:left w:val="none" w:sz="0" w:space="0" w:color="auto"/>
        <w:bottom w:val="none" w:sz="0" w:space="0" w:color="auto"/>
        <w:right w:val="none" w:sz="0" w:space="0" w:color="auto"/>
      </w:divBdr>
    </w:div>
    <w:div w:id="741677823">
      <w:bodyDiv w:val="1"/>
      <w:marLeft w:val="0"/>
      <w:marRight w:val="0"/>
      <w:marTop w:val="0"/>
      <w:marBottom w:val="0"/>
      <w:divBdr>
        <w:top w:val="none" w:sz="0" w:space="0" w:color="auto"/>
        <w:left w:val="none" w:sz="0" w:space="0" w:color="auto"/>
        <w:bottom w:val="none" w:sz="0" w:space="0" w:color="auto"/>
        <w:right w:val="none" w:sz="0" w:space="0" w:color="auto"/>
      </w:divBdr>
    </w:div>
    <w:div w:id="836725504">
      <w:bodyDiv w:val="1"/>
      <w:marLeft w:val="0"/>
      <w:marRight w:val="0"/>
      <w:marTop w:val="0"/>
      <w:marBottom w:val="0"/>
      <w:divBdr>
        <w:top w:val="none" w:sz="0" w:space="0" w:color="auto"/>
        <w:left w:val="none" w:sz="0" w:space="0" w:color="auto"/>
        <w:bottom w:val="none" w:sz="0" w:space="0" w:color="auto"/>
        <w:right w:val="none" w:sz="0" w:space="0" w:color="auto"/>
      </w:divBdr>
    </w:div>
    <w:div w:id="885800635">
      <w:bodyDiv w:val="1"/>
      <w:marLeft w:val="0"/>
      <w:marRight w:val="0"/>
      <w:marTop w:val="0"/>
      <w:marBottom w:val="0"/>
      <w:divBdr>
        <w:top w:val="none" w:sz="0" w:space="0" w:color="auto"/>
        <w:left w:val="none" w:sz="0" w:space="0" w:color="auto"/>
        <w:bottom w:val="none" w:sz="0" w:space="0" w:color="auto"/>
        <w:right w:val="none" w:sz="0" w:space="0" w:color="auto"/>
      </w:divBdr>
    </w:div>
    <w:div w:id="895554475">
      <w:bodyDiv w:val="1"/>
      <w:marLeft w:val="0"/>
      <w:marRight w:val="0"/>
      <w:marTop w:val="0"/>
      <w:marBottom w:val="0"/>
      <w:divBdr>
        <w:top w:val="none" w:sz="0" w:space="0" w:color="auto"/>
        <w:left w:val="none" w:sz="0" w:space="0" w:color="auto"/>
        <w:bottom w:val="none" w:sz="0" w:space="0" w:color="auto"/>
        <w:right w:val="none" w:sz="0" w:space="0" w:color="auto"/>
      </w:divBdr>
    </w:div>
    <w:div w:id="916749494">
      <w:bodyDiv w:val="1"/>
      <w:marLeft w:val="0"/>
      <w:marRight w:val="0"/>
      <w:marTop w:val="0"/>
      <w:marBottom w:val="0"/>
      <w:divBdr>
        <w:top w:val="none" w:sz="0" w:space="0" w:color="auto"/>
        <w:left w:val="none" w:sz="0" w:space="0" w:color="auto"/>
        <w:bottom w:val="none" w:sz="0" w:space="0" w:color="auto"/>
        <w:right w:val="none" w:sz="0" w:space="0" w:color="auto"/>
      </w:divBdr>
    </w:div>
    <w:div w:id="920944268">
      <w:bodyDiv w:val="1"/>
      <w:marLeft w:val="0"/>
      <w:marRight w:val="0"/>
      <w:marTop w:val="0"/>
      <w:marBottom w:val="0"/>
      <w:divBdr>
        <w:top w:val="none" w:sz="0" w:space="0" w:color="auto"/>
        <w:left w:val="none" w:sz="0" w:space="0" w:color="auto"/>
        <w:bottom w:val="none" w:sz="0" w:space="0" w:color="auto"/>
        <w:right w:val="none" w:sz="0" w:space="0" w:color="auto"/>
      </w:divBdr>
    </w:div>
    <w:div w:id="934097338">
      <w:bodyDiv w:val="1"/>
      <w:marLeft w:val="0"/>
      <w:marRight w:val="0"/>
      <w:marTop w:val="0"/>
      <w:marBottom w:val="0"/>
      <w:divBdr>
        <w:top w:val="none" w:sz="0" w:space="0" w:color="auto"/>
        <w:left w:val="none" w:sz="0" w:space="0" w:color="auto"/>
        <w:bottom w:val="none" w:sz="0" w:space="0" w:color="auto"/>
        <w:right w:val="none" w:sz="0" w:space="0" w:color="auto"/>
      </w:divBdr>
    </w:div>
    <w:div w:id="940574113">
      <w:bodyDiv w:val="1"/>
      <w:marLeft w:val="0"/>
      <w:marRight w:val="0"/>
      <w:marTop w:val="0"/>
      <w:marBottom w:val="0"/>
      <w:divBdr>
        <w:top w:val="none" w:sz="0" w:space="0" w:color="auto"/>
        <w:left w:val="none" w:sz="0" w:space="0" w:color="auto"/>
        <w:bottom w:val="none" w:sz="0" w:space="0" w:color="auto"/>
        <w:right w:val="none" w:sz="0" w:space="0" w:color="auto"/>
      </w:divBdr>
    </w:div>
    <w:div w:id="942689450">
      <w:bodyDiv w:val="1"/>
      <w:marLeft w:val="0"/>
      <w:marRight w:val="0"/>
      <w:marTop w:val="0"/>
      <w:marBottom w:val="0"/>
      <w:divBdr>
        <w:top w:val="none" w:sz="0" w:space="0" w:color="auto"/>
        <w:left w:val="none" w:sz="0" w:space="0" w:color="auto"/>
        <w:bottom w:val="none" w:sz="0" w:space="0" w:color="auto"/>
        <w:right w:val="none" w:sz="0" w:space="0" w:color="auto"/>
      </w:divBdr>
    </w:div>
    <w:div w:id="951130088">
      <w:bodyDiv w:val="1"/>
      <w:marLeft w:val="0"/>
      <w:marRight w:val="0"/>
      <w:marTop w:val="0"/>
      <w:marBottom w:val="0"/>
      <w:divBdr>
        <w:top w:val="none" w:sz="0" w:space="0" w:color="auto"/>
        <w:left w:val="none" w:sz="0" w:space="0" w:color="auto"/>
        <w:bottom w:val="none" w:sz="0" w:space="0" w:color="auto"/>
        <w:right w:val="none" w:sz="0" w:space="0" w:color="auto"/>
      </w:divBdr>
    </w:div>
    <w:div w:id="952903798">
      <w:bodyDiv w:val="1"/>
      <w:marLeft w:val="0"/>
      <w:marRight w:val="0"/>
      <w:marTop w:val="0"/>
      <w:marBottom w:val="0"/>
      <w:divBdr>
        <w:top w:val="none" w:sz="0" w:space="0" w:color="auto"/>
        <w:left w:val="none" w:sz="0" w:space="0" w:color="auto"/>
        <w:bottom w:val="none" w:sz="0" w:space="0" w:color="auto"/>
        <w:right w:val="none" w:sz="0" w:space="0" w:color="auto"/>
      </w:divBdr>
    </w:div>
    <w:div w:id="991635684">
      <w:bodyDiv w:val="1"/>
      <w:marLeft w:val="0"/>
      <w:marRight w:val="0"/>
      <w:marTop w:val="0"/>
      <w:marBottom w:val="0"/>
      <w:divBdr>
        <w:top w:val="none" w:sz="0" w:space="0" w:color="auto"/>
        <w:left w:val="none" w:sz="0" w:space="0" w:color="auto"/>
        <w:bottom w:val="none" w:sz="0" w:space="0" w:color="auto"/>
        <w:right w:val="none" w:sz="0" w:space="0" w:color="auto"/>
      </w:divBdr>
    </w:div>
    <w:div w:id="993528235">
      <w:bodyDiv w:val="1"/>
      <w:marLeft w:val="0"/>
      <w:marRight w:val="0"/>
      <w:marTop w:val="0"/>
      <w:marBottom w:val="0"/>
      <w:divBdr>
        <w:top w:val="none" w:sz="0" w:space="0" w:color="auto"/>
        <w:left w:val="none" w:sz="0" w:space="0" w:color="auto"/>
        <w:bottom w:val="none" w:sz="0" w:space="0" w:color="auto"/>
        <w:right w:val="none" w:sz="0" w:space="0" w:color="auto"/>
      </w:divBdr>
    </w:div>
    <w:div w:id="995956131">
      <w:bodyDiv w:val="1"/>
      <w:marLeft w:val="0"/>
      <w:marRight w:val="0"/>
      <w:marTop w:val="0"/>
      <w:marBottom w:val="0"/>
      <w:divBdr>
        <w:top w:val="none" w:sz="0" w:space="0" w:color="auto"/>
        <w:left w:val="none" w:sz="0" w:space="0" w:color="auto"/>
        <w:bottom w:val="none" w:sz="0" w:space="0" w:color="auto"/>
        <w:right w:val="none" w:sz="0" w:space="0" w:color="auto"/>
      </w:divBdr>
    </w:div>
    <w:div w:id="995963115">
      <w:bodyDiv w:val="1"/>
      <w:marLeft w:val="0"/>
      <w:marRight w:val="0"/>
      <w:marTop w:val="0"/>
      <w:marBottom w:val="0"/>
      <w:divBdr>
        <w:top w:val="none" w:sz="0" w:space="0" w:color="auto"/>
        <w:left w:val="none" w:sz="0" w:space="0" w:color="auto"/>
        <w:bottom w:val="none" w:sz="0" w:space="0" w:color="auto"/>
        <w:right w:val="none" w:sz="0" w:space="0" w:color="auto"/>
      </w:divBdr>
    </w:div>
    <w:div w:id="999620755">
      <w:bodyDiv w:val="1"/>
      <w:marLeft w:val="0"/>
      <w:marRight w:val="0"/>
      <w:marTop w:val="0"/>
      <w:marBottom w:val="0"/>
      <w:divBdr>
        <w:top w:val="none" w:sz="0" w:space="0" w:color="auto"/>
        <w:left w:val="none" w:sz="0" w:space="0" w:color="auto"/>
        <w:bottom w:val="none" w:sz="0" w:space="0" w:color="auto"/>
        <w:right w:val="none" w:sz="0" w:space="0" w:color="auto"/>
      </w:divBdr>
    </w:div>
    <w:div w:id="1037631514">
      <w:bodyDiv w:val="1"/>
      <w:marLeft w:val="0"/>
      <w:marRight w:val="0"/>
      <w:marTop w:val="0"/>
      <w:marBottom w:val="0"/>
      <w:divBdr>
        <w:top w:val="none" w:sz="0" w:space="0" w:color="auto"/>
        <w:left w:val="none" w:sz="0" w:space="0" w:color="auto"/>
        <w:bottom w:val="none" w:sz="0" w:space="0" w:color="auto"/>
        <w:right w:val="none" w:sz="0" w:space="0" w:color="auto"/>
      </w:divBdr>
    </w:div>
    <w:div w:id="1041056872">
      <w:bodyDiv w:val="1"/>
      <w:marLeft w:val="0"/>
      <w:marRight w:val="0"/>
      <w:marTop w:val="0"/>
      <w:marBottom w:val="0"/>
      <w:divBdr>
        <w:top w:val="none" w:sz="0" w:space="0" w:color="auto"/>
        <w:left w:val="none" w:sz="0" w:space="0" w:color="auto"/>
        <w:bottom w:val="none" w:sz="0" w:space="0" w:color="auto"/>
        <w:right w:val="none" w:sz="0" w:space="0" w:color="auto"/>
      </w:divBdr>
    </w:div>
    <w:div w:id="1045174885">
      <w:bodyDiv w:val="1"/>
      <w:marLeft w:val="0"/>
      <w:marRight w:val="0"/>
      <w:marTop w:val="0"/>
      <w:marBottom w:val="0"/>
      <w:divBdr>
        <w:top w:val="none" w:sz="0" w:space="0" w:color="auto"/>
        <w:left w:val="none" w:sz="0" w:space="0" w:color="auto"/>
        <w:bottom w:val="none" w:sz="0" w:space="0" w:color="auto"/>
        <w:right w:val="none" w:sz="0" w:space="0" w:color="auto"/>
      </w:divBdr>
    </w:div>
    <w:div w:id="1051156533">
      <w:bodyDiv w:val="1"/>
      <w:marLeft w:val="0"/>
      <w:marRight w:val="0"/>
      <w:marTop w:val="0"/>
      <w:marBottom w:val="0"/>
      <w:divBdr>
        <w:top w:val="none" w:sz="0" w:space="0" w:color="auto"/>
        <w:left w:val="none" w:sz="0" w:space="0" w:color="auto"/>
        <w:bottom w:val="none" w:sz="0" w:space="0" w:color="auto"/>
        <w:right w:val="none" w:sz="0" w:space="0" w:color="auto"/>
      </w:divBdr>
    </w:div>
    <w:div w:id="1055741483">
      <w:bodyDiv w:val="1"/>
      <w:marLeft w:val="0"/>
      <w:marRight w:val="0"/>
      <w:marTop w:val="0"/>
      <w:marBottom w:val="0"/>
      <w:divBdr>
        <w:top w:val="none" w:sz="0" w:space="0" w:color="auto"/>
        <w:left w:val="none" w:sz="0" w:space="0" w:color="auto"/>
        <w:bottom w:val="none" w:sz="0" w:space="0" w:color="auto"/>
        <w:right w:val="none" w:sz="0" w:space="0" w:color="auto"/>
      </w:divBdr>
    </w:div>
    <w:div w:id="1068646569">
      <w:bodyDiv w:val="1"/>
      <w:marLeft w:val="0"/>
      <w:marRight w:val="0"/>
      <w:marTop w:val="0"/>
      <w:marBottom w:val="0"/>
      <w:divBdr>
        <w:top w:val="none" w:sz="0" w:space="0" w:color="auto"/>
        <w:left w:val="none" w:sz="0" w:space="0" w:color="auto"/>
        <w:bottom w:val="none" w:sz="0" w:space="0" w:color="auto"/>
        <w:right w:val="none" w:sz="0" w:space="0" w:color="auto"/>
      </w:divBdr>
    </w:div>
    <w:div w:id="1114596825">
      <w:bodyDiv w:val="1"/>
      <w:marLeft w:val="0"/>
      <w:marRight w:val="0"/>
      <w:marTop w:val="0"/>
      <w:marBottom w:val="0"/>
      <w:divBdr>
        <w:top w:val="none" w:sz="0" w:space="0" w:color="auto"/>
        <w:left w:val="none" w:sz="0" w:space="0" w:color="auto"/>
        <w:bottom w:val="none" w:sz="0" w:space="0" w:color="auto"/>
        <w:right w:val="none" w:sz="0" w:space="0" w:color="auto"/>
      </w:divBdr>
    </w:div>
    <w:div w:id="1130709583">
      <w:bodyDiv w:val="1"/>
      <w:marLeft w:val="0"/>
      <w:marRight w:val="0"/>
      <w:marTop w:val="0"/>
      <w:marBottom w:val="0"/>
      <w:divBdr>
        <w:top w:val="none" w:sz="0" w:space="0" w:color="auto"/>
        <w:left w:val="none" w:sz="0" w:space="0" w:color="auto"/>
        <w:bottom w:val="none" w:sz="0" w:space="0" w:color="auto"/>
        <w:right w:val="none" w:sz="0" w:space="0" w:color="auto"/>
      </w:divBdr>
    </w:div>
    <w:div w:id="1141194674">
      <w:bodyDiv w:val="1"/>
      <w:marLeft w:val="0"/>
      <w:marRight w:val="0"/>
      <w:marTop w:val="0"/>
      <w:marBottom w:val="0"/>
      <w:divBdr>
        <w:top w:val="none" w:sz="0" w:space="0" w:color="auto"/>
        <w:left w:val="none" w:sz="0" w:space="0" w:color="auto"/>
        <w:bottom w:val="none" w:sz="0" w:space="0" w:color="auto"/>
        <w:right w:val="none" w:sz="0" w:space="0" w:color="auto"/>
      </w:divBdr>
    </w:div>
    <w:div w:id="1142188181">
      <w:bodyDiv w:val="1"/>
      <w:marLeft w:val="0"/>
      <w:marRight w:val="0"/>
      <w:marTop w:val="0"/>
      <w:marBottom w:val="0"/>
      <w:divBdr>
        <w:top w:val="none" w:sz="0" w:space="0" w:color="auto"/>
        <w:left w:val="none" w:sz="0" w:space="0" w:color="auto"/>
        <w:bottom w:val="none" w:sz="0" w:space="0" w:color="auto"/>
        <w:right w:val="none" w:sz="0" w:space="0" w:color="auto"/>
      </w:divBdr>
    </w:div>
    <w:div w:id="1143035543">
      <w:bodyDiv w:val="1"/>
      <w:marLeft w:val="0"/>
      <w:marRight w:val="0"/>
      <w:marTop w:val="0"/>
      <w:marBottom w:val="0"/>
      <w:divBdr>
        <w:top w:val="none" w:sz="0" w:space="0" w:color="auto"/>
        <w:left w:val="none" w:sz="0" w:space="0" w:color="auto"/>
        <w:bottom w:val="none" w:sz="0" w:space="0" w:color="auto"/>
        <w:right w:val="none" w:sz="0" w:space="0" w:color="auto"/>
      </w:divBdr>
    </w:div>
    <w:div w:id="1144815442">
      <w:bodyDiv w:val="1"/>
      <w:marLeft w:val="0"/>
      <w:marRight w:val="0"/>
      <w:marTop w:val="0"/>
      <w:marBottom w:val="0"/>
      <w:divBdr>
        <w:top w:val="none" w:sz="0" w:space="0" w:color="auto"/>
        <w:left w:val="none" w:sz="0" w:space="0" w:color="auto"/>
        <w:bottom w:val="none" w:sz="0" w:space="0" w:color="auto"/>
        <w:right w:val="none" w:sz="0" w:space="0" w:color="auto"/>
      </w:divBdr>
    </w:div>
    <w:div w:id="1171070356">
      <w:bodyDiv w:val="1"/>
      <w:marLeft w:val="0"/>
      <w:marRight w:val="0"/>
      <w:marTop w:val="0"/>
      <w:marBottom w:val="0"/>
      <w:divBdr>
        <w:top w:val="none" w:sz="0" w:space="0" w:color="auto"/>
        <w:left w:val="none" w:sz="0" w:space="0" w:color="auto"/>
        <w:bottom w:val="none" w:sz="0" w:space="0" w:color="auto"/>
        <w:right w:val="none" w:sz="0" w:space="0" w:color="auto"/>
      </w:divBdr>
    </w:div>
    <w:div w:id="1174420374">
      <w:bodyDiv w:val="1"/>
      <w:marLeft w:val="0"/>
      <w:marRight w:val="0"/>
      <w:marTop w:val="0"/>
      <w:marBottom w:val="0"/>
      <w:divBdr>
        <w:top w:val="none" w:sz="0" w:space="0" w:color="auto"/>
        <w:left w:val="none" w:sz="0" w:space="0" w:color="auto"/>
        <w:bottom w:val="none" w:sz="0" w:space="0" w:color="auto"/>
        <w:right w:val="none" w:sz="0" w:space="0" w:color="auto"/>
      </w:divBdr>
    </w:div>
    <w:div w:id="1188174603">
      <w:bodyDiv w:val="1"/>
      <w:marLeft w:val="0"/>
      <w:marRight w:val="0"/>
      <w:marTop w:val="0"/>
      <w:marBottom w:val="0"/>
      <w:divBdr>
        <w:top w:val="none" w:sz="0" w:space="0" w:color="auto"/>
        <w:left w:val="none" w:sz="0" w:space="0" w:color="auto"/>
        <w:bottom w:val="none" w:sz="0" w:space="0" w:color="auto"/>
        <w:right w:val="none" w:sz="0" w:space="0" w:color="auto"/>
      </w:divBdr>
    </w:div>
    <w:div w:id="1191265417">
      <w:bodyDiv w:val="1"/>
      <w:marLeft w:val="0"/>
      <w:marRight w:val="0"/>
      <w:marTop w:val="0"/>
      <w:marBottom w:val="0"/>
      <w:divBdr>
        <w:top w:val="none" w:sz="0" w:space="0" w:color="auto"/>
        <w:left w:val="none" w:sz="0" w:space="0" w:color="auto"/>
        <w:bottom w:val="none" w:sz="0" w:space="0" w:color="auto"/>
        <w:right w:val="none" w:sz="0" w:space="0" w:color="auto"/>
      </w:divBdr>
    </w:div>
    <w:div w:id="1212576595">
      <w:bodyDiv w:val="1"/>
      <w:marLeft w:val="0"/>
      <w:marRight w:val="0"/>
      <w:marTop w:val="0"/>
      <w:marBottom w:val="0"/>
      <w:divBdr>
        <w:top w:val="none" w:sz="0" w:space="0" w:color="auto"/>
        <w:left w:val="none" w:sz="0" w:space="0" w:color="auto"/>
        <w:bottom w:val="none" w:sz="0" w:space="0" w:color="auto"/>
        <w:right w:val="none" w:sz="0" w:space="0" w:color="auto"/>
      </w:divBdr>
    </w:div>
    <w:div w:id="1220820127">
      <w:bodyDiv w:val="1"/>
      <w:marLeft w:val="0"/>
      <w:marRight w:val="0"/>
      <w:marTop w:val="0"/>
      <w:marBottom w:val="0"/>
      <w:divBdr>
        <w:top w:val="none" w:sz="0" w:space="0" w:color="auto"/>
        <w:left w:val="none" w:sz="0" w:space="0" w:color="auto"/>
        <w:bottom w:val="none" w:sz="0" w:space="0" w:color="auto"/>
        <w:right w:val="none" w:sz="0" w:space="0" w:color="auto"/>
      </w:divBdr>
    </w:div>
    <w:div w:id="1233348651">
      <w:bodyDiv w:val="1"/>
      <w:marLeft w:val="0"/>
      <w:marRight w:val="0"/>
      <w:marTop w:val="0"/>
      <w:marBottom w:val="0"/>
      <w:divBdr>
        <w:top w:val="none" w:sz="0" w:space="0" w:color="auto"/>
        <w:left w:val="none" w:sz="0" w:space="0" w:color="auto"/>
        <w:bottom w:val="none" w:sz="0" w:space="0" w:color="auto"/>
        <w:right w:val="none" w:sz="0" w:space="0" w:color="auto"/>
      </w:divBdr>
    </w:div>
    <w:div w:id="1236282277">
      <w:bodyDiv w:val="1"/>
      <w:marLeft w:val="0"/>
      <w:marRight w:val="0"/>
      <w:marTop w:val="0"/>
      <w:marBottom w:val="0"/>
      <w:divBdr>
        <w:top w:val="none" w:sz="0" w:space="0" w:color="auto"/>
        <w:left w:val="none" w:sz="0" w:space="0" w:color="auto"/>
        <w:bottom w:val="none" w:sz="0" w:space="0" w:color="auto"/>
        <w:right w:val="none" w:sz="0" w:space="0" w:color="auto"/>
      </w:divBdr>
    </w:div>
    <w:div w:id="1262420931">
      <w:bodyDiv w:val="1"/>
      <w:marLeft w:val="0"/>
      <w:marRight w:val="0"/>
      <w:marTop w:val="0"/>
      <w:marBottom w:val="0"/>
      <w:divBdr>
        <w:top w:val="none" w:sz="0" w:space="0" w:color="auto"/>
        <w:left w:val="none" w:sz="0" w:space="0" w:color="auto"/>
        <w:bottom w:val="none" w:sz="0" w:space="0" w:color="auto"/>
        <w:right w:val="none" w:sz="0" w:space="0" w:color="auto"/>
      </w:divBdr>
    </w:div>
    <w:div w:id="1273395119">
      <w:bodyDiv w:val="1"/>
      <w:marLeft w:val="0"/>
      <w:marRight w:val="0"/>
      <w:marTop w:val="0"/>
      <w:marBottom w:val="0"/>
      <w:divBdr>
        <w:top w:val="none" w:sz="0" w:space="0" w:color="auto"/>
        <w:left w:val="none" w:sz="0" w:space="0" w:color="auto"/>
        <w:bottom w:val="none" w:sz="0" w:space="0" w:color="auto"/>
        <w:right w:val="none" w:sz="0" w:space="0" w:color="auto"/>
      </w:divBdr>
    </w:div>
    <w:div w:id="1276252945">
      <w:bodyDiv w:val="1"/>
      <w:marLeft w:val="0"/>
      <w:marRight w:val="0"/>
      <w:marTop w:val="0"/>
      <w:marBottom w:val="0"/>
      <w:divBdr>
        <w:top w:val="none" w:sz="0" w:space="0" w:color="auto"/>
        <w:left w:val="none" w:sz="0" w:space="0" w:color="auto"/>
        <w:bottom w:val="none" w:sz="0" w:space="0" w:color="auto"/>
        <w:right w:val="none" w:sz="0" w:space="0" w:color="auto"/>
      </w:divBdr>
    </w:div>
    <w:div w:id="1282300765">
      <w:bodyDiv w:val="1"/>
      <w:marLeft w:val="0"/>
      <w:marRight w:val="0"/>
      <w:marTop w:val="0"/>
      <w:marBottom w:val="0"/>
      <w:divBdr>
        <w:top w:val="none" w:sz="0" w:space="0" w:color="auto"/>
        <w:left w:val="none" w:sz="0" w:space="0" w:color="auto"/>
        <w:bottom w:val="none" w:sz="0" w:space="0" w:color="auto"/>
        <w:right w:val="none" w:sz="0" w:space="0" w:color="auto"/>
      </w:divBdr>
    </w:div>
    <w:div w:id="1303347016">
      <w:bodyDiv w:val="1"/>
      <w:marLeft w:val="0"/>
      <w:marRight w:val="0"/>
      <w:marTop w:val="0"/>
      <w:marBottom w:val="0"/>
      <w:divBdr>
        <w:top w:val="none" w:sz="0" w:space="0" w:color="auto"/>
        <w:left w:val="none" w:sz="0" w:space="0" w:color="auto"/>
        <w:bottom w:val="none" w:sz="0" w:space="0" w:color="auto"/>
        <w:right w:val="none" w:sz="0" w:space="0" w:color="auto"/>
      </w:divBdr>
    </w:div>
    <w:div w:id="1310287048">
      <w:bodyDiv w:val="1"/>
      <w:marLeft w:val="0"/>
      <w:marRight w:val="0"/>
      <w:marTop w:val="0"/>
      <w:marBottom w:val="0"/>
      <w:divBdr>
        <w:top w:val="none" w:sz="0" w:space="0" w:color="auto"/>
        <w:left w:val="none" w:sz="0" w:space="0" w:color="auto"/>
        <w:bottom w:val="none" w:sz="0" w:space="0" w:color="auto"/>
        <w:right w:val="none" w:sz="0" w:space="0" w:color="auto"/>
      </w:divBdr>
    </w:div>
    <w:div w:id="1329482664">
      <w:bodyDiv w:val="1"/>
      <w:marLeft w:val="0"/>
      <w:marRight w:val="0"/>
      <w:marTop w:val="0"/>
      <w:marBottom w:val="0"/>
      <w:divBdr>
        <w:top w:val="none" w:sz="0" w:space="0" w:color="auto"/>
        <w:left w:val="none" w:sz="0" w:space="0" w:color="auto"/>
        <w:bottom w:val="none" w:sz="0" w:space="0" w:color="auto"/>
        <w:right w:val="none" w:sz="0" w:space="0" w:color="auto"/>
      </w:divBdr>
    </w:div>
    <w:div w:id="1332372928">
      <w:bodyDiv w:val="1"/>
      <w:marLeft w:val="0"/>
      <w:marRight w:val="0"/>
      <w:marTop w:val="0"/>
      <w:marBottom w:val="0"/>
      <w:divBdr>
        <w:top w:val="none" w:sz="0" w:space="0" w:color="auto"/>
        <w:left w:val="none" w:sz="0" w:space="0" w:color="auto"/>
        <w:bottom w:val="none" w:sz="0" w:space="0" w:color="auto"/>
        <w:right w:val="none" w:sz="0" w:space="0" w:color="auto"/>
      </w:divBdr>
    </w:div>
    <w:div w:id="1352493784">
      <w:bodyDiv w:val="1"/>
      <w:marLeft w:val="0"/>
      <w:marRight w:val="0"/>
      <w:marTop w:val="0"/>
      <w:marBottom w:val="0"/>
      <w:divBdr>
        <w:top w:val="none" w:sz="0" w:space="0" w:color="auto"/>
        <w:left w:val="none" w:sz="0" w:space="0" w:color="auto"/>
        <w:bottom w:val="none" w:sz="0" w:space="0" w:color="auto"/>
        <w:right w:val="none" w:sz="0" w:space="0" w:color="auto"/>
      </w:divBdr>
    </w:div>
    <w:div w:id="1370955216">
      <w:bodyDiv w:val="1"/>
      <w:marLeft w:val="0"/>
      <w:marRight w:val="0"/>
      <w:marTop w:val="0"/>
      <w:marBottom w:val="0"/>
      <w:divBdr>
        <w:top w:val="none" w:sz="0" w:space="0" w:color="auto"/>
        <w:left w:val="none" w:sz="0" w:space="0" w:color="auto"/>
        <w:bottom w:val="none" w:sz="0" w:space="0" w:color="auto"/>
        <w:right w:val="none" w:sz="0" w:space="0" w:color="auto"/>
      </w:divBdr>
    </w:div>
    <w:div w:id="1379165371">
      <w:bodyDiv w:val="1"/>
      <w:marLeft w:val="0"/>
      <w:marRight w:val="0"/>
      <w:marTop w:val="0"/>
      <w:marBottom w:val="0"/>
      <w:divBdr>
        <w:top w:val="none" w:sz="0" w:space="0" w:color="auto"/>
        <w:left w:val="none" w:sz="0" w:space="0" w:color="auto"/>
        <w:bottom w:val="none" w:sz="0" w:space="0" w:color="auto"/>
        <w:right w:val="none" w:sz="0" w:space="0" w:color="auto"/>
      </w:divBdr>
    </w:div>
    <w:div w:id="1402024100">
      <w:bodyDiv w:val="1"/>
      <w:marLeft w:val="0"/>
      <w:marRight w:val="0"/>
      <w:marTop w:val="0"/>
      <w:marBottom w:val="0"/>
      <w:divBdr>
        <w:top w:val="none" w:sz="0" w:space="0" w:color="auto"/>
        <w:left w:val="none" w:sz="0" w:space="0" w:color="auto"/>
        <w:bottom w:val="none" w:sz="0" w:space="0" w:color="auto"/>
        <w:right w:val="none" w:sz="0" w:space="0" w:color="auto"/>
      </w:divBdr>
    </w:div>
    <w:div w:id="1403530266">
      <w:bodyDiv w:val="1"/>
      <w:marLeft w:val="0"/>
      <w:marRight w:val="0"/>
      <w:marTop w:val="0"/>
      <w:marBottom w:val="0"/>
      <w:divBdr>
        <w:top w:val="none" w:sz="0" w:space="0" w:color="auto"/>
        <w:left w:val="none" w:sz="0" w:space="0" w:color="auto"/>
        <w:bottom w:val="none" w:sz="0" w:space="0" w:color="auto"/>
        <w:right w:val="none" w:sz="0" w:space="0" w:color="auto"/>
      </w:divBdr>
    </w:div>
    <w:div w:id="1407603633">
      <w:bodyDiv w:val="1"/>
      <w:marLeft w:val="0"/>
      <w:marRight w:val="0"/>
      <w:marTop w:val="0"/>
      <w:marBottom w:val="0"/>
      <w:divBdr>
        <w:top w:val="none" w:sz="0" w:space="0" w:color="auto"/>
        <w:left w:val="none" w:sz="0" w:space="0" w:color="auto"/>
        <w:bottom w:val="none" w:sz="0" w:space="0" w:color="auto"/>
        <w:right w:val="none" w:sz="0" w:space="0" w:color="auto"/>
      </w:divBdr>
    </w:div>
    <w:div w:id="1418943068">
      <w:bodyDiv w:val="1"/>
      <w:marLeft w:val="0"/>
      <w:marRight w:val="0"/>
      <w:marTop w:val="0"/>
      <w:marBottom w:val="0"/>
      <w:divBdr>
        <w:top w:val="none" w:sz="0" w:space="0" w:color="auto"/>
        <w:left w:val="none" w:sz="0" w:space="0" w:color="auto"/>
        <w:bottom w:val="none" w:sz="0" w:space="0" w:color="auto"/>
        <w:right w:val="none" w:sz="0" w:space="0" w:color="auto"/>
      </w:divBdr>
    </w:div>
    <w:div w:id="1445077452">
      <w:bodyDiv w:val="1"/>
      <w:marLeft w:val="0"/>
      <w:marRight w:val="0"/>
      <w:marTop w:val="0"/>
      <w:marBottom w:val="0"/>
      <w:divBdr>
        <w:top w:val="none" w:sz="0" w:space="0" w:color="auto"/>
        <w:left w:val="none" w:sz="0" w:space="0" w:color="auto"/>
        <w:bottom w:val="none" w:sz="0" w:space="0" w:color="auto"/>
        <w:right w:val="none" w:sz="0" w:space="0" w:color="auto"/>
      </w:divBdr>
    </w:div>
    <w:div w:id="1463960147">
      <w:bodyDiv w:val="1"/>
      <w:marLeft w:val="0"/>
      <w:marRight w:val="0"/>
      <w:marTop w:val="0"/>
      <w:marBottom w:val="0"/>
      <w:divBdr>
        <w:top w:val="none" w:sz="0" w:space="0" w:color="auto"/>
        <w:left w:val="none" w:sz="0" w:space="0" w:color="auto"/>
        <w:bottom w:val="none" w:sz="0" w:space="0" w:color="auto"/>
        <w:right w:val="none" w:sz="0" w:space="0" w:color="auto"/>
      </w:divBdr>
    </w:div>
    <w:div w:id="1484663673">
      <w:bodyDiv w:val="1"/>
      <w:marLeft w:val="0"/>
      <w:marRight w:val="0"/>
      <w:marTop w:val="0"/>
      <w:marBottom w:val="0"/>
      <w:divBdr>
        <w:top w:val="none" w:sz="0" w:space="0" w:color="auto"/>
        <w:left w:val="none" w:sz="0" w:space="0" w:color="auto"/>
        <w:bottom w:val="none" w:sz="0" w:space="0" w:color="auto"/>
        <w:right w:val="none" w:sz="0" w:space="0" w:color="auto"/>
      </w:divBdr>
    </w:div>
    <w:div w:id="1487237024">
      <w:bodyDiv w:val="1"/>
      <w:marLeft w:val="0"/>
      <w:marRight w:val="0"/>
      <w:marTop w:val="0"/>
      <w:marBottom w:val="0"/>
      <w:divBdr>
        <w:top w:val="none" w:sz="0" w:space="0" w:color="auto"/>
        <w:left w:val="none" w:sz="0" w:space="0" w:color="auto"/>
        <w:bottom w:val="none" w:sz="0" w:space="0" w:color="auto"/>
        <w:right w:val="none" w:sz="0" w:space="0" w:color="auto"/>
      </w:divBdr>
      <w:divsChild>
        <w:div w:id="545290831">
          <w:marLeft w:val="0"/>
          <w:marRight w:val="0"/>
          <w:marTop w:val="0"/>
          <w:marBottom w:val="0"/>
          <w:divBdr>
            <w:top w:val="none" w:sz="0" w:space="0" w:color="auto"/>
            <w:left w:val="none" w:sz="0" w:space="0" w:color="auto"/>
            <w:bottom w:val="none" w:sz="0" w:space="0" w:color="auto"/>
            <w:right w:val="none" w:sz="0" w:space="0" w:color="auto"/>
          </w:divBdr>
        </w:div>
      </w:divsChild>
    </w:div>
    <w:div w:id="1492334149">
      <w:bodyDiv w:val="1"/>
      <w:marLeft w:val="0"/>
      <w:marRight w:val="0"/>
      <w:marTop w:val="0"/>
      <w:marBottom w:val="0"/>
      <w:divBdr>
        <w:top w:val="none" w:sz="0" w:space="0" w:color="auto"/>
        <w:left w:val="none" w:sz="0" w:space="0" w:color="auto"/>
        <w:bottom w:val="none" w:sz="0" w:space="0" w:color="auto"/>
        <w:right w:val="none" w:sz="0" w:space="0" w:color="auto"/>
      </w:divBdr>
    </w:div>
    <w:div w:id="1512062022">
      <w:bodyDiv w:val="1"/>
      <w:marLeft w:val="0"/>
      <w:marRight w:val="0"/>
      <w:marTop w:val="0"/>
      <w:marBottom w:val="0"/>
      <w:divBdr>
        <w:top w:val="none" w:sz="0" w:space="0" w:color="auto"/>
        <w:left w:val="none" w:sz="0" w:space="0" w:color="auto"/>
        <w:bottom w:val="none" w:sz="0" w:space="0" w:color="auto"/>
        <w:right w:val="none" w:sz="0" w:space="0" w:color="auto"/>
      </w:divBdr>
    </w:div>
    <w:div w:id="1534074536">
      <w:bodyDiv w:val="1"/>
      <w:marLeft w:val="0"/>
      <w:marRight w:val="0"/>
      <w:marTop w:val="0"/>
      <w:marBottom w:val="0"/>
      <w:divBdr>
        <w:top w:val="none" w:sz="0" w:space="0" w:color="auto"/>
        <w:left w:val="none" w:sz="0" w:space="0" w:color="auto"/>
        <w:bottom w:val="none" w:sz="0" w:space="0" w:color="auto"/>
        <w:right w:val="none" w:sz="0" w:space="0" w:color="auto"/>
      </w:divBdr>
    </w:div>
    <w:div w:id="1541552513">
      <w:bodyDiv w:val="1"/>
      <w:marLeft w:val="0"/>
      <w:marRight w:val="0"/>
      <w:marTop w:val="0"/>
      <w:marBottom w:val="0"/>
      <w:divBdr>
        <w:top w:val="none" w:sz="0" w:space="0" w:color="auto"/>
        <w:left w:val="none" w:sz="0" w:space="0" w:color="auto"/>
        <w:bottom w:val="none" w:sz="0" w:space="0" w:color="auto"/>
        <w:right w:val="none" w:sz="0" w:space="0" w:color="auto"/>
      </w:divBdr>
    </w:div>
    <w:div w:id="1563565484">
      <w:bodyDiv w:val="1"/>
      <w:marLeft w:val="0"/>
      <w:marRight w:val="0"/>
      <w:marTop w:val="0"/>
      <w:marBottom w:val="0"/>
      <w:divBdr>
        <w:top w:val="none" w:sz="0" w:space="0" w:color="auto"/>
        <w:left w:val="none" w:sz="0" w:space="0" w:color="auto"/>
        <w:bottom w:val="none" w:sz="0" w:space="0" w:color="auto"/>
        <w:right w:val="none" w:sz="0" w:space="0" w:color="auto"/>
      </w:divBdr>
    </w:div>
    <w:div w:id="1601716966">
      <w:bodyDiv w:val="1"/>
      <w:marLeft w:val="0"/>
      <w:marRight w:val="0"/>
      <w:marTop w:val="0"/>
      <w:marBottom w:val="0"/>
      <w:divBdr>
        <w:top w:val="none" w:sz="0" w:space="0" w:color="auto"/>
        <w:left w:val="none" w:sz="0" w:space="0" w:color="auto"/>
        <w:bottom w:val="none" w:sz="0" w:space="0" w:color="auto"/>
        <w:right w:val="none" w:sz="0" w:space="0" w:color="auto"/>
      </w:divBdr>
    </w:div>
    <w:div w:id="1602110129">
      <w:bodyDiv w:val="1"/>
      <w:marLeft w:val="0"/>
      <w:marRight w:val="0"/>
      <w:marTop w:val="0"/>
      <w:marBottom w:val="0"/>
      <w:divBdr>
        <w:top w:val="none" w:sz="0" w:space="0" w:color="auto"/>
        <w:left w:val="none" w:sz="0" w:space="0" w:color="auto"/>
        <w:bottom w:val="none" w:sz="0" w:space="0" w:color="auto"/>
        <w:right w:val="none" w:sz="0" w:space="0" w:color="auto"/>
      </w:divBdr>
    </w:div>
    <w:div w:id="1620407039">
      <w:bodyDiv w:val="1"/>
      <w:marLeft w:val="0"/>
      <w:marRight w:val="0"/>
      <w:marTop w:val="0"/>
      <w:marBottom w:val="0"/>
      <w:divBdr>
        <w:top w:val="none" w:sz="0" w:space="0" w:color="auto"/>
        <w:left w:val="none" w:sz="0" w:space="0" w:color="auto"/>
        <w:bottom w:val="none" w:sz="0" w:space="0" w:color="auto"/>
        <w:right w:val="none" w:sz="0" w:space="0" w:color="auto"/>
      </w:divBdr>
    </w:div>
    <w:div w:id="1620839273">
      <w:bodyDiv w:val="1"/>
      <w:marLeft w:val="0"/>
      <w:marRight w:val="0"/>
      <w:marTop w:val="0"/>
      <w:marBottom w:val="0"/>
      <w:divBdr>
        <w:top w:val="none" w:sz="0" w:space="0" w:color="auto"/>
        <w:left w:val="none" w:sz="0" w:space="0" w:color="auto"/>
        <w:bottom w:val="none" w:sz="0" w:space="0" w:color="auto"/>
        <w:right w:val="none" w:sz="0" w:space="0" w:color="auto"/>
      </w:divBdr>
    </w:div>
    <w:div w:id="1622498765">
      <w:bodyDiv w:val="1"/>
      <w:marLeft w:val="0"/>
      <w:marRight w:val="0"/>
      <w:marTop w:val="0"/>
      <w:marBottom w:val="0"/>
      <w:divBdr>
        <w:top w:val="none" w:sz="0" w:space="0" w:color="auto"/>
        <w:left w:val="none" w:sz="0" w:space="0" w:color="auto"/>
        <w:bottom w:val="none" w:sz="0" w:space="0" w:color="auto"/>
        <w:right w:val="none" w:sz="0" w:space="0" w:color="auto"/>
      </w:divBdr>
    </w:div>
    <w:div w:id="1622690614">
      <w:bodyDiv w:val="1"/>
      <w:marLeft w:val="0"/>
      <w:marRight w:val="0"/>
      <w:marTop w:val="0"/>
      <w:marBottom w:val="0"/>
      <w:divBdr>
        <w:top w:val="none" w:sz="0" w:space="0" w:color="auto"/>
        <w:left w:val="none" w:sz="0" w:space="0" w:color="auto"/>
        <w:bottom w:val="none" w:sz="0" w:space="0" w:color="auto"/>
        <w:right w:val="none" w:sz="0" w:space="0" w:color="auto"/>
      </w:divBdr>
    </w:div>
    <w:div w:id="1632202968">
      <w:bodyDiv w:val="1"/>
      <w:marLeft w:val="0"/>
      <w:marRight w:val="0"/>
      <w:marTop w:val="0"/>
      <w:marBottom w:val="0"/>
      <w:divBdr>
        <w:top w:val="none" w:sz="0" w:space="0" w:color="auto"/>
        <w:left w:val="none" w:sz="0" w:space="0" w:color="auto"/>
        <w:bottom w:val="none" w:sz="0" w:space="0" w:color="auto"/>
        <w:right w:val="none" w:sz="0" w:space="0" w:color="auto"/>
      </w:divBdr>
    </w:div>
    <w:div w:id="1650552291">
      <w:bodyDiv w:val="1"/>
      <w:marLeft w:val="0"/>
      <w:marRight w:val="0"/>
      <w:marTop w:val="0"/>
      <w:marBottom w:val="0"/>
      <w:divBdr>
        <w:top w:val="none" w:sz="0" w:space="0" w:color="auto"/>
        <w:left w:val="none" w:sz="0" w:space="0" w:color="auto"/>
        <w:bottom w:val="none" w:sz="0" w:space="0" w:color="auto"/>
        <w:right w:val="none" w:sz="0" w:space="0" w:color="auto"/>
      </w:divBdr>
    </w:div>
    <w:div w:id="1665745899">
      <w:bodyDiv w:val="1"/>
      <w:marLeft w:val="0"/>
      <w:marRight w:val="0"/>
      <w:marTop w:val="0"/>
      <w:marBottom w:val="0"/>
      <w:divBdr>
        <w:top w:val="none" w:sz="0" w:space="0" w:color="auto"/>
        <w:left w:val="none" w:sz="0" w:space="0" w:color="auto"/>
        <w:bottom w:val="none" w:sz="0" w:space="0" w:color="auto"/>
        <w:right w:val="none" w:sz="0" w:space="0" w:color="auto"/>
      </w:divBdr>
    </w:div>
    <w:div w:id="1681665400">
      <w:bodyDiv w:val="1"/>
      <w:marLeft w:val="0"/>
      <w:marRight w:val="0"/>
      <w:marTop w:val="0"/>
      <w:marBottom w:val="0"/>
      <w:divBdr>
        <w:top w:val="none" w:sz="0" w:space="0" w:color="auto"/>
        <w:left w:val="none" w:sz="0" w:space="0" w:color="auto"/>
        <w:bottom w:val="none" w:sz="0" w:space="0" w:color="auto"/>
        <w:right w:val="none" w:sz="0" w:space="0" w:color="auto"/>
      </w:divBdr>
    </w:div>
    <w:div w:id="1682660790">
      <w:bodyDiv w:val="1"/>
      <w:marLeft w:val="0"/>
      <w:marRight w:val="0"/>
      <w:marTop w:val="0"/>
      <w:marBottom w:val="0"/>
      <w:divBdr>
        <w:top w:val="none" w:sz="0" w:space="0" w:color="auto"/>
        <w:left w:val="none" w:sz="0" w:space="0" w:color="auto"/>
        <w:bottom w:val="none" w:sz="0" w:space="0" w:color="auto"/>
        <w:right w:val="none" w:sz="0" w:space="0" w:color="auto"/>
      </w:divBdr>
    </w:div>
    <w:div w:id="1684357429">
      <w:bodyDiv w:val="1"/>
      <w:marLeft w:val="0"/>
      <w:marRight w:val="0"/>
      <w:marTop w:val="0"/>
      <w:marBottom w:val="0"/>
      <w:divBdr>
        <w:top w:val="none" w:sz="0" w:space="0" w:color="auto"/>
        <w:left w:val="none" w:sz="0" w:space="0" w:color="auto"/>
        <w:bottom w:val="none" w:sz="0" w:space="0" w:color="auto"/>
        <w:right w:val="none" w:sz="0" w:space="0" w:color="auto"/>
      </w:divBdr>
    </w:div>
    <w:div w:id="1734617819">
      <w:bodyDiv w:val="1"/>
      <w:marLeft w:val="0"/>
      <w:marRight w:val="0"/>
      <w:marTop w:val="0"/>
      <w:marBottom w:val="0"/>
      <w:divBdr>
        <w:top w:val="none" w:sz="0" w:space="0" w:color="auto"/>
        <w:left w:val="none" w:sz="0" w:space="0" w:color="auto"/>
        <w:bottom w:val="none" w:sz="0" w:space="0" w:color="auto"/>
        <w:right w:val="none" w:sz="0" w:space="0" w:color="auto"/>
      </w:divBdr>
    </w:div>
    <w:div w:id="1734618178">
      <w:bodyDiv w:val="1"/>
      <w:marLeft w:val="0"/>
      <w:marRight w:val="0"/>
      <w:marTop w:val="0"/>
      <w:marBottom w:val="0"/>
      <w:divBdr>
        <w:top w:val="none" w:sz="0" w:space="0" w:color="auto"/>
        <w:left w:val="none" w:sz="0" w:space="0" w:color="auto"/>
        <w:bottom w:val="none" w:sz="0" w:space="0" w:color="auto"/>
        <w:right w:val="none" w:sz="0" w:space="0" w:color="auto"/>
      </w:divBdr>
    </w:div>
    <w:div w:id="1795295527">
      <w:bodyDiv w:val="1"/>
      <w:marLeft w:val="0"/>
      <w:marRight w:val="0"/>
      <w:marTop w:val="0"/>
      <w:marBottom w:val="0"/>
      <w:divBdr>
        <w:top w:val="none" w:sz="0" w:space="0" w:color="auto"/>
        <w:left w:val="none" w:sz="0" w:space="0" w:color="auto"/>
        <w:bottom w:val="none" w:sz="0" w:space="0" w:color="auto"/>
        <w:right w:val="none" w:sz="0" w:space="0" w:color="auto"/>
      </w:divBdr>
    </w:div>
    <w:div w:id="1799256605">
      <w:bodyDiv w:val="1"/>
      <w:marLeft w:val="0"/>
      <w:marRight w:val="0"/>
      <w:marTop w:val="0"/>
      <w:marBottom w:val="0"/>
      <w:divBdr>
        <w:top w:val="none" w:sz="0" w:space="0" w:color="auto"/>
        <w:left w:val="none" w:sz="0" w:space="0" w:color="auto"/>
        <w:bottom w:val="none" w:sz="0" w:space="0" w:color="auto"/>
        <w:right w:val="none" w:sz="0" w:space="0" w:color="auto"/>
      </w:divBdr>
    </w:div>
    <w:div w:id="1818960703">
      <w:bodyDiv w:val="1"/>
      <w:marLeft w:val="0"/>
      <w:marRight w:val="0"/>
      <w:marTop w:val="0"/>
      <w:marBottom w:val="0"/>
      <w:divBdr>
        <w:top w:val="none" w:sz="0" w:space="0" w:color="auto"/>
        <w:left w:val="none" w:sz="0" w:space="0" w:color="auto"/>
        <w:bottom w:val="none" w:sz="0" w:space="0" w:color="auto"/>
        <w:right w:val="none" w:sz="0" w:space="0" w:color="auto"/>
      </w:divBdr>
    </w:div>
    <w:div w:id="1875195056">
      <w:bodyDiv w:val="1"/>
      <w:marLeft w:val="0"/>
      <w:marRight w:val="0"/>
      <w:marTop w:val="0"/>
      <w:marBottom w:val="0"/>
      <w:divBdr>
        <w:top w:val="none" w:sz="0" w:space="0" w:color="auto"/>
        <w:left w:val="none" w:sz="0" w:space="0" w:color="auto"/>
        <w:bottom w:val="none" w:sz="0" w:space="0" w:color="auto"/>
        <w:right w:val="none" w:sz="0" w:space="0" w:color="auto"/>
      </w:divBdr>
    </w:div>
    <w:div w:id="1925603618">
      <w:bodyDiv w:val="1"/>
      <w:marLeft w:val="0"/>
      <w:marRight w:val="0"/>
      <w:marTop w:val="0"/>
      <w:marBottom w:val="0"/>
      <w:divBdr>
        <w:top w:val="none" w:sz="0" w:space="0" w:color="auto"/>
        <w:left w:val="none" w:sz="0" w:space="0" w:color="auto"/>
        <w:bottom w:val="none" w:sz="0" w:space="0" w:color="auto"/>
        <w:right w:val="none" w:sz="0" w:space="0" w:color="auto"/>
      </w:divBdr>
    </w:div>
    <w:div w:id="1934236846">
      <w:bodyDiv w:val="1"/>
      <w:marLeft w:val="0"/>
      <w:marRight w:val="0"/>
      <w:marTop w:val="0"/>
      <w:marBottom w:val="0"/>
      <w:divBdr>
        <w:top w:val="none" w:sz="0" w:space="0" w:color="auto"/>
        <w:left w:val="none" w:sz="0" w:space="0" w:color="auto"/>
        <w:bottom w:val="none" w:sz="0" w:space="0" w:color="auto"/>
        <w:right w:val="none" w:sz="0" w:space="0" w:color="auto"/>
      </w:divBdr>
    </w:div>
    <w:div w:id="1950425270">
      <w:bodyDiv w:val="1"/>
      <w:marLeft w:val="0"/>
      <w:marRight w:val="0"/>
      <w:marTop w:val="0"/>
      <w:marBottom w:val="0"/>
      <w:divBdr>
        <w:top w:val="none" w:sz="0" w:space="0" w:color="auto"/>
        <w:left w:val="none" w:sz="0" w:space="0" w:color="auto"/>
        <w:bottom w:val="none" w:sz="0" w:space="0" w:color="auto"/>
        <w:right w:val="none" w:sz="0" w:space="0" w:color="auto"/>
      </w:divBdr>
    </w:div>
    <w:div w:id="1952937882">
      <w:bodyDiv w:val="1"/>
      <w:marLeft w:val="0"/>
      <w:marRight w:val="0"/>
      <w:marTop w:val="0"/>
      <w:marBottom w:val="0"/>
      <w:divBdr>
        <w:top w:val="none" w:sz="0" w:space="0" w:color="auto"/>
        <w:left w:val="none" w:sz="0" w:space="0" w:color="auto"/>
        <w:bottom w:val="none" w:sz="0" w:space="0" w:color="auto"/>
        <w:right w:val="none" w:sz="0" w:space="0" w:color="auto"/>
      </w:divBdr>
    </w:div>
    <w:div w:id="1968000027">
      <w:bodyDiv w:val="1"/>
      <w:marLeft w:val="0"/>
      <w:marRight w:val="0"/>
      <w:marTop w:val="0"/>
      <w:marBottom w:val="0"/>
      <w:divBdr>
        <w:top w:val="none" w:sz="0" w:space="0" w:color="auto"/>
        <w:left w:val="none" w:sz="0" w:space="0" w:color="auto"/>
        <w:bottom w:val="none" w:sz="0" w:space="0" w:color="auto"/>
        <w:right w:val="none" w:sz="0" w:space="0" w:color="auto"/>
      </w:divBdr>
    </w:div>
    <w:div w:id="1995375929">
      <w:bodyDiv w:val="1"/>
      <w:marLeft w:val="0"/>
      <w:marRight w:val="0"/>
      <w:marTop w:val="0"/>
      <w:marBottom w:val="0"/>
      <w:divBdr>
        <w:top w:val="none" w:sz="0" w:space="0" w:color="auto"/>
        <w:left w:val="none" w:sz="0" w:space="0" w:color="auto"/>
        <w:bottom w:val="none" w:sz="0" w:space="0" w:color="auto"/>
        <w:right w:val="none" w:sz="0" w:space="0" w:color="auto"/>
      </w:divBdr>
    </w:div>
    <w:div w:id="2043552221">
      <w:bodyDiv w:val="1"/>
      <w:marLeft w:val="0"/>
      <w:marRight w:val="0"/>
      <w:marTop w:val="0"/>
      <w:marBottom w:val="0"/>
      <w:divBdr>
        <w:top w:val="none" w:sz="0" w:space="0" w:color="auto"/>
        <w:left w:val="none" w:sz="0" w:space="0" w:color="auto"/>
        <w:bottom w:val="none" w:sz="0" w:space="0" w:color="auto"/>
        <w:right w:val="none" w:sz="0" w:space="0" w:color="auto"/>
      </w:divBdr>
    </w:div>
    <w:div w:id="2063869672">
      <w:bodyDiv w:val="1"/>
      <w:marLeft w:val="0"/>
      <w:marRight w:val="0"/>
      <w:marTop w:val="0"/>
      <w:marBottom w:val="0"/>
      <w:divBdr>
        <w:top w:val="none" w:sz="0" w:space="0" w:color="auto"/>
        <w:left w:val="none" w:sz="0" w:space="0" w:color="auto"/>
        <w:bottom w:val="none" w:sz="0" w:space="0" w:color="auto"/>
        <w:right w:val="none" w:sz="0" w:space="0" w:color="auto"/>
      </w:divBdr>
    </w:div>
    <w:div w:id="2073578254">
      <w:bodyDiv w:val="1"/>
      <w:marLeft w:val="0"/>
      <w:marRight w:val="0"/>
      <w:marTop w:val="0"/>
      <w:marBottom w:val="0"/>
      <w:divBdr>
        <w:top w:val="none" w:sz="0" w:space="0" w:color="auto"/>
        <w:left w:val="none" w:sz="0" w:space="0" w:color="auto"/>
        <w:bottom w:val="none" w:sz="0" w:space="0" w:color="auto"/>
        <w:right w:val="none" w:sz="0" w:space="0" w:color="auto"/>
      </w:divBdr>
    </w:div>
    <w:div w:id="2075883867">
      <w:bodyDiv w:val="1"/>
      <w:marLeft w:val="0"/>
      <w:marRight w:val="0"/>
      <w:marTop w:val="0"/>
      <w:marBottom w:val="0"/>
      <w:divBdr>
        <w:top w:val="none" w:sz="0" w:space="0" w:color="auto"/>
        <w:left w:val="none" w:sz="0" w:space="0" w:color="auto"/>
        <w:bottom w:val="none" w:sz="0" w:space="0" w:color="auto"/>
        <w:right w:val="none" w:sz="0" w:space="0" w:color="auto"/>
      </w:divBdr>
    </w:div>
    <w:div w:id="2090614293">
      <w:bodyDiv w:val="1"/>
      <w:marLeft w:val="0"/>
      <w:marRight w:val="0"/>
      <w:marTop w:val="0"/>
      <w:marBottom w:val="0"/>
      <w:divBdr>
        <w:top w:val="none" w:sz="0" w:space="0" w:color="auto"/>
        <w:left w:val="none" w:sz="0" w:space="0" w:color="auto"/>
        <w:bottom w:val="none" w:sz="0" w:space="0" w:color="auto"/>
        <w:right w:val="none" w:sz="0" w:space="0" w:color="auto"/>
      </w:divBdr>
    </w:div>
    <w:div w:id="2095281216">
      <w:bodyDiv w:val="1"/>
      <w:marLeft w:val="0"/>
      <w:marRight w:val="0"/>
      <w:marTop w:val="0"/>
      <w:marBottom w:val="0"/>
      <w:divBdr>
        <w:top w:val="none" w:sz="0" w:space="0" w:color="auto"/>
        <w:left w:val="none" w:sz="0" w:space="0" w:color="auto"/>
        <w:bottom w:val="none" w:sz="0" w:space="0" w:color="auto"/>
        <w:right w:val="none" w:sz="0" w:space="0" w:color="auto"/>
      </w:divBdr>
    </w:div>
    <w:div w:id="2118601317">
      <w:bodyDiv w:val="1"/>
      <w:marLeft w:val="0"/>
      <w:marRight w:val="0"/>
      <w:marTop w:val="0"/>
      <w:marBottom w:val="0"/>
      <w:divBdr>
        <w:top w:val="none" w:sz="0" w:space="0" w:color="auto"/>
        <w:left w:val="none" w:sz="0" w:space="0" w:color="auto"/>
        <w:bottom w:val="none" w:sz="0" w:space="0" w:color="auto"/>
        <w:right w:val="none" w:sz="0" w:space="0" w:color="auto"/>
      </w:divBdr>
    </w:div>
    <w:div w:id="21431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RG\Documents\Plantillas%20personalizadas%20de%20Office\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11B9-1724-44F9-940E-FC36C2B7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CARTA</Template>
  <TotalTime>1</TotalTime>
  <Pages>44</Pages>
  <Words>14929</Words>
  <Characters>82114</Characters>
  <Application>Microsoft Office Word</Application>
  <DocSecurity>4</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Rodríguez</dc:creator>
  <cp:keywords/>
  <dc:description/>
  <cp:lastModifiedBy>Ana Rodríguez Guerra</cp:lastModifiedBy>
  <cp:revision>2</cp:revision>
  <cp:lastPrinted>2021-03-25T08:59:00Z</cp:lastPrinted>
  <dcterms:created xsi:type="dcterms:W3CDTF">2022-03-31T17:54:00Z</dcterms:created>
  <dcterms:modified xsi:type="dcterms:W3CDTF">2022-03-31T17:54:00Z</dcterms:modified>
</cp:coreProperties>
</file>