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C7E7" w14:textId="515585B8" w:rsidR="00893FCA" w:rsidRDefault="008250A2" w:rsidP="00893FCA">
      <w:pPr>
        <w:shd w:val="clear" w:color="auto" w:fill="D5DCE4" w:themeFill="text2" w:themeFillTint="33"/>
        <w:jc w:val="center"/>
        <w:rPr>
          <w:b/>
          <w:bCs/>
        </w:rPr>
      </w:pPr>
      <w:r>
        <w:rPr>
          <w:b/>
          <w:bCs/>
        </w:rPr>
        <w:t>CONTRATACIÓN RESERVADA</w:t>
      </w:r>
    </w:p>
    <w:p w14:paraId="265EDD95" w14:textId="77777777" w:rsidR="00893FCA" w:rsidRDefault="00893FCA" w:rsidP="00893FCA">
      <w:pPr>
        <w:shd w:val="clear" w:color="auto" w:fill="D5DCE4" w:themeFill="text2" w:themeFillTint="33"/>
        <w:jc w:val="center"/>
        <w:rPr>
          <w:b/>
          <w:bCs/>
        </w:rPr>
      </w:pPr>
    </w:p>
    <w:p w14:paraId="20676FED" w14:textId="47132BDF" w:rsidR="00893FCA" w:rsidRPr="00893FCA" w:rsidRDefault="00893FCA" w:rsidP="00893FCA">
      <w:pPr>
        <w:shd w:val="clear" w:color="auto" w:fill="D5DCE4" w:themeFill="text2" w:themeFillTint="33"/>
        <w:jc w:val="center"/>
        <w:rPr>
          <w:b/>
          <w:bCs/>
          <w:sz w:val="36"/>
          <w:szCs w:val="36"/>
        </w:rPr>
      </w:pPr>
      <w:r w:rsidRPr="00893FCA">
        <w:rPr>
          <w:b/>
          <w:bCs/>
          <w:sz w:val="36"/>
          <w:szCs w:val="36"/>
        </w:rPr>
        <w:t>202</w:t>
      </w:r>
      <w:r>
        <w:rPr>
          <w:b/>
          <w:bCs/>
          <w:sz w:val="36"/>
          <w:szCs w:val="36"/>
        </w:rPr>
        <w:t>1</w:t>
      </w:r>
    </w:p>
    <w:p w14:paraId="1786A765" w14:textId="77777777" w:rsidR="00893FCA" w:rsidRDefault="00893FCA">
      <w:pPr>
        <w:pBdr>
          <w:top w:val="none" w:sz="0" w:space="0" w:color="auto"/>
          <w:left w:val="none" w:sz="0" w:space="0" w:color="auto"/>
          <w:bottom w:val="none" w:sz="0" w:space="0" w:color="auto"/>
          <w:right w:val="none" w:sz="0" w:space="0" w:color="auto"/>
          <w:between w:val="none" w:sz="0" w:space="0" w:color="auto"/>
          <w:bar w:val="none" w:sz="0" w:color="auto"/>
        </w:pBdr>
        <w:outlineLvl w:val="9"/>
        <w:rPr>
          <w:b/>
          <w:bCs/>
        </w:rPr>
      </w:pPr>
    </w:p>
    <w:p w14:paraId="44A2BF7B" w14:textId="77777777" w:rsidR="008250A2" w:rsidRPr="008250A2" w:rsidRDefault="008250A2" w:rsidP="00825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9"/>
        <w:rPr>
          <w:rFonts w:eastAsia="Times New Roman"/>
          <w:color w:val="283C46"/>
          <w:sz w:val="22"/>
          <w:szCs w:val="22"/>
          <w:bdr w:val="none" w:sz="0" w:space="0" w:color="auto"/>
          <w:lang w:eastAsia="es-ES"/>
        </w:rPr>
      </w:pPr>
      <w:r w:rsidRPr="008250A2">
        <w:rPr>
          <w:rFonts w:eastAsia="Times New Roman"/>
          <w:color w:val="283C46"/>
          <w:sz w:val="22"/>
          <w:szCs w:val="22"/>
          <w:bdr w:val="none" w:sz="0" w:space="0" w:color="auto"/>
          <w:lang w:eastAsia="es-ES"/>
        </w:rPr>
        <w:t>Durante el ejercicio de 2021, se ha tramitado por Procedimiento Abierto, según remisión expresa del artículo 318 letra b) de la LCSP/2017 a los procedimientos ordinarios legalmente previstos, la siguiente licitación con inclusión de los porcentajes de reserva a que refiere el Acuerdo de Gobierno de Canarias adoptado en fecha de 22 de mayo de 2019 en virtud de la Disposición Adicional Cuarta y el Anexo VI de la LCSP/2017:</w:t>
      </w:r>
    </w:p>
    <w:p w14:paraId="3298B950" w14:textId="77777777" w:rsidR="008250A2" w:rsidRPr="008250A2" w:rsidRDefault="008250A2" w:rsidP="00825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9"/>
        <w:rPr>
          <w:rFonts w:eastAsia="Times New Roman"/>
          <w:color w:val="283C46"/>
          <w:sz w:val="22"/>
          <w:szCs w:val="22"/>
          <w:bdr w:val="none" w:sz="0" w:space="0" w:color="auto"/>
          <w:lang w:eastAsia="es-ES"/>
        </w:rPr>
      </w:pPr>
      <w:r w:rsidRPr="008250A2">
        <w:rPr>
          <w:rFonts w:eastAsia="Times New Roman"/>
          <w:color w:val="283C46"/>
          <w:sz w:val="22"/>
          <w:szCs w:val="22"/>
          <w:bdr w:val="none" w:sz="0" w:space="0" w:color="auto"/>
          <w:lang w:eastAsia="es-ES"/>
        </w:rPr>
        <w:t> </w:t>
      </w:r>
    </w:p>
    <w:p w14:paraId="2809ED8F" w14:textId="209657B2" w:rsidR="008250A2" w:rsidRPr="008250A2" w:rsidRDefault="008250A2" w:rsidP="00825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9"/>
        <w:rPr>
          <w:rFonts w:eastAsia="Times New Roman"/>
          <w:color w:val="283C46"/>
          <w:sz w:val="22"/>
          <w:szCs w:val="22"/>
          <w:bdr w:val="none" w:sz="0" w:space="0" w:color="auto"/>
          <w:lang w:eastAsia="es-ES"/>
        </w:rPr>
      </w:pPr>
      <w:r w:rsidRPr="008250A2">
        <w:rPr>
          <w:rFonts w:eastAsia="Times New Roman"/>
          <w:color w:val="283C46"/>
          <w:sz w:val="22"/>
          <w:szCs w:val="22"/>
          <w:bdr w:val="none" w:sz="0" w:space="0" w:color="auto"/>
          <w:lang w:eastAsia="es-ES"/>
        </w:rPr>
        <w:t> </w:t>
      </w:r>
      <w:proofErr w:type="spellStart"/>
      <w:r w:rsidRPr="008250A2">
        <w:rPr>
          <w:rFonts w:eastAsia="Times New Roman"/>
          <w:b/>
          <w:bCs/>
          <w:color w:val="283C46"/>
          <w:sz w:val="22"/>
          <w:szCs w:val="22"/>
          <w:bdr w:val="none" w:sz="0" w:space="0" w:color="auto"/>
          <w:lang w:eastAsia="es-ES"/>
        </w:rPr>
        <w:t>Nº</w:t>
      </w:r>
      <w:proofErr w:type="spellEnd"/>
      <w:r w:rsidRPr="008250A2">
        <w:rPr>
          <w:rFonts w:eastAsia="Times New Roman"/>
          <w:color w:val="283C46"/>
          <w:sz w:val="22"/>
          <w:szCs w:val="22"/>
          <w:bdr w:val="none" w:sz="0" w:space="0" w:color="auto"/>
          <w:lang w:eastAsia="es-ES"/>
        </w:rPr>
        <w:t> </w:t>
      </w:r>
      <w:r w:rsidRPr="008250A2">
        <w:rPr>
          <w:rFonts w:eastAsia="Times New Roman"/>
          <w:b/>
          <w:bCs/>
          <w:color w:val="283C46"/>
          <w:sz w:val="22"/>
          <w:szCs w:val="22"/>
          <w:bdr w:val="none" w:sz="0" w:space="0" w:color="auto"/>
          <w:lang w:eastAsia="es-ES"/>
        </w:rPr>
        <w:t>Expediente</w:t>
      </w:r>
      <w:r w:rsidRPr="008250A2">
        <w:rPr>
          <w:rFonts w:eastAsia="Times New Roman"/>
          <w:color w:val="283C46"/>
          <w:sz w:val="22"/>
          <w:szCs w:val="22"/>
          <w:bdr w:val="none" w:sz="0" w:space="0" w:color="auto"/>
          <w:lang w:eastAsia="es-ES"/>
        </w:rPr>
        <w:t> </w:t>
      </w:r>
      <w:r w:rsidRPr="008250A2">
        <w:rPr>
          <w:rFonts w:eastAsia="Times New Roman"/>
          <w:b/>
          <w:bCs/>
          <w:color w:val="283C46"/>
          <w:sz w:val="22"/>
          <w:szCs w:val="22"/>
          <w:bdr w:val="none" w:sz="0" w:space="0" w:color="auto"/>
          <w:lang w:eastAsia="es-ES"/>
        </w:rPr>
        <w:t>(</w:t>
      </w:r>
      <w:proofErr w:type="spellStart"/>
      <w:r w:rsidRPr="008250A2">
        <w:rPr>
          <w:rFonts w:eastAsia="Times New Roman"/>
          <w:b/>
          <w:bCs/>
          <w:color w:val="283C46"/>
          <w:sz w:val="22"/>
          <w:szCs w:val="22"/>
          <w:bdr w:val="none" w:sz="0" w:space="0" w:color="auto"/>
          <w:lang w:eastAsia="es-ES"/>
        </w:rPr>
        <w:t>eAJ</w:t>
      </w:r>
      <w:proofErr w:type="spellEnd"/>
      <w:r w:rsidRPr="008250A2">
        <w:rPr>
          <w:rFonts w:eastAsia="Times New Roman"/>
          <w:b/>
          <w:bCs/>
          <w:color w:val="283C46"/>
          <w:sz w:val="22"/>
          <w:szCs w:val="22"/>
          <w:bdr w:val="none" w:sz="0" w:space="0" w:color="auto"/>
          <w:lang w:eastAsia="es-ES"/>
        </w:rPr>
        <w:t>)</w:t>
      </w:r>
      <w:r w:rsidRPr="008250A2">
        <w:rPr>
          <w:rFonts w:eastAsia="Times New Roman"/>
          <w:color w:val="283C46"/>
          <w:sz w:val="22"/>
          <w:szCs w:val="22"/>
          <w:bdr w:val="none" w:sz="0" w:space="0" w:color="auto"/>
          <w:lang w:eastAsia="es-ES"/>
        </w:rPr>
        <w:t> | </w:t>
      </w:r>
      <w:r w:rsidRPr="008250A2">
        <w:rPr>
          <w:rFonts w:eastAsia="Times New Roman"/>
          <w:b/>
          <w:bCs/>
          <w:color w:val="283C46"/>
          <w:sz w:val="22"/>
          <w:szCs w:val="22"/>
          <w:bdr w:val="none" w:sz="0" w:space="0" w:color="auto"/>
          <w:lang w:eastAsia="es-ES"/>
        </w:rPr>
        <w:t>Objeto contractual</w:t>
      </w:r>
      <w:r w:rsidRPr="008250A2">
        <w:rPr>
          <w:rFonts w:eastAsia="Times New Roman"/>
          <w:color w:val="283C46"/>
          <w:sz w:val="22"/>
          <w:szCs w:val="22"/>
          <w:bdr w:val="none" w:sz="0" w:space="0" w:color="auto"/>
          <w:lang w:eastAsia="es-ES"/>
        </w:rPr>
        <w:t> | </w:t>
      </w:r>
      <w:r w:rsidRPr="008250A2">
        <w:rPr>
          <w:rFonts w:eastAsia="Times New Roman"/>
          <w:b/>
          <w:bCs/>
          <w:color w:val="283C46"/>
          <w:sz w:val="22"/>
          <w:szCs w:val="22"/>
          <w:bdr w:val="none" w:sz="0" w:space="0" w:color="auto"/>
          <w:lang w:eastAsia="es-ES"/>
        </w:rPr>
        <w:t>Lotes</w:t>
      </w:r>
      <w:r w:rsidRPr="008250A2">
        <w:rPr>
          <w:rFonts w:eastAsia="Times New Roman"/>
          <w:color w:val="283C46"/>
          <w:sz w:val="22"/>
          <w:szCs w:val="22"/>
          <w:bdr w:val="none" w:sz="0" w:space="0" w:color="auto"/>
          <w:lang w:eastAsia="es-ES"/>
        </w:rPr>
        <w:t> | </w:t>
      </w:r>
      <w:r w:rsidRPr="008250A2">
        <w:rPr>
          <w:rFonts w:eastAsia="Times New Roman"/>
          <w:b/>
          <w:bCs/>
          <w:color w:val="283C46"/>
          <w:sz w:val="22"/>
          <w:szCs w:val="22"/>
          <w:bdr w:val="none" w:sz="0" w:space="0" w:color="auto"/>
          <w:lang w:eastAsia="es-ES"/>
        </w:rPr>
        <w:t>Tipo de Procedimiento</w:t>
      </w:r>
      <w:r w:rsidRPr="008250A2">
        <w:rPr>
          <w:rFonts w:eastAsia="Times New Roman"/>
          <w:color w:val="283C46"/>
          <w:sz w:val="22"/>
          <w:szCs w:val="22"/>
          <w:bdr w:val="none" w:sz="0" w:space="0" w:color="auto"/>
          <w:lang w:eastAsia="es-ES"/>
        </w:rPr>
        <w:t> | </w:t>
      </w:r>
      <w:r w:rsidRPr="008250A2">
        <w:rPr>
          <w:rFonts w:eastAsia="Times New Roman"/>
          <w:b/>
          <w:bCs/>
          <w:color w:val="283C46"/>
          <w:sz w:val="22"/>
          <w:szCs w:val="22"/>
          <w:bdr w:val="none" w:sz="0" w:space="0" w:color="auto"/>
          <w:lang w:eastAsia="es-ES"/>
        </w:rPr>
        <w:t>CPV</w:t>
      </w:r>
      <w:r w:rsidRPr="008250A2">
        <w:rPr>
          <w:rFonts w:eastAsia="Times New Roman"/>
          <w:color w:val="283C46"/>
          <w:sz w:val="22"/>
          <w:szCs w:val="22"/>
          <w:bdr w:val="none" w:sz="0" w:space="0" w:color="auto"/>
          <w:lang w:eastAsia="es-ES"/>
        </w:rPr>
        <w:t> | </w:t>
      </w:r>
      <w:r w:rsidRPr="008250A2">
        <w:rPr>
          <w:rFonts w:eastAsia="Times New Roman"/>
          <w:b/>
          <w:bCs/>
          <w:color w:val="283C46"/>
          <w:sz w:val="22"/>
          <w:szCs w:val="22"/>
          <w:bdr w:val="none" w:sz="0" w:space="0" w:color="auto"/>
          <w:lang w:eastAsia="es-ES"/>
        </w:rPr>
        <w:t>Presupuesto Base de Licitación </w:t>
      </w:r>
      <w:r w:rsidRPr="008250A2">
        <w:rPr>
          <w:rFonts w:eastAsia="Times New Roman"/>
          <w:color w:val="283C46"/>
          <w:sz w:val="22"/>
          <w:szCs w:val="22"/>
          <w:bdr w:val="none" w:sz="0" w:space="0" w:color="auto"/>
          <w:lang w:eastAsia="es-ES"/>
        </w:rPr>
        <w:t> | </w:t>
      </w:r>
      <w:r w:rsidRPr="008250A2">
        <w:rPr>
          <w:rFonts w:eastAsia="Times New Roman"/>
          <w:b/>
          <w:bCs/>
          <w:color w:val="283C46"/>
          <w:sz w:val="22"/>
          <w:szCs w:val="22"/>
          <w:bdr w:val="none" w:sz="0" w:space="0" w:color="auto"/>
          <w:lang w:eastAsia="es-ES"/>
        </w:rPr>
        <w:t>PLACSE y DOUE</w:t>
      </w:r>
      <w:r w:rsidRPr="008250A2">
        <w:rPr>
          <w:rFonts w:eastAsia="Times New Roman"/>
          <w:color w:val="283C46"/>
          <w:sz w:val="22"/>
          <w:szCs w:val="22"/>
          <w:bdr w:val="none" w:sz="0" w:space="0" w:color="auto"/>
          <w:lang w:eastAsia="es-ES"/>
        </w:rPr>
        <w:br/>
        <w:t>| </w:t>
      </w:r>
      <w:r w:rsidRPr="008250A2">
        <w:rPr>
          <w:rFonts w:eastAsia="Times New Roman"/>
          <w:color w:val="283C46"/>
          <w:sz w:val="22"/>
          <w:szCs w:val="22"/>
          <w:bdr w:val="none" w:sz="0" w:space="0" w:color="auto"/>
          <w:shd w:val="clear" w:color="auto" w:fill="F2F2F2"/>
          <w:lang w:eastAsia="es-ES"/>
        </w:rPr>
        <w:t>     0100/2021</w:t>
      </w:r>
      <w:r w:rsidRPr="008250A2">
        <w:rPr>
          <w:rFonts w:eastAsia="Times New Roman"/>
          <w:color w:val="283C46"/>
          <w:sz w:val="22"/>
          <w:szCs w:val="22"/>
          <w:bdr w:val="none" w:sz="0" w:space="0" w:color="auto"/>
          <w:lang w:eastAsia="es-ES"/>
        </w:rPr>
        <w:t> |     Servicio de limpieza integral y desinfección de las oficinas o sedes, dependencias, zonas comunes y mobiliario propiedad o gestionados por la sociedad mercantil pública Promotur Turismo Canarias, S.A. |  </w:t>
      </w:r>
      <w:r w:rsidRPr="008250A2">
        <w:rPr>
          <w:rFonts w:eastAsia="Times New Roman"/>
          <w:b/>
          <w:bCs/>
          <w:color w:val="283C46"/>
          <w:sz w:val="22"/>
          <w:szCs w:val="22"/>
          <w:bdr w:val="none" w:sz="0" w:space="0" w:color="auto"/>
          <w:lang w:eastAsia="es-ES"/>
        </w:rPr>
        <w:t>Lote 1: </w:t>
      </w:r>
      <w:r w:rsidRPr="008250A2">
        <w:rPr>
          <w:rFonts w:eastAsia="Times New Roman"/>
          <w:color w:val="283C46"/>
          <w:sz w:val="22"/>
          <w:szCs w:val="22"/>
          <w:bdr w:val="none" w:sz="0" w:space="0" w:color="auto"/>
          <w:lang w:eastAsia="es-ES"/>
        </w:rPr>
        <w:t>Servicio de limpieza con destino a la oficina y almacén en Las Palmas de Gran Canaria;  </w:t>
      </w:r>
      <w:r w:rsidRPr="008250A2">
        <w:rPr>
          <w:rFonts w:eastAsia="Times New Roman"/>
          <w:b/>
          <w:bCs/>
          <w:color w:val="283C46"/>
          <w:sz w:val="22"/>
          <w:szCs w:val="22"/>
          <w:bdr w:val="none" w:sz="0" w:space="0" w:color="auto"/>
          <w:lang w:eastAsia="es-ES"/>
        </w:rPr>
        <w:t>Lote 2</w:t>
      </w:r>
      <w:r w:rsidRPr="008250A2">
        <w:rPr>
          <w:rFonts w:eastAsia="Times New Roman"/>
          <w:color w:val="283C46"/>
          <w:sz w:val="22"/>
          <w:szCs w:val="22"/>
          <w:bdr w:val="none" w:sz="0" w:space="0" w:color="auto"/>
          <w:lang w:eastAsia="es-ES"/>
        </w:rPr>
        <w:t>: </w:t>
      </w:r>
      <w:r w:rsidRPr="008250A2">
        <w:rPr>
          <w:rFonts w:eastAsia="Times New Roman"/>
          <w:b/>
          <w:bCs/>
          <w:color w:val="283C46"/>
          <w:sz w:val="22"/>
          <w:szCs w:val="22"/>
          <w:bdr w:val="none" w:sz="0" w:space="0" w:color="auto"/>
          <w:lang w:eastAsia="es-ES"/>
        </w:rPr>
        <w:t> </w:t>
      </w:r>
      <w:r w:rsidRPr="008250A2">
        <w:rPr>
          <w:rFonts w:eastAsia="Times New Roman"/>
          <w:color w:val="283C46"/>
          <w:sz w:val="22"/>
          <w:szCs w:val="22"/>
          <w:bdr w:val="none" w:sz="0" w:space="0" w:color="auto"/>
          <w:lang w:eastAsia="es-ES"/>
        </w:rPr>
        <w:t>Servicio de limpieza con destino a la oficina en Santa Cruz de Tenerife.</w:t>
      </w:r>
      <w:r w:rsidRPr="008250A2">
        <w:rPr>
          <w:rFonts w:eastAsia="Times New Roman"/>
          <w:b/>
          <w:bCs/>
          <w:color w:val="283C46"/>
          <w:sz w:val="22"/>
          <w:szCs w:val="22"/>
          <w:bdr w:val="none" w:sz="0" w:space="0" w:color="auto"/>
          <w:lang w:eastAsia="es-ES"/>
        </w:rPr>
        <w:t>  </w:t>
      </w:r>
      <w:r w:rsidRPr="008250A2">
        <w:rPr>
          <w:rFonts w:eastAsia="Times New Roman"/>
          <w:color w:val="283C46"/>
          <w:sz w:val="22"/>
          <w:szCs w:val="22"/>
          <w:bdr w:val="none" w:sz="0" w:space="0" w:color="auto"/>
          <w:lang w:eastAsia="es-ES"/>
        </w:rPr>
        <w:t>Se prima que los licitadores sean Empresas de Inserción reguladas en la Ley 44/2007, de 13 de diciembre, en las que al menos el 30% de sus trabajadores sean personas en riesgo de exclusión social. </w:t>
      </w:r>
      <w:r w:rsidRPr="008250A2">
        <w:rPr>
          <w:rFonts w:eastAsia="Times New Roman"/>
          <w:b/>
          <w:bCs/>
          <w:color w:val="283C46"/>
          <w:sz w:val="22"/>
          <w:szCs w:val="22"/>
          <w:bdr w:val="none" w:sz="0" w:space="0" w:color="auto"/>
          <w:lang w:eastAsia="es-ES"/>
        </w:rPr>
        <w:t> </w:t>
      </w:r>
      <w:r w:rsidRPr="008250A2">
        <w:rPr>
          <w:rFonts w:eastAsia="Times New Roman"/>
          <w:color w:val="283C46"/>
          <w:sz w:val="22"/>
          <w:szCs w:val="22"/>
          <w:bdr w:val="none" w:sz="0" w:space="0" w:color="auto"/>
          <w:lang w:eastAsia="es-ES"/>
        </w:rPr>
        <w:t xml:space="preserve"> |   Abierto-Sujeto a regulación armonizada </w:t>
      </w:r>
      <w:proofErr w:type="gramStart"/>
      <w:r w:rsidRPr="008250A2">
        <w:rPr>
          <w:rFonts w:eastAsia="Times New Roman"/>
          <w:color w:val="283C46"/>
          <w:sz w:val="22"/>
          <w:szCs w:val="22"/>
          <w:bdr w:val="none" w:sz="0" w:space="0" w:color="auto"/>
          <w:lang w:eastAsia="es-ES"/>
        </w:rPr>
        <w:t>|  90911200</w:t>
      </w:r>
      <w:proofErr w:type="gramEnd"/>
      <w:r w:rsidRPr="008250A2">
        <w:rPr>
          <w:rFonts w:eastAsia="Times New Roman"/>
          <w:color w:val="283C46"/>
          <w:sz w:val="22"/>
          <w:szCs w:val="22"/>
          <w:bdr w:val="none" w:sz="0" w:space="0" w:color="auto"/>
          <w:lang w:eastAsia="es-ES"/>
        </w:rPr>
        <w:t>-Servicios de limpieza de edificios;  90910000-Servicios de limpieza;  90919200-Servicios de limpieza de oficinas   | </w:t>
      </w:r>
      <w:r w:rsidRPr="008250A2">
        <w:rPr>
          <w:rFonts w:eastAsia="Times New Roman"/>
          <w:b/>
          <w:bCs/>
          <w:color w:val="283C46"/>
          <w:sz w:val="22"/>
          <w:szCs w:val="22"/>
          <w:bdr w:val="none" w:sz="0" w:space="0" w:color="auto"/>
          <w:lang w:eastAsia="es-ES"/>
        </w:rPr>
        <w:t> Lote 1</w:t>
      </w:r>
      <w:r w:rsidRPr="008250A2">
        <w:rPr>
          <w:rFonts w:eastAsia="Times New Roman"/>
          <w:color w:val="283C46"/>
          <w:sz w:val="22"/>
          <w:szCs w:val="22"/>
          <w:bdr w:val="none" w:sz="0" w:space="0" w:color="auto"/>
          <w:lang w:eastAsia="es-ES"/>
        </w:rPr>
        <w:t>:  68.480,00  </w:t>
      </w:r>
      <w:r w:rsidRPr="008250A2">
        <w:rPr>
          <w:rFonts w:eastAsia="Times New Roman"/>
          <w:b/>
          <w:bCs/>
          <w:color w:val="283C46"/>
          <w:sz w:val="22"/>
          <w:szCs w:val="22"/>
          <w:bdr w:val="none" w:sz="0" w:space="0" w:color="auto"/>
          <w:lang w:eastAsia="es-ES"/>
        </w:rPr>
        <w:t>Lote 2</w:t>
      </w:r>
      <w:r w:rsidRPr="008250A2">
        <w:rPr>
          <w:rFonts w:eastAsia="Times New Roman"/>
          <w:color w:val="283C46"/>
          <w:sz w:val="22"/>
          <w:szCs w:val="22"/>
          <w:bdr w:val="none" w:sz="0" w:space="0" w:color="auto"/>
          <w:lang w:eastAsia="es-ES"/>
        </w:rPr>
        <w:t>:  34.240,00 | </w:t>
      </w:r>
      <w:r w:rsidRPr="008250A2">
        <w:rPr>
          <w:rFonts w:eastAsia="Times New Roman"/>
          <w:b/>
          <w:bCs/>
          <w:color w:val="283C46"/>
          <w:sz w:val="22"/>
          <w:szCs w:val="22"/>
          <w:bdr w:val="none" w:sz="0" w:space="0" w:color="auto"/>
          <w:lang w:eastAsia="es-ES"/>
        </w:rPr>
        <w:t>  </w:t>
      </w:r>
      <w:r w:rsidRPr="008250A2">
        <w:rPr>
          <w:rFonts w:eastAsia="Times New Roman"/>
          <w:color w:val="283C46"/>
          <w:sz w:val="22"/>
          <w:szCs w:val="22"/>
          <w:bdr w:val="none" w:sz="0" w:space="0" w:color="auto"/>
          <w:lang w:eastAsia="es-ES"/>
        </w:rPr>
        <w:t>Sí</w:t>
      </w:r>
    </w:p>
    <w:p w14:paraId="1FEB42F8" w14:textId="77777777" w:rsidR="008250A2" w:rsidRPr="008250A2" w:rsidRDefault="008250A2" w:rsidP="00825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9"/>
        <w:rPr>
          <w:rFonts w:eastAsia="Times New Roman"/>
          <w:color w:val="283C46"/>
          <w:sz w:val="22"/>
          <w:szCs w:val="22"/>
          <w:bdr w:val="none" w:sz="0" w:space="0" w:color="auto"/>
          <w:lang w:eastAsia="es-ES"/>
        </w:rPr>
      </w:pPr>
      <w:r w:rsidRPr="008250A2">
        <w:rPr>
          <w:rFonts w:eastAsia="Times New Roman"/>
          <w:color w:val="283C46"/>
          <w:sz w:val="22"/>
          <w:szCs w:val="22"/>
          <w:bdr w:val="none" w:sz="0" w:space="0" w:color="auto"/>
          <w:lang w:eastAsia="es-ES"/>
        </w:rPr>
        <w:t> </w:t>
      </w:r>
    </w:p>
    <w:p w14:paraId="1F74EA87" w14:textId="77777777" w:rsidR="008250A2" w:rsidRPr="008250A2" w:rsidRDefault="008250A2" w:rsidP="00825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9"/>
        <w:rPr>
          <w:rFonts w:eastAsia="Times New Roman"/>
          <w:color w:val="283C46"/>
          <w:sz w:val="22"/>
          <w:szCs w:val="22"/>
          <w:bdr w:val="none" w:sz="0" w:space="0" w:color="auto"/>
          <w:lang w:eastAsia="es-ES"/>
        </w:rPr>
      </w:pPr>
      <w:r w:rsidRPr="008250A2">
        <w:rPr>
          <w:rFonts w:eastAsia="Times New Roman"/>
          <w:color w:val="283C46"/>
          <w:sz w:val="22"/>
          <w:szCs w:val="22"/>
          <w:bdr w:val="none" w:sz="0" w:space="0" w:color="auto"/>
          <w:lang w:eastAsia="es-ES"/>
        </w:rPr>
        <w:t> </w:t>
      </w:r>
    </w:p>
    <w:p w14:paraId="63560CFD" w14:textId="77777777" w:rsidR="008250A2" w:rsidRPr="008250A2" w:rsidRDefault="008250A2" w:rsidP="00825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9"/>
        <w:rPr>
          <w:rFonts w:eastAsia="Times New Roman"/>
          <w:color w:val="283C46"/>
          <w:sz w:val="22"/>
          <w:szCs w:val="22"/>
          <w:bdr w:val="none" w:sz="0" w:space="0" w:color="auto"/>
          <w:lang w:eastAsia="es-ES"/>
        </w:rPr>
      </w:pPr>
      <w:r w:rsidRPr="008250A2">
        <w:rPr>
          <w:rFonts w:eastAsia="Times New Roman"/>
          <w:color w:val="283C46"/>
          <w:sz w:val="22"/>
          <w:szCs w:val="22"/>
          <w:bdr w:val="none" w:sz="0" w:space="0" w:color="auto"/>
          <w:lang w:eastAsia="es-ES"/>
        </w:rPr>
        <w:t>Para el resto de licitaciones tramitadas durante el pretérito ejercicio, no se ha reservado la participación al procedimiento a los Centros Especiales de Empleo de iniciativa social bien en unos casos porque los objetos contractuales que se han licitado no responden a la categoría de servicios con los CPV incluidos en el Anexo VI de la LCSP/2017 ni aquellos susceptibles de ser incluidos en los procedimientos de contratación reservada indicados de manera orientativa en el Anexo I del mentado Acuerdo del Gobierno de Canarias; o bien, en otros, por cuanto, habiendo contratos de servicios susceptibles de incorporar los porcentajes de reserva, existen razones justificadas en cada expediente que lo desaconsejan.  </w:t>
      </w:r>
      <w:r w:rsidRPr="008250A2">
        <w:rPr>
          <w:rFonts w:eastAsia="Times New Roman"/>
          <w:color w:val="283C46"/>
          <w:sz w:val="22"/>
          <w:szCs w:val="22"/>
          <w:bdr w:val="none" w:sz="0" w:space="0" w:color="auto"/>
          <w:lang w:eastAsia="es-ES"/>
        </w:rPr>
        <w:br/>
        <w:t>  </w:t>
      </w:r>
      <w:r w:rsidRPr="008250A2">
        <w:rPr>
          <w:rFonts w:eastAsia="Times New Roman"/>
          <w:color w:val="283C46"/>
          <w:sz w:val="22"/>
          <w:szCs w:val="22"/>
          <w:bdr w:val="none" w:sz="0" w:space="0" w:color="auto"/>
          <w:lang w:eastAsia="es-ES"/>
        </w:rPr>
        <w:br/>
        <w:t> En todo caso, y en cumplimiento de las previsiones contenidas en la LCSP/2017 en lo relativo a la incorporación de criterios sociales y medioambientales en las licitaciones y contrataciones, se ha de informar que por esta entidad ha sido habitual la inclusión de cláusulas de tipo social en los Pliegos de Condiciones Administrativas de las licitaciones que se concretan, en función de la naturaleza del servicio. </w:t>
      </w:r>
    </w:p>
    <w:p w14:paraId="4DDBEF00" w14:textId="058388FC" w:rsidR="00274CE3" w:rsidRPr="008250A2" w:rsidRDefault="00274CE3" w:rsidP="008250A2">
      <w:pPr>
        <w:pBdr>
          <w:top w:val="none" w:sz="0" w:space="0" w:color="auto"/>
          <w:left w:val="none" w:sz="0" w:space="0" w:color="auto"/>
          <w:bottom w:val="none" w:sz="0" w:space="0" w:color="auto"/>
          <w:right w:val="none" w:sz="0" w:space="0" w:color="auto"/>
          <w:between w:val="none" w:sz="0" w:space="0" w:color="auto"/>
          <w:bar w:val="none" w:sz="0" w:color="auto"/>
        </w:pBdr>
        <w:outlineLvl w:val="9"/>
        <w:rPr>
          <w:b/>
          <w:bCs/>
        </w:rPr>
      </w:pPr>
    </w:p>
    <w:sectPr w:rsidR="00274CE3" w:rsidRPr="008250A2" w:rsidSect="0072632B">
      <w:headerReference w:type="default" r:id="rId12"/>
      <w:footerReference w:type="default" r:id="rId13"/>
      <w:headerReference w:type="first" r:id="rId14"/>
      <w:footerReference w:type="first" r:id="rId15"/>
      <w:pgSz w:w="11900" w:h="16840"/>
      <w:pgMar w:top="2769"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FCFB" w14:textId="77777777" w:rsidR="003D6854" w:rsidRDefault="003D6854" w:rsidP="00A06021">
      <w:r>
        <w:separator/>
      </w:r>
    </w:p>
  </w:endnote>
  <w:endnote w:type="continuationSeparator" w:id="0">
    <w:p w14:paraId="744AC692" w14:textId="77777777" w:rsidR="003D6854" w:rsidRDefault="003D6854"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2615"/>
      <w:docPartObj>
        <w:docPartGallery w:val="Page Numbers (Bottom of Page)"/>
        <w:docPartUnique/>
      </w:docPartObj>
    </w:sdtPr>
    <w:sdtContent>
      <w:sdt>
        <w:sdtPr>
          <w:id w:val="-1259218990"/>
          <w:docPartObj>
            <w:docPartGallery w:val="Page Numbers (Top of Page)"/>
            <w:docPartUnique/>
          </w:docPartObj>
        </w:sdtPr>
        <w:sdtContent>
          <w:p w14:paraId="2C14D5BA"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5D74" w14:textId="77777777" w:rsidR="00B33A26" w:rsidRDefault="00B33A26" w:rsidP="00A06021">
    <w:pPr>
      <w:pStyle w:val="Piedepgina"/>
    </w:pPr>
    <w:r>
      <w:rPr>
        <w:noProof/>
      </w:rPr>
      <w:drawing>
        <wp:anchor distT="0" distB="0" distL="114300" distR="114300" simplePos="0" relativeHeight="251673600" behindDoc="1" locked="0" layoutInCell="1" allowOverlap="1" wp14:anchorId="4B7106D3" wp14:editId="4A1FB2A1">
          <wp:simplePos x="0" y="0"/>
          <wp:positionH relativeFrom="column">
            <wp:posOffset>-678455</wp:posOffset>
          </wp:positionH>
          <wp:positionV relativeFrom="page">
            <wp:posOffset>9634220</wp:posOffset>
          </wp:positionV>
          <wp:extent cx="7111365" cy="10452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40C5" w14:textId="77777777" w:rsidR="003D6854" w:rsidRDefault="003D6854" w:rsidP="00A06021">
      <w:r>
        <w:separator/>
      </w:r>
    </w:p>
  </w:footnote>
  <w:footnote w:type="continuationSeparator" w:id="0">
    <w:p w14:paraId="53B5E4E8" w14:textId="77777777" w:rsidR="003D6854" w:rsidRDefault="003D6854"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481B8A" w:rsidRPr="00481B8A" w:rsidRDefault="1C616E80" w:rsidP="00481B8A">
    <w:pPr>
      <w:pStyle w:val="Encabezado"/>
      <w:ind w:left="-1701"/>
    </w:pPr>
    <w:r>
      <w:rPr>
        <w:noProof/>
      </w:rPr>
      <w:drawing>
        <wp:inline distT="0" distB="0" distL="0" distR="0" wp14:anchorId="1C03ABB4" wp14:editId="3D3CB137">
          <wp:extent cx="8381784" cy="1177056"/>
          <wp:effectExtent l="0" t="0" r="0" b="0"/>
          <wp:docPr id="927666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381784" cy="11770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D2E3" w14:textId="77777777" w:rsidR="007804E8" w:rsidRDefault="00F6248F" w:rsidP="00F6248F">
    <w:pPr>
      <w:pStyle w:val="Encabezado"/>
      <w:ind w:left="-1701"/>
    </w:pPr>
    <w:r>
      <w:rPr>
        <w:b/>
        <w:noProof/>
      </w:rPr>
      <w:drawing>
        <wp:inline distT="0" distB="0" distL="0" distR="0" wp14:anchorId="0DBEE675" wp14:editId="07777777">
          <wp:extent cx="8073657" cy="1134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789DDEF6" wp14:editId="5B7F891D">
          <wp:simplePos x="0" y="0"/>
          <wp:positionH relativeFrom="column">
            <wp:posOffset>-1102995</wp:posOffset>
          </wp:positionH>
          <wp:positionV relativeFrom="page">
            <wp:posOffset>1697990</wp:posOffset>
          </wp:positionV>
          <wp:extent cx="640715" cy="69475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4C65BE"/>
    <w:multiLevelType w:val="multilevel"/>
    <w:tmpl w:val="FD9A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C1BC9"/>
    <w:multiLevelType w:val="hybridMultilevel"/>
    <w:tmpl w:val="3B9EA8DA"/>
    <w:numStyleLink w:val="Estiloimportado3"/>
  </w:abstractNum>
  <w:abstractNum w:abstractNumId="7"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3D73E3"/>
    <w:multiLevelType w:val="hybridMultilevel"/>
    <w:tmpl w:val="40E03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713753D"/>
    <w:multiLevelType w:val="hybridMultilevel"/>
    <w:tmpl w:val="2F24D73C"/>
    <w:numStyleLink w:val="Estiloimportado10"/>
  </w:abstractNum>
  <w:abstractNum w:abstractNumId="10"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1213889327">
    <w:abstractNumId w:val="7"/>
  </w:num>
  <w:num w:numId="2" w16cid:durableId="1322657004">
    <w:abstractNumId w:val="0"/>
  </w:num>
  <w:num w:numId="3" w16cid:durableId="1015305833">
    <w:abstractNumId w:val="2"/>
  </w:num>
  <w:num w:numId="4" w16cid:durableId="1794204335">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937052252">
    <w:abstractNumId w:val="0"/>
    <w:lvlOverride w:ilvl="0">
      <w:startOverride w:val="2"/>
      <w:lvl w:ilvl="0" w:tplc="6D92011E">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EEB60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40E3D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7CD2A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C67D7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A6D0E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44114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D41EB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236CCF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92487491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338046409">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1477994484">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273946551">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567806235">
    <w:abstractNumId w:val="0"/>
    <w:lvlOverride w:ilvl="0">
      <w:startOverride w:val="3"/>
      <w:lvl w:ilvl="0" w:tplc="6D92011E">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EEEB602">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740E3D0">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17CD2A6">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9C67D74">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CA6D0E6">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044114A">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8D41EBC">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236CCF8">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051461433">
    <w:abstractNumId w:val="1"/>
  </w:num>
  <w:num w:numId="12" w16cid:durableId="486634731">
    <w:abstractNumId w:val="9"/>
  </w:num>
  <w:num w:numId="13" w16cid:durableId="976253556">
    <w:abstractNumId w:val="9"/>
    <w:lvlOverride w:ilvl="0">
      <w:lvl w:ilvl="0" w:tplc="8656142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4DBEFB3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29C255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FB6ADF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6914941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C172D6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EA02D52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92A072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6C7E78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1929539391">
    <w:abstractNumId w:val="0"/>
    <w:lvlOverride w:ilvl="0">
      <w:startOverride w:val="4"/>
      <w:lvl w:ilvl="0" w:tplc="6D92011E">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EEB60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40E3D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7CD2A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C67D7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A6D0E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44114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D41EB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236CCF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81594597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676619621">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908494242">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3360276">
    <w:abstractNumId w:val="11"/>
  </w:num>
  <w:num w:numId="19" w16cid:durableId="1187865771">
    <w:abstractNumId w:val="6"/>
  </w:num>
  <w:num w:numId="20" w16cid:durableId="1519004266">
    <w:abstractNumId w:val="0"/>
    <w:lvlOverride w:ilvl="0">
      <w:startOverride w:val="5"/>
      <w:lvl w:ilvl="0" w:tplc="6D92011E">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EEB60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40E3D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7CD2A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C67D7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A6D0E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44114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D41EB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236CCF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552156413">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1382244478">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51750434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111483000">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587885184">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49337311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1306664881">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2010255674">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1722287312">
    <w:abstractNumId w:val="13"/>
  </w:num>
  <w:num w:numId="30" w16cid:durableId="1159541537">
    <w:abstractNumId w:val="3"/>
  </w:num>
  <w:num w:numId="31" w16cid:durableId="633484652">
    <w:abstractNumId w:val="4"/>
  </w:num>
  <w:num w:numId="32" w16cid:durableId="1950045804">
    <w:abstractNumId w:val="10"/>
  </w:num>
  <w:num w:numId="33" w16cid:durableId="1243416194">
    <w:abstractNumId w:val="12"/>
  </w:num>
  <w:num w:numId="34" w16cid:durableId="442577691">
    <w:abstractNumId w:val="5"/>
  </w:num>
  <w:num w:numId="35" w16cid:durableId="136192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35BC8"/>
    <w:rsid w:val="00061F97"/>
    <w:rsid w:val="000868A4"/>
    <w:rsid w:val="000942C6"/>
    <w:rsid w:val="000A1698"/>
    <w:rsid w:val="001435EF"/>
    <w:rsid w:val="00175DC4"/>
    <w:rsid w:val="0018697D"/>
    <w:rsid w:val="001A27C0"/>
    <w:rsid w:val="001C4582"/>
    <w:rsid w:val="001D63F5"/>
    <w:rsid w:val="001F7A68"/>
    <w:rsid w:val="00200238"/>
    <w:rsid w:val="00203B25"/>
    <w:rsid w:val="00204098"/>
    <w:rsid w:val="002174D8"/>
    <w:rsid w:val="00232D19"/>
    <w:rsid w:val="00274CE3"/>
    <w:rsid w:val="00281D81"/>
    <w:rsid w:val="00291B23"/>
    <w:rsid w:val="002A143E"/>
    <w:rsid w:val="00306A4F"/>
    <w:rsid w:val="003B52B6"/>
    <w:rsid w:val="003D3F6E"/>
    <w:rsid w:val="003D6854"/>
    <w:rsid w:val="00416FC5"/>
    <w:rsid w:val="00421F84"/>
    <w:rsid w:val="0044471E"/>
    <w:rsid w:val="00481B8A"/>
    <w:rsid w:val="004908DE"/>
    <w:rsid w:val="00497BA8"/>
    <w:rsid w:val="004A2791"/>
    <w:rsid w:val="004B7FF4"/>
    <w:rsid w:val="004F6179"/>
    <w:rsid w:val="00513E0C"/>
    <w:rsid w:val="00514969"/>
    <w:rsid w:val="005434FC"/>
    <w:rsid w:val="00546AFE"/>
    <w:rsid w:val="005801E5"/>
    <w:rsid w:val="005A1CFC"/>
    <w:rsid w:val="00605AA3"/>
    <w:rsid w:val="00612C28"/>
    <w:rsid w:val="00666670"/>
    <w:rsid w:val="006B789B"/>
    <w:rsid w:val="006D502E"/>
    <w:rsid w:val="006E371C"/>
    <w:rsid w:val="006F5361"/>
    <w:rsid w:val="00725D74"/>
    <w:rsid w:val="0072632B"/>
    <w:rsid w:val="00731AA7"/>
    <w:rsid w:val="0075646D"/>
    <w:rsid w:val="0075792A"/>
    <w:rsid w:val="00777204"/>
    <w:rsid w:val="007804E8"/>
    <w:rsid w:val="0078563B"/>
    <w:rsid w:val="00787B38"/>
    <w:rsid w:val="007973E4"/>
    <w:rsid w:val="007F48B7"/>
    <w:rsid w:val="00807933"/>
    <w:rsid w:val="00813C69"/>
    <w:rsid w:val="0082085E"/>
    <w:rsid w:val="008250A2"/>
    <w:rsid w:val="00893FCA"/>
    <w:rsid w:val="008B4094"/>
    <w:rsid w:val="008D7FF4"/>
    <w:rsid w:val="008F635C"/>
    <w:rsid w:val="00920E21"/>
    <w:rsid w:val="00964D0D"/>
    <w:rsid w:val="0096529E"/>
    <w:rsid w:val="00991BE9"/>
    <w:rsid w:val="00991F63"/>
    <w:rsid w:val="009A4A35"/>
    <w:rsid w:val="009A4B4D"/>
    <w:rsid w:val="009C2CBA"/>
    <w:rsid w:val="00A06021"/>
    <w:rsid w:val="00A254E1"/>
    <w:rsid w:val="00A62EFB"/>
    <w:rsid w:val="00A648CF"/>
    <w:rsid w:val="00A95AD9"/>
    <w:rsid w:val="00B02A32"/>
    <w:rsid w:val="00B15006"/>
    <w:rsid w:val="00B173E1"/>
    <w:rsid w:val="00B33A26"/>
    <w:rsid w:val="00B84CC7"/>
    <w:rsid w:val="00B86900"/>
    <w:rsid w:val="00BA74DA"/>
    <w:rsid w:val="00BF47F0"/>
    <w:rsid w:val="00C113FE"/>
    <w:rsid w:val="00C611FF"/>
    <w:rsid w:val="00C90531"/>
    <w:rsid w:val="00C95AAF"/>
    <w:rsid w:val="00CF67E0"/>
    <w:rsid w:val="00D06769"/>
    <w:rsid w:val="00D80D91"/>
    <w:rsid w:val="00D95B27"/>
    <w:rsid w:val="00DC4B4F"/>
    <w:rsid w:val="00DF3680"/>
    <w:rsid w:val="00E15B19"/>
    <w:rsid w:val="00E2762C"/>
    <w:rsid w:val="00E32D7C"/>
    <w:rsid w:val="00E722CD"/>
    <w:rsid w:val="00E72AE3"/>
    <w:rsid w:val="00E81AE1"/>
    <w:rsid w:val="00EC5B36"/>
    <w:rsid w:val="00ED2050"/>
    <w:rsid w:val="00F6248F"/>
    <w:rsid w:val="00F706D7"/>
    <w:rsid w:val="00F86F16"/>
    <w:rsid w:val="00FD1BEA"/>
    <w:rsid w:val="1C616E80"/>
    <w:rsid w:val="6AA82EE9"/>
    <w:rsid w:val="7B4B44F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FCF2"/>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paragraph" w:styleId="NormalWeb">
    <w:name w:val="Normal (Web)"/>
    <w:basedOn w:val="Normal"/>
    <w:uiPriority w:val="99"/>
    <w:semiHidden/>
    <w:unhideWhenUsed/>
    <w:rsid w:val="0082085E"/>
    <w:pPr>
      <w:pBdr>
        <w:top w:val="none" w:sz="0" w:space="0" w:color="auto"/>
        <w:left w:val="none" w:sz="0" w:space="0" w:color="auto"/>
        <w:bottom w:val="none" w:sz="0" w:space="0" w:color="auto"/>
        <w:right w:val="none" w:sz="0" w:space="0" w:color="auto"/>
        <w:between w:val="none" w:sz="0" w:space="0" w:color="auto"/>
        <w:bar w:val="none" w:sz="0" w:color="auto"/>
      </w:pBdr>
      <w:spacing w:after="150"/>
      <w:outlineLvl w:val="9"/>
    </w:pPr>
    <w:rPr>
      <w:rFonts w:ascii="Times New Roman" w:eastAsia="Times New Roman" w:hAnsi="Times New Roman" w:cs="Times New Roman"/>
      <w:color w:val="auto"/>
      <w:bdr w:val="none" w:sz="0" w:space="0" w:color="auto"/>
      <w:lang w:eastAsia="es-ES"/>
    </w:rPr>
  </w:style>
  <w:style w:type="table" w:styleId="Tablaconcuadrcula">
    <w:name w:val="Table Grid"/>
    <w:basedOn w:val="Tablanormal"/>
    <w:uiPriority w:val="39"/>
    <w:rsid w:val="0028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5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3641">
      <w:bodyDiv w:val="1"/>
      <w:marLeft w:val="0"/>
      <w:marRight w:val="0"/>
      <w:marTop w:val="0"/>
      <w:marBottom w:val="0"/>
      <w:divBdr>
        <w:top w:val="none" w:sz="0" w:space="0" w:color="auto"/>
        <w:left w:val="none" w:sz="0" w:space="0" w:color="auto"/>
        <w:bottom w:val="none" w:sz="0" w:space="0" w:color="auto"/>
        <w:right w:val="none" w:sz="0" w:space="0" w:color="auto"/>
      </w:divBdr>
    </w:div>
    <w:div w:id="889540473">
      <w:bodyDiv w:val="1"/>
      <w:marLeft w:val="0"/>
      <w:marRight w:val="0"/>
      <w:marTop w:val="0"/>
      <w:marBottom w:val="0"/>
      <w:divBdr>
        <w:top w:val="none" w:sz="0" w:space="0" w:color="auto"/>
        <w:left w:val="none" w:sz="0" w:space="0" w:color="auto"/>
        <w:bottom w:val="none" w:sz="0" w:space="0" w:color="auto"/>
        <w:right w:val="none" w:sz="0" w:space="0" w:color="auto"/>
      </w:divBdr>
      <w:divsChild>
        <w:div w:id="659890711">
          <w:marLeft w:val="0"/>
          <w:marRight w:val="0"/>
          <w:marTop w:val="0"/>
          <w:marBottom w:val="0"/>
          <w:divBdr>
            <w:top w:val="none" w:sz="0" w:space="0" w:color="auto"/>
            <w:left w:val="none" w:sz="0" w:space="0" w:color="auto"/>
            <w:bottom w:val="none" w:sz="0" w:space="0" w:color="auto"/>
            <w:right w:val="none" w:sz="0" w:space="0" w:color="auto"/>
          </w:divBdr>
        </w:div>
        <w:div w:id="1308628755">
          <w:marLeft w:val="0"/>
          <w:marRight w:val="0"/>
          <w:marTop w:val="0"/>
          <w:marBottom w:val="0"/>
          <w:divBdr>
            <w:top w:val="none" w:sz="0" w:space="0" w:color="auto"/>
            <w:left w:val="none" w:sz="0" w:space="0" w:color="auto"/>
            <w:bottom w:val="none" w:sz="0" w:space="0" w:color="auto"/>
            <w:right w:val="none" w:sz="0" w:space="0" w:color="auto"/>
          </w:divBdr>
        </w:div>
        <w:div w:id="1260678401">
          <w:marLeft w:val="0"/>
          <w:marRight w:val="0"/>
          <w:marTop w:val="0"/>
          <w:marBottom w:val="0"/>
          <w:divBdr>
            <w:top w:val="none" w:sz="0" w:space="0" w:color="auto"/>
            <w:left w:val="none" w:sz="0" w:space="0" w:color="auto"/>
            <w:bottom w:val="none" w:sz="0" w:space="0" w:color="auto"/>
            <w:right w:val="none" w:sz="0" w:space="0" w:color="auto"/>
          </w:divBdr>
        </w:div>
        <w:div w:id="1513840448">
          <w:marLeft w:val="0"/>
          <w:marRight w:val="0"/>
          <w:marTop w:val="0"/>
          <w:marBottom w:val="0"/>
          <w:divBdr>
            <w:top w:val="none" w:sz="0" w:space="0" w:color="auto"/>
            <w:left w:val="none" w:sz="0" w:space="0" w:color="auto"/>
            <w:bottom w:val="none" w:sz="0" w:space="0" w:color="auto"/>
            <w:right w:val="none" w:sz="0" w:space="0" w:color="auto"/>
          </w:divBdr>
        </w:div>
        <w:div w:id="1355185527">
          <w:marLeft w:val="0"/>
          <w:marRight w:val="0"/>
          <w:marTop w:val="0"/>
          <w:marBottom w:val="0"/>
          <w:divBdr>
            <w:top w:val="none" w:sz="0" w:space="0" w:color="auto"/>
            <w:left w:val="none" w:sz="0" w:space="0" w:color="auto"/>
            <w:bottom w:val="none" w:sz="0" w:space="0" w:color="auto"/>
            <w:right w:val="none" w:sz="0" w:space="0" w:color="auto"/>
          </w:divBdr>
        </w:div>
        <w:div w:id="155022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f8b1cd9-b357-4b61-b774-33ef1df76220">PROMOTUR-29-3788</_dlc_DocId>
    <_dlc_DocIdUrl xmlns="3f8b1cd9-b357-4b61-b774-33ef1df76220">
      <Url>https://promotur.sharepoint.com/departamentos/informatica/_layouts/15/DocIdRedir.aspx?ID=PROMOTUR-29-3788</Url>
      <Description>PROMOTUR-29-3788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FB7F6BD03CA45645A0C985FE5308237D" ma:contentTypeVersion="13" ma:contentTypeDescription="Crear nuevo documento." ma:contentTypeScope="" ma:versionID="b2b56c5bf8f4c162a1437ac493e6ab51">
  <xsd:schema xmlns:xsd="http://www.w3.org/2001/XMLSchema" xmlns:xs="http://www.w3.org/2001/XMLSchema" xmlns:p="http://schemas.microsoft.com/office/2006/metadata/properties" xmlns:ns2="3f8b1cd9-b357-4b61-b774-33ef1df76220" xmlns:ns3="1f7b78ec-407b-4c9e-8b8c-024072c43166" targetNamespace="http://schemas.microsoft.com/office/2006/metadata/properties" ma:root="true" ma:fieldsID="2f2cd803228eede2912afc5d550d7a7b" ns2:_="" ns3:_="">
    <xsd:import namespace="3f8b1cd9-b357-4b61-b774-33ef1df76220"/>
    <xsd:import namespace="1f7b78ec-407b-4c9e-8b8c-024072c4316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b1cd9-b357-4b61-b774-33ef1df7622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b78ec-407b-4c9e-8b8c-024072c4316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56587-47D7-446D-9ED1-610C6C6052A7}">
  <ds:schemaRefs>
    <ds:schemaRef ds:uri="http://schemas.microsoft.com/office/2006/metadata/properties"/>
    <ds:schemaRef ds:uri="http://schemas.microsoft.com/office/infopath/2007/PartnerControls"/>
    <ds:schemaRef ds:uri="3f8b1cd9-b357-4b61-b774-33ef1df76220"/>
  </ds:schemaRefs>
</ds:datastoreItem>
</file>

<file path=customXml/itemProps2.xml><?xml version="1.0" encoding="utf-8"?>
<ds:datastoreItem xmlns:ds="http://schemas.openxmlformats.org/officeDocument/2006/customXml" ds:itemID="{97E55F36-8560-445A-9E8A-09A64A22853E}">
  <ds:schemaRefs>
    <ds:schemaRef ds:uri="http://schemas.microsoft.com/sharepoint/v3/contenttype/forms"/>
  </ds:schemaRefs>
</ds:datastoreItem>
</file>

<file path=customXml/itemProps3.xml><?xml version="1.0" encoding="utf-8"?>
<ds:datastoreItem xmlns:ds="http://schemas.openxmlformats.org/officeDocument/2006/customXml" ds:itemID="{2ED9B746-1BB1-40EA-AB60-88EA6745F804}">
  <ds:schemaRefs>
    <ds:schemaRef ds:uri="http://schemas.openxmlformats.org/officeDocument/2006/bibliography"/>
  </ds:schemaRefs>
</ds:datastoreItem>
</file>

<file path=customXml/itemProps4.xml><?xml version="1.0" encoding="utf-8"?>
<ds:datastoreItem xmlns:ds="http://schemas.openxmlformats.org/officeDocument/2006/customXml" ds:itemID="{497B5E64-686F-4725-B838-96F665E1F562}">
  <ds:schemaRefs>
    <ds:schemaRef ds:uri="http://schemas.microsoft.com/sharepoint/events"/>
  </ds:schemaRefs>
</ds:datastoreItem>
</file>

<file path=customXml/itemProps5.xml><?xml version="1.0" encoding="utf-8"?>
<ds:datastoreItem xmlns:ds="http://schemas.openxmlformats.org/officeDocument/2006/customXml" ds:itemID="{B8BD3D5B-5A4A-4127-B22C-3DE072B4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b1cd9-b357-4b61-b774-33ef1df76220"/>
    <ds:schemaRef ds:uri="1f7b78ec-407b-4c9e-8b8c-024072c43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Luis Hernández Molina</cp:lastModifiedBy>
  <cp:revision>2</cp:revision>
  <cp:lastPrinted>2022-07-11T11:19:00Z</cp:lastPrinted>
  <dcterms:created xsi:type="dcterms:W3CDTF">2022-07-12T11:31:00Z</dcterms:created>
  <dcterms:modified xsi:type="dcterms:W3CDTF">2022-07-12T11:31:00Z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0x010100FB7F6BD03CA45645A0C985FE5308237D</vt:lpwstr>
  </property>
  <property fmtid="{D5CDD505-2E9C-101B-9397-08002B2CF9AE}" pid="3" name="_dlc_DocIdItemGuid">
    <vt:lpwstr>7ce6bf1a-55f5-4e85-83fe-9ae34fa87f19</vt:lpwstr>
  </property>
</Properties>
</file>