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r w:rsidRPr="002419A9">
        <w:rPr>
          <w:rFonts w:ascii="Times" w:eastAsia="Times" w:hAnsi="Times" w:cs="Times New Roman"/>
          <w:noProof/>
          <w:szCs w:val="20"/>
          <w:lang w:eastAsia="es-ES"/>
        </w:rPr>
        <mc:AlternateContent>
          <mc:Choice Requires="wps">
            <w:drawing>
              <wp:anchor distT="0" distB="0" distL="114300" distR="114300" simplePos="0" relativeHeight="251659264" behindDoc="0" locked="0" layoutInCell="1" allowOverlap="1" wp14:anchorId="666EE71C" wp14:editId="47A50CF7">
                <wp:simplePos x="0" y="0"/>
                <wp:positionH relativeFrom="column">
                  <wp:posOffset>-34290</wp:posOffset>
                </wp:positionH>
                <wp:positionV relativeFrom="paragraph">
                  <wp:posOffset>86360</wp:posOffset>
                </wp:positionV>
                <wp:extent cx="5440680" cy="1485900"/>
                <wp:effectExtent l="13335" t="12065" r="13335" b="698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485900"/>
                        </a:xfrm>
                        <a:prstGeom prst="roundRect">
                          <a:avLst>
                            <a:gd name="adj" fmla="val 16667"/>
                          </a:avLst>
                        </a:prstGeom>
                        <a:solidFill>
                          <a:srgbClr val="DDDDDD"/>
                        </a:solidFill>
                        <a:ln w="9525">
                          <a:solidFill>
                            <a:srgbClr val="000000"/>
                          </a:solidFill>
                          <a:round/>
                          <a:headEnd/>
                          <a:tailEnd/>
                        </a:ln>
                      </wps:spPr>
                      <wps:txbx>
                        <w:txbxContent>
                          <w:p w:rsidR="002419A9" w:rsidRPr="002419A9" w:rsidRDefault="002419A9" w:rsidP="002419A9">
                            <w:pPr>
                              <w:pStyle w:val="Ttulo1"/>
                              <w:jc w:val="both"/>
                              <w:rPr>
                                <w:b/>
                                <w:sz w:val="28"/>
                              </w:rPr>
                            </w:pPr>
                            <w:r w:rsidRPr="002419A9">
                              <w:rPr>
                                <w:b/>
                                <w:sz w:val="28"/>
                              </w:rPr>
                              <w:t>INFORME DE PROMOTUR TURISMO CANARIAS, S.A., RELATIVO AL CUMPLIMIENTO DE LAS OBLIGACIONES DE CARÁCTER ECONÓMICO-FINANCIERO QUE ASUME ESTA EMPRESA PÚBLICA COMO CONSECUENCIA DE SU PERTENENCIA AL SECTOR PÚBLICO DURANTE EL EJERCICIO 2017</w:t>
                            </w:r>
                          </w:p>
                          <w:p w:rsidR="002419A9" w:rsidRPr="00A34096" w:rsidRDefault="002419A9" w:rsidP="00241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EE71C" id="Rectángulo: esquinas redondeadas 1" o:spid="_x0000_s1026" style="position:absolute;margin-left:-2.7pt;margin-top:6.8pt;width:42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" fillcolor="#ddd">
                <v:textbox>
                  <w:txbxContent>
                    <w:p w:rsidR="002419A9" w:rsidRPr="002419A9" w:rsidRDefault="002419A9" w:rsidP="002419A9">
                      <w:pPr>
                        <w:pStyle w:val="Ttulo1"/>
                        <w:jc w:val="both"/>
                        <w:rPr>
                          <w:b/>
                          <w:sz w:val="28"/>
                        </w:rPr>
                      </w:pPr>
                      <w:r w:rsidRPr="002419A9">
                        <w:rPr>
                          <w:b/>
                          <w:sz w:val="28"/>
                        </w:rPr>
                        <w:t>INFORME DE PROMOTUR TURISMO CANARIAS, S.A., RELATIVO AL CUMPLIMIENTO DE LAS OBLIGACIONES DE CARÁCTER ECONÓMICO-FINANCIERO QUE ASUME ESTA EMPRESA PÚBLICA COMO CONSECUENCIA DE SU PERTENENCIA AL SECTOR PÚBLICO DURANTE EL EJERCICIO 2017</w:t>
                      </w:r>
                    </w:p>
                    <w:p w:rsidR="002419A9" w:rsidRPr="00A34096" w:rsidRDefault="002419A9" w:rsidP="002419A9"/>
                  </w:txbxContent>
                </v:textbox>
              </v:roundrect>
            </w:pict>
          </mc:Fallback>
        </mc:AlternateContent>
      </w: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tabs>
          <w:tab w:val="right" w:pos="7920"/>
        </w:tabs>
        <w:rPr>
          <w:rFonts w:ascii="Times" w:eastAsia="Times" w:hAnsi="Times" w:cs="Times New Roman"/>
          <w:b/>
          <w:szCs w:val="20"/>
          <w:lang w:eastAsia="es-ES"/>
        </w:rPr>
      </w:pPr>
      <w:r w:rsidRPr="002419A9">
        <w:rPr>
          <w:rFonts w:ascii="Times" w:eastAsia="Times" w:hAnsi="Times" w:cs="Times New Roman"/>
          <w:b/>
          <w:szCs w:val="20"/>
          <w:lang w:eastAsia="es-ES"/>
        </w:rPr>
        <w:t xml:space="preserve">                                                    INDICE</w:t>
      </w:r>
      <w:r w:rsidRPr="002419A9">
        <w:rPr>
          <w:rFonts w:ascii="Times" w:eastAsia="Times" w:hAnsi="Times" w:cs="Times New Roman"/>
          <w:b/>
          <w:szCs w:val="20"/>
          <w:lang w:eastAsia="es-ES"/>
        </w:rPr>
        <w:tab/>
        <w:t>PAG</w:t>
      </w:r>
    </w:p>
    <w:p w:rsidR="002419A9" w:rsidRPr="002419A9" w:rsidRDefault="002419A9" w:rsidP="002419A9">
      <w:pPr>
        <w:tabs>
          <w:tab w:val="right" w:pos="7920"/>
        </w:tabs>
        <w:rPr>
          <w:rFonts w:ascii="Times" w:eastAsia="Times" w:hAnsi="Times" w:cs="Times New Roman"/>
          <w:b/>
          <w:szCs w:val="20"/>
          <w:lang w:eastAsia="es-ES"/>
        </w:rPr>
      </w:pPr>
    </w:p>
    <w:p w:rsidR="002419A9" w:rsidRPr="002419A9" w:rsidRDefault="002419A9" w:rsidP="002419A9">
      <w:pPr>
        <w:tabs>
          <w:tab w:val="right" w:pos="7920"/>
        </w:tabs>
        <w:rPr>
          <w:rFonts w:ascii="Times" w:eastAsia="Times" w:hAnsi="Times" w:cs="Times New Roman"/>
          <w:b/>
          <w:szCs w:val="20"/>
          <w:lang w:eastAsia="es-ES"/>
        </w:rPr>
      </w:pPr>
    </w:p>
    <w:p w:rsidR="002419A9" w:rsidRPr="002419A9" w:rsidRDefault="002419A9" w:rsidP="002419A9">
      <w:pPr>
        <w:tabs>
          <w:tab w:val="right" w:pos="7740"/>
        </w:tabs>
        <w:rPr>
          <w:rFonts w:ascii="Times" w:eastAsia="Times" w:hAnsi="Times" w:cs="Times New Roman"/>
          <w:b/>
          <w:szCs w:val="20"/>
          <w:lang w:eastAsia="es-ES"/>
        </w:rPr>
      </w:pPr>
      <w:r w:rsidRPr="002419A9">
        <w:rPr>
          <w:rFonts w:ascii="Times" w:eastAsia="Times" w:hAnsi="Times" w:cs="Times New Roman"/>
          <w:b/>
          <w:szCs w:val="20"/>
          <w:lang w:eastAsia="es-ES"/>
        </w:rPr>
        <w:t>Introducción</w:t>
      </w:r>
      <w:r w:rsidRPr="002419A9">
        <w:rPr>
          <w:rFonts w:ascii="Times" w:eastAsia="Times" w:hAnsi="Times" w:cs="Times New Roman"/>
          <w:b/>
          <w:szCs w:val="20"/>
          <w:lang w:eastAsia="es-ES"/>
        </w:rPr>
        <w:tab/>
        <w:t>3</w:t>
      </w:r>
    </w:p>
    <w:p w:rsidR="002419A9" w:rsidRPr="002419A9" w:rsidRDefault="002419A9" w:rsidP="002419A9">
      <w:pPr>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692"/>
        <w:jc w:val="both"/>
        <w:rPr>
          <w:rFonts w:ascii="Times" w:eastAsia="Times" w:hAnsi="Times" w:cs="Times New Roman"/>
          <w:szCs w:val="20"/>
          <w:lang w:eastAsia="es-ES"/>
        </w:rPr>
      </w:pPr>
      <w:r w:rsidRPr="002419A9">
        <w:rPr>
          <w:rFonts w:ascii="Times" w:eastAsia="Times" w:hAnsi="Times" w:cs="Times New Roman"/>
          <w:szCs w:val="20"/>
          <w:lang w:eastAsia="es-ES"/>
        </w:rPr>
        <w:t>Información de carácter presupuestario.</w:t>
      </w:r>
      <w:r w:rsidRPr="002419A9">
        <w:rPr>
          <w:rFonts w:ascii="Times" w:eastAsia="Times" w:hAnsi="Times" w:cs="Times New Roman"/>
          <w:szCs w:val="20"/>
          <w:lang w:eastAsia="es-ES"/>
        </w:rPr>
        <w:tab/>
        <w:t>4</w:t>
      </w:r>
    </w:p>
    <w:p w:rsidR="002419A9" w:rsidRPr="002419A9" w:rsidRDefault="002419A9" w:rsidP="002419A9">
      <w:pPr>
        <w:tabs>
          <w:tab w:val="right" w:pos="7740"/>
        </w:tabs>
        <w:ind w:left="-540" w:right="2744"/>
        <w:rPr>
          <w:rFonts w:ascii="Times" w:eastAsia="Times" w:hAnsi="Times" w:cs="Times New Roman"/>
          <w:szCs w:val="20"/>
          <w:lang w:eastAsia="es-ES"/>
        </w:rPr>
      </w:pPr>
      <w:r w:rsidRPr="002419A9">
        <w:rPr>
          <w:rFonts w:ascii="Times" w:eastAsia="Times" w:hAnsi="Times" w:cs="Times New Roman"/>
          <w:szCs w:val="20"/>
          <w:lang w:eastAsia="es-ES"/>
        </w:rPr>
        <w:tab/>
      </w: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 xml:space="preserve">Información relativa a la ejecución de los contratos-programa, convenios, encomiendas, aportaciones dinerarias y subvenciones y su grado de cumplimiento. </w:t>
      </w:r>
      <w:r w:rsidRPr="002419A9">
        <w:rPr>
          <w:rFonts w:ascii="Times" w:eastAsia="Times" w:hAnsi="Times" w:cs="Times New Roman"/>
          <w:szCs w:val="20"/>
          <w:lang w:eastAsia="es-ES"/>
        </w:rPr>
        <w:tab/>
        <w:t>7</w:t>
      </w:r>
      <w:r w:rsidRPr="002419A9">
        <w:rPr>
          <w:rFonts w:ascii="Times" w:eastAsia="Times" w:hAnsi="Times" w:cs="Times New Roman"/>
          <w:szCs w:val="20"/>
          <w:lang w:eastAsia="es-ES"/>
        </w:rPr>
        <w:tab/>
      </w:r>
      <w:r w:rsidRPr="002419A9">
        <w:rPr>
          <w:rFonts w:ascii="Times" w:eastAsia="Times" w:hAnsi="Times" w:cs="Times New Roman"/>
          <w:szCs w:val="20"/>
          <w:lang w:eastAsia="es-ES"/>
        </w:rPr>
        <w:tab/>
      </w:r>
    </w:p>
    <w:p w:rsidR="002419A9" w:rsidRPr="002419A9" w:rsidRDefault="002419A9" w:rsidP="002419A9">
      <w:pPr>
        <w:tabs>
          <w:tab w:val="right" w:pos="7740"/>
        </w:tabs>
        <w:ind w:right="2744"/>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 xml:space="preserve">Información relativa al cumplimiento de la normativa en materia de contratación que han de cumplir las entidades del sector público. </w:t>
      </w:r>
      <w:r w:rsidRPr="002419A9">
        <w:rPr>
          <w:rFonts w:ascii="Times" w:eastAsia="Times" w:hAnsi="Times" w:cs="Times New Roman"/>
          <w:szCs w:val="20"/>
          <w:lang w:eastAsia="es-ES"/>
        </w:rPr>
        <w:tab/>
        <w:t>7</w:t>
      </w:r>
      <w:r w:rsidRPr="002419A9">
        <w:rPr>
          <w:rFonts w:ascii="Times" w:eastAsia="Times" w:hAnsi="Times" w:cs="Times New Roman"/>
          <w:szCs w:val="20"/>
          <w:lang w:eastAsia="es-ES"/>
        </w:rPr>
        <w:tab/>
      </w:r>
    </w:p>
    <w:p w:rsidR="002419A9" w:rsidRPr="002419A9" w:rsidRDefault="002419A9" w:rsidP="002419A9">
      <w:pPr>
        <w:tabs>
          <w:tab w:val="right" w:pos="7740"/>
        </w:tabs>
        <w:ind w:right="2744"/>
        <w:jc w:val="both"/>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garantías recibidas.</w:t>
      </w:r>
      <w:r w:rsidRPr="002419A9">
        <w:rPr>
          <w:rFonts w:ascii="Times" w:eastAsia="Times" w:hAnsi="Times" w:cs="Times New Roman"/>
          <w:szCs w:val="20"/>
          <w:lang w:eastAsia="es-ES"/>
        </w:rPr>
        <w:tab/>
        <w:t>9</w:t>
      </w:r>
    </w:p>
    <w:p w:rsidR="002419A9" w:rsidRPr="002419A9" w:rsidRDefault="002419A9" w:rsidP="002419A9">
      <w:pPr>
        <w:tabs>
          <w:tab w:val="right" w:pos="7740"/>
        </w:tabs>
        <w:ind w:left="-540" w:right="2744"/>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personal.</w:t>
      </w:r>
      <w:r w:rsidRPr="002419A9">
        <w:rPr>
          <w:rFonts w:ascii="Times" w:eastAsia="Times" w:hAnsi="Times" w:cs="Times New Roman"/>
          <w:szCs w:val="20"/>
          <w:lang w:eastAsia="es-ES"/>
        </w:rPr>
        <w:tab/>
        <w:t>9</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los ingresos por ventas y/o prestaciones de servicios de la entidad.</w:t>
      </w:r>
      <w:r w:rsidRPr="002419A9">
        <w:rPr>
          <w:rFonts w:ascii="Times" w:eastAsia="Times" w:hAnsi="Times" w:cs="Times New Roman"/>
          <w:szCs w:val="20"/>
          <w:lang w:eastAsia="es-ES"/>
        </w:rPr>
        <w:tab/>
      </w:r>
      <w:r w:rsidR="00685514">
        <w:rPr>
          <w:rFonts w:ascii="Times" w:eastAsia="Times" w:hAnsi="Times" w:cs="Times New Roman"/>
          <w:szCs w:val="20"/>
          <w:lang w:eastAsia="es-ES"/>
        </w:rPr>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las operaciones financieras.</w:t>
      </w:r>
      <w:r w:rsidRPr="002419A9">
        <w:rPr>
          <w:rFonts w:ascii="Times" w:eastAsia="Times" w:hAnsi="Times" w:cs="Times New Roman"/>
          <w:szCs w:val="20"/>
          <w:lang w:eastAsia="es-ES"/>
        </w:rPr>
        <w:tab/>
      </w:r>
      <w:r w:rsidR="00685514">
        <w:rPr>
          <w:rFonts w:ascii="Times" w:eastAsia="Times" w:hAnsi="Times" w:cs="Times New Roman"/>
          <w:szCs w:val="20"/>
          <w:lang w:eastAsia="es-ES"/>
        </w:rPr>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el Plan económico-financiero de saneamiento a medio plazo como consecuencia de situaciones de desequilibrio presupuestario.</w:t>
      </w:r>
      <w:r w:rsidRPr="002419A9">
        <w:rPr>
          <w:rFonts w:ascii="Times" w:eastAsia="Times" w:hAnsi="Times" w:cs="Times New Roman"/>
          <w:szCs w:val="20"/>
          <w:lang w:eastAsia="es-ES"/>
        </w:rPr>
        <w:tab/>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Proyección al cierre del ejercicio siguiente.</w:t>
      </w:r>
      <w:r w:rsidRPr="002419A9">
        <w:rPr>
          <w:rFonts w:ascii="Times" w:eastAsia="Times" w:hAnsi="Times" w:cs="Times New Roman"/>
          <w:szCs w:val="20"/>
          <w:lang w:eastAsia="es-ES"/>
        </w:rPr>
        <w:tab/>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objetivos e indicadores de gestión.</w:t>
      </w:r>
      <w:r w:rsidRPr="002419A9">
        <w:rPr>
          <w:rFonts w:ascii="Times" w:eastAsia="Times" w:hAnsi="Times" w:cs="Times New Roman"/>
          <w:szCs w:val="20"/>
          <w:lang w:eastAsia="es-ES"/>
        </w:rPr>
        <w:tab/>
        <w:t>1</w:t>
      </w:r>
      <w:r w:rsidR="007F0659">
        <w:rPr>
          <w:rFonts w:ascii="Times" w:eastAsia="Times" w:hAnsi="Times" w:cs="Times New Roman"/>
          <w:szCs w:val="20"/>
          <w:lang w:eastAsia="es-ES"/>
        </w:rPr>
        <w:t>1</w:t>
      </w:r>
      <w:bookmarkStart w:id="0" w:name="_GoBack"/>
      <w:bookmarkEnd w:id="0"/>
    </w:p>
    <w:p w:rsidR="002419A9" w:rsidRPr="002419A9" w:rsidRDefault="002419A9" w:rsidP="002419A9">
      <w:pPr>
        <w:tabs>
          <w:tab w:val="right" w:pos="7740"/>
        </w:tabs>
        <w:ind w:left="-540" w:right="2744"/>
        <w:rPr>
          <w:rFonts w:ascii="Times" w:eastAsia="Times" w:hAnsi="Times" w:cs="Times New Roman"/>
          <w:szCs w:val="20"/>
          <w:lang w:eastAsia="es-ES"/>
        </w:rPr>
      </w:pPr>
    </w:p>
    <w:p w:rsidR="002419A9" w:rsidRPr="002419A9" w:rsidRDefault="002419A9" w:rsidP="002419A9">
      <w:pPr>
        <w:tabs>
          <w:tab w:val="num" w:pos="-180"/>
        </w:tabs>
        <w:ind w:left="-180"/>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b/>
          <w:szCs w:val="20"/>
          <w:lang w:eastAsia="es-ES"/>
        </w:rPr>
      </w:pPr>
    </w:p>
    <w:p w:rsidR="002419A9" w:rsidRPr="002419A9" w:rsidRDefault="002419A9" w:rsidP="002419A9">
      <w:pPr>
        <w:rPr>
          <w:rFonts w:ascii="Times" w:eastAsia="Times" w:hAnsi="Times" w:cs="Times New Roman"/>
          <w:b/>
          <w:szCs w:val="20"/>
          <w:lang w:eastAsia="es-ES"/>
        </w:rPr>
      </w:pPr>
    </w:p>
    <w:p w:rsidR="002419A9" w:rsidRPr="002419A9" w:rsidRDefault="002419A9" w:rsidP="002419A9">
      <w:pPr>
        <w:rPr>
          <w:rFonts w:ascii="Times" w:eastAsia="Times" w:hAnsi="Times" w:cs="Times New Roman"/>
          <w:b/>
          <w:szCs w:val="20"/>
          <w:lang w:eastAsia="es-ES"/>
        </w:rPr>
      </w:pPr>
      <w:r w:rsidRPr="002419A9">
        <w:rPr>
          <w:rFonts w:ascii="Times" w:eastAsia="Times" w:hAnsi="Times" w:cs="Times New Roman"/>
          <w:b/>
          <w:szCs w:val="20"/>
          <w:lang w:eastAsia="es-ES"/>
        </w:rPr>
        <w:tab/>
        <w:t>INTRODUCCIÓN</w:t>
      </w:r>
    </w:p>
    <w:p w:rsidR="002419A9" w:rsidRPr="002419A9" w:rsidRDefault="002419A9" w:rsidP="002419A9">
      <w:pPr>
        <w:rPr>
          <w:rFonts w:ascii="Times" w:eastAsia="Times" w:hAnsi="Times" w:cs="Times New Roman"/>
          <w:szCs w:val="20"/>
          <w:lang w:eastAsia="es-ES"/>
        </w:rPr>
      </w:pPr>
    </w:p>
    <w:p w:rsidR="002419A9" w:rsidRPr="002419A9" w:rsidRDefault="002419A9" w:rsidP="002419A9">
      <w:pPr>
        <w:keepNext/>
        <w:widowControl w:val="0"/>
        <w:jc w:val="both"/>
        <w:outlineLvl w:val="0"/>
        <w:rPr>
          <w:rFonts w:ascii="Times New Roman" w:eastAsia="Times New Roman" w:hAnsi="Times New Roman" w:cs="Times New Roman"/>
          <w:snapToGrid w:val="0"/>
          <w:sz w:val="28"/>
          <w:szCs w:val="28"/>
          <w:lang w:eastAsia="es-ES"/>
        </w:rPr>
      </w:pPr>
      <w:r w:rsidRPr="002419A9">
        <w:rPr>
          <w:rFonts w:ascii="Times New Roman" w:eastAsia="Times New Roman" w:hAnsi="Times New Roman" w:cs="Times New Roman"/>
          <w:snapToGrid w:val="0"/>
          <w:sz w:val="28"/>
          <w:szCs w:val="28"/>
          <w:lang w:eastAsia="es-ES"/>
        </w:rPr>
        <w:tab/>
        <w:t xml:space="preserve">El presente informe se realiza de conformidad con lo previsto </w:t>
      </w:r>
      <w:r w:rsidRPr="002419A9">
        <w:rPr>
          <w:rFonts w:ascii="Times New Roman" w:eastAsia="Times New Roman" w:hAnsi="Times New Roman" w:cs="Times New Roman"/>
          <w:snapToGrid w:val="0"/>
          <w:sz w:val="28"/>
          <w:szCs w:val="28"/>
          <w:lang w:eastAsia="es-ES"/>
        </w:rPr>
        <w:tab/>
        <w:t xml:space="preserve">en la Ley 11/2006, de 11 de diciembre, de </w:t>
      </w:r>
      <w:smartTag w:uri="urn:schemas-microsoft-com:office:smarttags" w:element="PersonName">
        <w:smartTagPr>
          <w:attr w:name="ProductID" w:val="la Hacienda P￺blica  Canaria"/>
        </w:smartTagPr>
        <w:r w:rsidRPr="002419A9">
          <w:rPr>
            <w:rFonts w:ascii="Times New Roman" w:eastAsia="Times New Roman" w:hAnsi="Times New Roman" w:cs="Times New Roman"/>
            <w:snapToGrid w:val="0"/>
            <w:sz w:val="28"/>
            <w:szCs w:val="28"/>
            <w:lang w:eastAsia="es-ES"/>
          </w:rPr>
          <w:t xml:space="preserve">la Hacienda Pública </w:t>
        </w:r>
        <w:r w:rsidRPr="002419A9">
          <w:rPr>
            <w:rFonts w:ascii="Times New Roman" w:eastAsia="Times New Roman" w:hAnsi="Times New Roman" w:cs="Times New Roman"/>
            <w:snapToGrid w:val="0"/>
            <w:sz w:val="28"/>
            <w:szCs w:val="28"/>
            <w:lang w:eastAsia="es-ES"/>
          </w:rPr>
          <w:tab/>
          <w:t>Canaria</w:t>
        </w:r>
      </w:smartTag>
      <w:r w:rsidRPr="002419A9">
        <w:rPr>
          <w:rFonts w:ascii="Times New Roman" w:eastAsia="Times New Roman" w:hAnsi="Times New Roman" w:cs="Times New Roman"/>
          <w:snapToGrid w:val="0"/>
          <w:sz w:val="28"/>
          <w:szCs w:val="28"/>
          <w:lang w:eastAsia="es-ES"/>
        </w:rPr>
        <w:t xml:space="preserve">, que establece en su artículo 116.3 que: </w:t>
      </w:r>
      <w:r w:rsidRPr="002419A9">
        <w:rPr>
          <w:rFonts w:ascii="Times New Roman" w:eastAsia="Times New Roman" w:hAnsi="Times New Roman" w:cs="Times New Roman"/>
          <w:i/>
          <w:snapToGrid w:val="0"/>
          <w:sz w:val="28"/>
          <w:szCs w:val="28"/>
          <w:lang w:eastAsia="es-ES"/>
        </w:rPr>
        <w:t xml:space="preserve">“Las </w:t>
      </w:r>
      <w:r w:rsidRPr="002419A9">
        <w:rPr>
          <w:rFonts w:ascii="Times New Roman" w:eastAsia="Times New Roman" w:hAnsi="Times New Roman" w:cs="Times New Roman"/>
          <w:i/>
          <w:snapToGrid w:val="0"/>
          <w:sz w:val="28"/>
          <w:szCs w:val="28"/>
          <w:lang w:eastAsia="es-ES"/>
        </w:rPr>
        <w:tab/>
        <w:t xml:space="preserve">sociedades </w:t>
      </w:r>
      <w:r w:rsidRPr="002419A9">
        <w:rPr>
          <w:rFonts w:ascii="Times New Roman" w:eastAsia="Times New Roman" w:hAnsi="Times New Roman" w:cs="Times New Roman"/>
          <w:i/>
          <w:snapToGrid w:val="0"/>
          <w:sz w:val="28"/>
          <w:szCs w:val="28"/>
          <w:lang w:eastAsia="es-ES"/>
        </w:rPr>
        <w:tab/>
        <w:t xml:space="preserve">mercantiles públicas, las entidades públicas </w:t>
      </w:r>
      <w:r w:rsidRPr="002419A9">
        <w:rPr>
          <w:rFonts w:ascii="Times New Roman" w:eastAsia="Times New Roman" w:hAnsi="Times New Roman" w:cs="Times New Roman"/>
          <w:i/>
          <w:snapToGrid w:val="0"/>
          <w:sz w:val="28"/>
          <w:szCs w:val="28"/>
          <w:lang w:eastAsia="es-ES"/>
        </w:rPr>
        <w:tab/>
        <w:t xml:space="preserve">empresariales y el </w:t>
      </w:r>
      <w:r w:rsidRPr="002419A9">
        <w:rPr>
          <w:rFonts w:ascii="Times New Roman" w:eastAsia="Times New Roman" w:hAnsi="Times New Roman" w:cs="Times New Roman"/>
          <w:i/>
          <w:snapToGrid w:val="0"/>
          <w:sz w:val="28"/>
          <w:szCs w:val="28"/>
          <w:lang w:eastAsia="es-ES"/>
        </w:rPr>
        <w:tab/>
        <w:t xml:space="preserve">resto de entes del sector público sometidos a </w:t>
      </w:r>
      <w:r w:rsidRPr="002419A9">
        <w:rPr>
          <w:rFonts w:ascii="Times New Roman" w:eastAsia="Times New Roman" w:hAnsi="Times New Roman" w:cs="Times New Roman"/>
          <w:i/>
          <w:snapToGrid w:val="0"/>
          <w:sz w:val="28"/>
          <w:szCs w:val="28"/>
          <w:lang w:eastAsia="es-ES"/>
        </w:rPr>
        <w:tab/>
        <w:t xml:space="preserve">los principios y </w:t>
      </w:r>
      <w:r w:rsidRPr="002419A9">
        <w:rPr>
          <w:rFonts w:ascii="Times New Roman" w:eastAsia="Times New Roman" w:hAnsi="Times New Roman" w:cs="Times New Roman"/>
          <w:i/>
          <w:snapToGrid w:val="0"/>
          <w:sz w:val="28"/>
          <w:szCs w:val="28"/>
          <w:lang w:eastAsia="es-ES"/>
        </w:rPr>
        <w:tab/>
        <w:t xml:space="preserve">normas de contabilidad recogidos en el Plan </w:t>
      </w:r>
      <w:r w:rsidRPr="002419A9">
        <w:rPr>
          <w:rFonts w:ascii="Times New Roman" w:eastAsia="Times New Roman" w:hAnsi="Times New Roman" w:cs="Times New Roman"/>
          <w:i/>
          <w:snapToGrid w:val="0"/>
          <w:sz w:val="28"/>
          <w:szCs w:val="28"/>
          <w:lang w:eastAsia="es-ES"/>
        </w:rPr>
        <w:tab/>
        <w:t xml:space="preserve">General de </w:t>
      </w:r>
      <w:r w:rsidRPr="002419A9">
        <w:rPr>
          <w:rFonts w:ascii="Times New Roman" w:eastAsia="Times New Roman" w:hAnsi="Times New Roman" w:cs="Times New Roman"/>
          <w:i/>
          <w:snapToGrid w:val="0"/>
          <w:sz w:val="28"/>
          <w:szCs w:val="28"/>
          <w:lang w:eastAsia="es-ES"/>
        </w:rPr>
        <w:tab/>
        <w:t xml:space="preserve">Contabilidad de la empresa española y las </w:t>
      </w:r>
      <w:r w:rsidRPr="002419A9">
        <w:rPr>
          <w:rFonts w:ascii="Times New Roman" w:eastAsia="Times New Roman" w:hAnsi="Times New Roman" w:cs="Times New Roman"/>
          <w:i/>
          <w:snapToGrid w:val="0"/>
          <w:sz w:val="28"/>
          <w:szCs w:val="28"/>
          <w:lang w:eastAsia="es-ES"/>
        </w:rPr>
        <w:tab/>
        <w:t xml:space="preserve">fundaciones del </w:t>
      </w:r>
      <w:r w:rsidRPr="002419A9">
        <w:rPr>
          <w:rFonts w:ascii="Times New Roman" w:eastAsia="Times New Roman" w:hAnsi="Times New Roman" w:cs="Times New Roman"/>
          <w:i/>
          <w:snapToGrid w:val="0"/>
          <w:sz w:val="28"/>
          <w:szCs w:val="28"/>
          <w:lang w:eastAsia="es-ES"/>
        </w:rPr>
        <w:tab/>
        <w:t xml:space="preserve">sector público autonómico, presentarán, </w:t>
      </w:r>
      <w:r w:rsidRPr="002419A9">
        <w:rPr>
          <w:rFonts w:ascii="Times New Roman" w:eastAsia="Times New Roman" w:hAnsi="Times New Roman" w:cs="Times New Roman"/>
          <w:i/>
          <w:snapToGrid w:val="0"/>
          <w:sz w:val="28"/>
          <w:szCs w:val="28"/>
          <w:lang w:eastAsia="es-ES"/>
        </w:rPr>
        <w:tab/>
        <w:t xml:space="preserve">junto con las cuentas </w:t>
      </w:r>
      <w:r w:rsidRPr="002419A9">
        <w:rPr>
          <w:rFonts w:ascii="Times New Roman" w:eastAsia="Times New Roman" w:hAnsi="Times New Roman" w:cs="Times New Roman"/>
          <w:i/>
          <w:snapToGrid w:val="0"/>
          <w:sz w:val="28"/>
          <w:szCs w:val="28"/>
          <w:lang w:eastAsia="es-ES"/>
        </w:rPr>
        <w:tab/>
        <w:t xml:space="preserve">anuales, un informe relativo al </w:t>
      </w:r>
      <w:r w:rsidRPr="002419A9">
        <w:rPr>
          <w:rFonts w:ascii="Times New Roman" w:eastAsia="Times New Roman" w:hAnsi="Times New Roman" w:cs="Times New Roman"/>
          <w:i/>
          <w:snapToGrid w:val="0"/>
          <w:sz w:val="28"/>
          <w:szCs w:val="28"/>
          <w:lang w:eastAsia="es-ES"/>
        </w:rPr>
        <w:tab/>
        <w:t xml:space="preserve">cumplimiento de las </w:t>
      </w:r>
      <w:r w:rsidRPr="002419A9">
        <w:rPr>
          <w:rFonts w:ascii="Times New Roman" w:eastAsia="Times New Roman" w:hAnsi="Times New Roman" w:cs="Times New Roman"/>
          <w:i/>
          <w:snapToGrid w:val="0"/>
          <w:sz w:val="28"/>
          <w:szCs w:val="28"/>
          <w:lang w:eastAsia="es-ES"/>
        </w:rPr>
        <w:tab/>
        <w:t>obligaciones de carácter económico-</w:t>
      </w:r>
      <w:r w:rsidRPr="002419A9">
        <w:rPr>
          <w:rFonts w:ascii="Times New Roman" w:eastAsia="Times New Roman" w:hAnsi="Times New Roman" w:cs="Times New Roman"/>
          <w:i/>
          <w:snapToGrid w:val="0"/>
          <w:sz w:val="28"/>
          <w:szCs w:val="28"/>
          <w:lang w:eastAsia="es-ES"/>
        </w:rPr>
        <w:tab/>
        <w:t xml:space="preserve">financiero que asumen </w:t>
      </w:r>
      <w:r w:rsidRPr="002419A9">
        <w:rPr>
          <w:rFonts w:ascii="Times New Roman" w:eastAsia="Times New Roman" w:hAnsi="Times New Roman" w:cs="Times New Roman"/>
          <w:i/>
          <w:snapToGrid w:val="0"/>
          <w:sz w:val="28"/>
          <w:szCs w:val="28"/>
          <w:lang w:eastAsia="es-ES"/>
        </w:rPr>
        <w:tab/>
        <w:t xml:space="preserve">dichas entidades como consecuencia </w:t>
      </w:r>
      <w:r w:rsidRPr="002419A9">
        <w:rPr>
          <w:rFonts w:ascii="Times New Roman" w:eastAsia="Times New Roman" w:hAnsi="Times New Roman" w:cs="Times New Roman"/>
          <w:i/>
          <w:snapToGrid w:val="0"/>
          <w:sz w:val="28"/>
          <w:szCs w:val="28"/>
          <w:lang w:eastAsia="es-ES"/>
        </w:rPr>
        <w:tab/>
        <w:t>de su pertenencia al sector público”.</w:t>
      </w:r>
      <w:r w:rsidRPr="002419A9">
        <w:rPr>
          <w:rFonts w:ascii="Times New Roman" w:eastAsia="Times New Roman" w:hAnsi="Times New Roman" w:cs="Times New Roman"/>
          <w:snapToGrid w:val="0"/>
          <w:sz w:val="28"/>
          <w:szCs w:val="28"/>
          <w:lang w:eastAsia="es-ES"/>
        </w:rPr>
        <w:t xml:space="preserve"> Este informe está </w:t>
      </w:r>
      <w:r w:rsidRPr="002419A9">
        <w:rPr>
          <w:rFonts w:ascii="Times New Roman" w:eastAsia="Times New Roman" w:hAnsi="Times New Roman" w:cs="Times New Roman"/>
          <w:snapToGrid w:val="0"/>
          <w:sz w:val="28"/>
          <w:szCs w:val="28"/>
          <w:lang w:eastAsia="es-ES"/>
        </w:rPr>
        <w:tab/>
        <w:t xml:space="preserve">referido al ejercicio 2017. </w:t>
      </w:r>
    </w:p>
    <w:p w:rsidR="002419A9" w:rsidRPr="002419A9" w:rsidRDefault="002419A9" w:rsidP="002419A9">
      <w:pPr>
        <w:jc w:val="both"/>
        <w:rPr>
          <w:rFonts w:ascii="Times" w:eastAsia="Times" w:hAnsi="Times" w:cs="Times New Roman"/>
          <w:sz w:val="28"/>
          <w:szCs w:val="28"/>
          <w:lang w:eastAsia="es-ES"/>
        </w:rPr>
      </w:pPr>
    </w:p>
    <w:p w:rsidR="002419A9" w:rsidRPr="002419A9" w:rsidRDefault="002419A9" w:rsidP="002419A9">
      <w:pPr>
        <w:overflowPunct w:val="0"/>
        <w:autoSpaceDE w:val="0"/>
        <w:autoSpaceDN w:val="0"/>
        <w:adjustRightInd w:val="0"/>
        <w:spacing w:before="100" w:after="100"/>
        <w:jc w:val="both"/>
        <w:textAlignment w:val="baseline"/>
        <w:rPr>
          <w:rFonts w:ascii="Times New Roman" w:eastAsia="Times New Roman" w:hAnsi="Times New Roman" w:cs="Times New Roman"/>
          <w:sz w:val="28"/>
          <w:szCs w:val="28"/>
          <w:lang w:val="es-ES"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jc w:val="both"/>
        <w:rPr>
          <w:rFonts w:ascii="Times" w:eastAsia="Times" w:hAnsi="Times" w:cs="Times New Roman"/>
          <w:sz w:val="28"/>
          <w:szCs w:val="28"/>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lastRenderedPageBreak/>
        <w:t>A) Información de carácter presupuestario</w:t>
      </w:r>
    </w:p>
    <w:p w:rsidR="002419A9" w:rsidRPr="002419A9" w:rsidRDefault="002419A9" w:rsidP="002419A9">
      <w:pPr>
        <w:tabs>
          <w:tab w:val="right" w:pos="-5940"/>
        </w:tabs>
        <w:ind w:right="44"/>
        <w:rPr>
          <w:rFonts w:ascii="Times" w:eastAsia="Times" w:hAnsi="Times" w:cs="Times New Roman"/>
          <w:b/>
          <w:sz w:val="28"/>
          <w:szCs w:val="28"/>
          <w:lang w:eastAsia="es-ES"/>
        </w:rPr>
      </w:pPr>
    </w:p>
    <w:p w:rsidR="002419A9" w:rsidRPr="002419A9" w:rsidRDefault="002419A9" w:rsidP="002419A9">
      <w:pPr>
        <w:numPr>
          <w:ilvl w:val="0"/>
          <w:numId w:val="32"/>
        </w:num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Información relativa al programa de actuación plurianual</w:t>
      </w:r>
    </w:p>
    <w:p w:rsidR="002419A9" w:rsidRPr="002419A9" w:rsidRDefault="002419A9" w:rsidP="002419A9">
      <w:pPr>
        <w:tabs>
          <w:tab w:val="right" w:pos="-5940"/>
        </w:tabs>
        <w:ind w:left="720" w:right="44"/>
        <w:rPr>
          <w:rFonts w:ascii="Times" w:eastAsia="Times" w:hAnsi="Times" w:cs="Times New Roman"/>
          <w:sz w:val="28"/>
          <w:szCs w:val="28"/>
          <w:lang w:eastAsia="es-ES"/>
        </w:rPr>
      </w:pPr>
    </w:p>
    <w:p w:rsidR="002419A9" w:rsidRPr="002419A9" w:rsidRDefault="002419A9" w:rsidP="002419A9">
      <w:pPr>
        <w:tabs>
          <w:tab w:val="right" w:pos="-5940"/>
        </w:tabs>
        <w:ind w:left="720"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Esta empresa no está obligada a realizar los programas de actuación plurianual, de acuerdo con lo previsto en el artículo 29 de la Ley 11/2006, de 11 de diciembre, de la Hacienda Pública Canaria. </w:t>
      </w:r>
    </w:p>
    <w:p w:rsidR="002419A9" w:rsidRPr="002419A9" w:rsidRDefault="002419A9" w:rsidP="002419A9">
      <w:pPr>
        <w:tabs>
          <w:tab w:val="right" w:pos="-5940"/>
        </w:tabs>
        <w:ind w:left="720" w:right="44"/>
        <w:rPr>
          <w:rFonts w:ascii="Times" w:eastAsia="Times" w:hAnsi="Times" w:cs="Times New Roman"/>
          <w:sz w:val="28"/>
          <w:szCs w:val="28"/>
          <w:lang w:eastAsia="es-ES"/>
        </w:rPr>
      </w:pPr>
    </w:p>
    <w:p w:rsidR="002419A9" w:rsidRPr="002419A9" w:rsidRDefault="002419A9" w:rsidP="002419A9">
      <w:pPr>
        <w:numPr>
          <w:ilvl w:val="0"/>
          <w:numId w:val="32"/>
        </w:num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 xml:space="preserve">Información sobre la liquidación de los presupuestos de explotación y capital </w:t>
      </w:r>
    </w:p>
    <w:p w:rsidR="002419A9" w:rsidRPr="002419A9" w:rsidRDefault="002419A9" w:rsidP="002419A9">
      <w:pPr>
        <w:pBdr>
          <w:top w:val="nil"/>
          <w:left w:val="nil"/>
          <w:bottom w:val="nil"/>
          <w:right w:val="nil"/>
          <w:between w:val="nil"/>
          <w:bar w:val="nil"/>
        </w:pBdr>
        <w:rPr>
          <w:rFonts w:ascii="Cambria" w:eastAsia="Cambria" w:hAnsi="Cambria" w:cs="Cambria"/>
          <w:color w:val="000000"/>
          <w:sz w:val="28"/>
          <w:szCs w:val="28"/>
          <w:u w:color="000000"/>
          <w:bdr w:val="nil"/>
          <w:lang w:eastAsia="es-ES_tradnl"/>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PRESUPUESTO DE EXPLOTACIÓN (Anexo I.A)</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El menor importe en Prestaciones de servicios es debido a un ajuste en la anualidad de 2017 de la encomienda para “La fase de inicio y puesta en marcha de un sistema de información turística sobre los diferentes perfiles de turistas que visitan las Islas Canarias”.  Dado que esta encomienda fue recibida el 19 de septiembre de 2017, la anualidad prevista para el año completo de 50.000,00 euros se redujo a 12.500,00 euros.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El menor importe en la partida de Aprovisionamientos se debe fundamentalmente a que la aportación dineraria para el desarrollo de la promoción turística no se pudo ejecutar en su totalidad, quedando un pequeño importe pendiente de ejecución.  </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El mayor importe de Ingresos accesorios es debido a la facturación realizada a terceros con motivo de algunas Ferias.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En cuanto a la cifra de Subvenciones de explotación incorporadas al resultado del ejercicio, el menor importe registrado se debe a que la aportación dineraria para el desarrollo de la promoción turística por 8.407.361,00 euros, se ejecutó prácticamente en su totalidad, quedando un importe de 365.033,24 euros que no se pudo ejecutar, por lo que se restó de la partida de Subvenciones de explotación y se proced</w:t>
      </w:r>
      <w:r w:rsidR="00CE5F40">
        <w:rPr>
          <w:rFonts w:ascii="Times" w:eastAsia="Times" w:hAnsi="Times" w:cs="Times New Roman"/>
          <w:sz w:val="28"/>
          <w:szCs w:val="28"/>
          <w:lang w:eastAsia="es-ES"/>
        </w:rPr>
        <w:t>ió</w:t>
      </w:r>
      <w:r w:rsidRPr="002419A9">
        <w:rPr>
          <w:rFonts w:ascii="Times" w:eastAsia="Times" w:hAnsi="Times" w:cs="Times New Roman"/>
          <w:sz w:val="28"/>
          <w:szCs w:val="28"/>
          <w:lang w:eastAsia="es-ES"/>
        </w:rPr>
        <w:t xml:space="preserve"> a su reintegro e</w:t>
      </w:r>
      <w:r w:rsidR="00CE5F40">
        <w:rPr>
          <w:rFonts w:ascii="Times" w:eastAsia="Times" w:hAnsi="Times" w:cs="Times New Roman"/>
          <w:sz w:val="28"/>
          <w:szCs w:val="28"/>
          <w:lang w:eastAsia="es-ES"/>
        </w:rPr>
        <w:t>l 10 de mayo de</w:t>
      </w:r>
      <w:r w:rsidRPr="002419A9">
        <w:rPr>
          <w:rFonts w:ascii="Times" w:eastAsia="Times" w:hAnsi="Times" w:cs="Times New Roman"/>
          <w:sz w:val="28"/>
          <w:szCs w:val="28"/>
          <w:lang w:eastAsia="es-ES"/>
        </w:rPr>
        <w:t xml:space="preserve"> 2018. Por otro lado, también hay un menor importe registrado en la aportación dineraria para el fomento de la conectividad aérea del previsto en el PAIF, por un recorte de 250.000,00 euros a través de una enmienda parlamentaria del presupuesto.</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lastRenderedPageBreak/>
        <w:t>El Gasto de Sueldos y Salarios y Seguridad Social es inferior al previsto en el PAIF debido a dos trabajadores temporales que se contrataron el 1 de noviembre, para la ejecución de la encomienda recibida el 19 de septiembre para el sistema de información turística sobre perfiles de turistas, y no desde principio de año como estaba previsto. Por otro lado, también se produce una reducción por un trabajador fijo que estuvo 4 meses de excedencia y por algunas bajas temporales por IT durante el año.</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partida de Otros Gastos de Explotación es ligeramente superior a la prevista en el PAIF, por gastos de reformas en la oficina de Tenerife.</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 xml:space="preserve">Las desviaciones del Presupuesto de explotación, comentadas y </w:t>
      </w:r>
      <w:r w:rsidRPr="002419A9">
        <w:rPr>
          <w:rFonts w:ascii="Times" w:eastAsia="Times" w:hAnsi="Times" w:cs="Times New Roman"/>
          <w:sz w:val="28"/>
          <w:szCs w:val="28"/>
          <w:lang w:eastAsia="es-ES"/>
        </w:rPr>
        <w:tab/>
        <w:t xml:space="preserve">reflejadas en el Anexo I.A., cumplen con la normativa </w:t>
      </w:r>
      <w:r w:rsidRPr="002419A9">
        <w:rPr>
          <w:rFonts w:ascii="Times" w:eastAsia="Times" w:hAnsi="Times" w:cs="Times New Roman"/>
          <w:sz w:val="28"/>
          <w:szCs w:val="28"/>
          <w:lang w:eastAsia="es-ES"/>
        </w:rPr>
        <w:tab/>
        <w:t xml:space="preserve">vigente, puesto que suponen un menor gasto real de la </w:t>
      </w:r>
      <w:r w:rsidRPr="002419A9">
        <w:rPr>
          <w:rFonts w:ascii="Times" w:eastAsia="Times" w:hAnsi="Times" w:cs="Times New Roman"/>
          <w:sz w:val="28"/>
          <w:szCs w:val="28"/>
          <w:lang w:eastAsia="es-ES"/>
        </w:rPr>
        <w:tab/>
        <w:t xml:space="preserve">actividad y de personal con respecto al previsto en el </w:t>
      </w:r>
      <w:proofErr w:type="spellStart"/>
      <w:r w:rsidRPr="002419A9">
        <w:rPr>
          <w:rFonts w:ascii="Times" w:eastAsia="Times" w:hAnsi="Times" w:cs="Times New Roman"/>
          <w:sz w:val="28"/>
          <w:szCs w:val="28"/>
          <w:lang w:eastAsia="es-ES"/>
        </w:rPr>
        <w:t>paif</w:t>
      </w:r>
      <w:proofErr w:type="spellEnd"/>
      <w:r w:rsidRPr="002419A9">
        <w:rPr>
          <w:rFonts w:ascii="Times" w:eastAsia="Times" w:hAnsi="Times" w:cs="Times New Roman"/>
          <w:sz w:val="28"/>
          <w:szCs w:val="28"/>
          <w:lang w:eastAsia="es-ES"/>
        </w:rPr>
        <w:t xml:space="preserve"> o en el plan de viabilidad en su caso.</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PRESUPUESTO DE CAPITAL (Anexo I.B)</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t xml:space="preserve">Las desviaciones producidas en el presupuesto de capital se han </w:t>
      </w:r>
      <w:r w:rsidRPr="002419A9">
        <w:rPr>
          <w:rFonts w:ascii="Times" w:eastAsia="Times" w:hAnsi="Times" w:cs="Times New Roman"/>
          <w:sz w:val="28"/>
          <w:szCs w:val="28"/>
          <w:lang w:eastAsia="es-ES"/>
        </w:rPr>
        <w:tab/>
        <w:t xml:space="preserve">materializado básicamente en el capital corriente. Se trata por </w:t>
      </w:r>
      <w:r w:rsidRPr="002419A9">
        <w:rPr>
          <w:rFonts w:ascii="Times" w:eastAsia="Times" w:hAnsi="Times" w:cs="Times New Roman"/>
          <w:sz w:val="28"/>
          <w:szCs w:val="28"/>
          <w:lang w:eastAsia="es-ES"/>
        </w:rPr>
        <w:tab/>
      </w:r>
      <w:r>
        <w:rPr>
          <w:rFonts w:ascii="Times" w:eastAsia="Times" w:hAnsi="Times" w:cs="Times New Roman"/>
          <w:sz w:val="28"/>
          <w:szCs w:val="28"/>
          <w:lang w:eastAsia="es-ES"/>
        </w:rPr>
        <w:t xml:space="preserve">tanto de  importes </w:t>
      </w:r>
      <w:r>
        <w:rPr>
          <w:rFonts w:ascii="Times" w:eastAsia="Times" w:hAnsi="Times" w:cs="Times New Roman"/>
          <w:sz w:val="28"/>
          <w:szCs w:val="28"/>
          <w:lang w:eastAsia="es-ES"/>
        </w:rPr>
        <w:tab/>
        <w:t xml:space="preserve">que </w:t>
      </w:r>
      <w:r w:rsidRPr="002419A9">
        <w:rPr>
          <w:rFonts w:ascii="Times" w:eastAsia="Times" w:hAnsi="Times" w:cs="Times New Roman"/>
          <w:sz w:val="28"/>
          <w:szCs w:val="28"/>
          <w:lang w:eastAsia="es-ES"/>
        </w:rPr>
        <w:t xml:space="preserve">varían mucho de un trimestre a otro y no </w:t>
      </w:r>
      <w:r w:rsidRPr="002419A9">
        <w:rPr>
          <w:rFonts w:ascii="Times" w:eastAsia="Times" w:hAnsi="Times" w:cs="Times New Roman"/>
          <w:sz w:val="28"/>
          <w:szCs w:val="28"/>
          <w:lang w:eastAsia="es-ES"/>
        </w:rPr>
        <w:tab/>
        <w:t>son muy significativos para ver la evolución de la empresa.</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 xml:space="preserve">La desviación en Deudores y otras cuentas a cobrar viene </w:t>
      </w:r>
      <w:r w:rsidRPr="002419A9">
        <w:rPr>
          <w:rFonts w:ascii="Times" w:eastAsia="Times" w:hAnsi="Times" w:cs="Times New Roman"/>
          <w:sz w:val="28"/>
          <w:szCs w:val="28"/>
          <w:lang w:eastAsia="es-ES"/>
        </w:rPr>
        <w:tab/>
        <w:t xml:space="preserve">motivada sobre todo por los importes </w:t>
      </w:r>
      <w:r>
        <w:rPr>
          <w:rFonts w:ascii="Times" w:eastAsia="Times" w:hAnsi="Times" w:cs="Times New Roman"/>
          <w:sz w:val="28"/>
          <w:szCs w:val="28"/>
          <w:lang w:eastAsia="es-ES"/>
        </w:rPr>
        <w:t xml:space="preserve">de las transferencias para </w:t>
      </w:r>
      <w:r>
        <w:rPr>
          <w:rFonts w:ascii="Times" w:eastAsia="Times" w:hAnsi="Times" w:cs="Times New Roman"/>
          <w:sz w:val="28"/>
          <w:szCs w:val="28"/>
          <w:lang w:eastAsia="es-ES"/>
        </w:rPr>
        <w:tab/>
        <w:t xml:space="preserve">el </w:t>
      </w:r>
      <w:r w:rsidRPr="002419A9">
        <w:rPr>
          <w:rFonts w:ascii="Times" w:eastAsia="Times" w:hAnsi="Times" w:cs="Times New Roman"/>
          <w:sz w:val="28"/>
          <w:szCs w:val="28"/>
          <w:lang w:eastAsia="es-ES"/>
        </w:rPr>
        <w:t xml:space="preserve">desarrollo de la actividad promocional  pendientes de cobro </w:t>
      </w:r>
      <w:r w:rsidRPr="002419A9">
        <w:rPr>
          <w:rFonts w:ascii="Times" w:eastAsia="Times" w:hAnsi="Times" w:cs="Times New Roman"/>
          <w:sz w:val="28"/>
          <w:szCs w:val="28"/>
          <w:lang w:eastAsia="es-ES"/>
        </w:rPr>
        <w:tab/>
        <w:t xml:space="preserve">del Tesoro Canario. En 2017 estas cantidades pendientes de </w:t>
      </w:r>
      <w:r w:rsidRPr="002419A9">
        <w:rPr>
          <w:rFonts w:ascii="Times" w:eastAsia="Times" w:hAnsi="Times" w:cs="Times New Roman"/>
          <w:sz w:val="28"/>
          <w:szCs w:val="28"/>
          <w:lang w:eastAsia="es-ES"/>
        </w:rPr>
        <w:tab/>
        <w:t>cobro eran superiores a las del ejercicio 2016.</w:t>
      </w: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 xml:space="preserve">La desviación en Otros activos corrientes es debida al menor </w:t>
      </w:r>
      <w:r w:rsidRPr="002419A9">
        <w:rPr>
          <w:rFonts w:ascii="Times" w:eastAsia="Times" w:hAnsi="Times" w:cs="Times New Roman"/>
          <w:sz w:val="28"/>
          <w:szCs w:val="28"/>
          <w:lang w:eastAsia="es-ES"/>
        </w:rPr>
        <w:tab/>
        <w:t xml:space="preserve">importe reflejado en las Periodificaciones a corto plazo de 2017 </w:t>
      </w:r>
      <w:r w:rsidRPr="002419A9">
        <w:rPr>
          <w:rFonts w:ascii="Times" w:eastAsia="Times" w:hAnsi="Times" w:cs="Times New Roman"/>
          <w:sz w:val="28"/>
          <w:szCs w:val="28"/>
          <w:lang w:eastAsia="es-ES"/>
        </w:rPr>
        <w:tab/>
        <w:t xml:space="preserve">con respecto a 2016. En esta cuenta se reflejan básicamente las </w:t>
      </w:r>
      <w:r w:rsidRPr="002419A9">
        <w:rPr>
          <w:rFonts w:ascii="Times" w:eastAsia="Times" w:hAnsi="Times" w:cs="Times New Roman"/>
          <w:sz w:val="28"/>
          <w:szCs w:val="28"/>
          <w:lang w:eastAsia="es-ES"/>
        </w:rPr>
        <w:tab/>
        <w:t xml:space="preserve">facturas recibidas de espacio de ferias del ejercicio siguiente. </w:t>
      </w: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5"/>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desviación del importe realizado de Acreedores y otras cuentas a pagar se debe</w:t>
      </w:r>
      <w:r w:rsidRPr="002419A9">
        <w:rPr>
          <w:rFonts w:ascii="Times" w:eastAsia="Times" w:hAnsi="Times" w:cs="Times New Roman"/>
          <w:sz w:val="28"/>
          <w:szCs w:val="28"/>
          <w:lang w:eastAsia="es-ES"/>
        </w:rPr>
        <w:tab/>
        <w:t xml:space="preserve">principalmente a que se quedó pendiente de pago, a 31 de diciembre, más </w:t>
      </w:r>
      <w:r w:rsidRPr="002419A9">
        <w:rPr>
          <w:rFonts w:ascii="Times" w:eastAsia="Times" w:hAnsi="Times" w:cs="Times New Roman"/>
          <w:sz w:val="28"/>
          <w:szCs w:val="28"/>
          <w:lang w:eastAsia="es-ES"/>
        </w:rPr>
        <w:lastRenderedPageBreak/>
        <w:t xml:space="preserve">acreedores de los inicialmente previstos, </w:t>
      </w:r>
      <w:r w:rsidRPr="002419A9">
        <w:rPr>
          <w:rFonts w:ascii="Times" w:eastAsia="Times" w:hAnsi="Times" w:cs="Times New Roman"/>
          <w:sz w:val="28"/>
          <w:szCs w:val="28"/>
          <w:lang w:eastAsia="es-ES"/>
        </w:rPr>
        <w:tab/>
        <w:t xml:space="preserve">motivado </w:t>
      </w:r>
      <w:r w:rsidRPr="002419A9">
        <w:rPr>
          <w:rFonts w:ascii="Times" w:eastAsia="Times" w:hAnsi="Times" w:cs="Times New Roman"/>
          <w:sz w:val="28"/>
          <w:szCs w:val="28"/>
          <w:lang w:eastAsia="es-ES"/>
        </w:rPr>
        <w:tab/>
        <w:t xml:space="preserve">principalmente por facturas recibidas en el ejercicio siguiente.  </w:t>
      </w:r>
    </w:p>
    <w:p w:rsidR="002419A9" w:rsidRPr="002419A9" w:rsidRDefault="002419A9" w:rsidP="002419A9">
      <w:pPr>
        <w:tabs>
          <w:tab w:val="right" w:pos="-5940"/>
        </w:tabs>
        <w:ind w:left="708" w:right="44" w:hanging="708"/>
        <w:jc w:val="both"/>
        <w:rPr>
          <w:rFonts w:ascii="Times" w:eastAsia="Times" w:hAnsi="Times" w:cs="Times New Roman"/>
          <w:sz w:val="28"/>
          <w:szCs w:val="28"/>
          <w:lang w:eastAsia="es-ES"/>
        </w:rPr>
      </w:pPr>
    </w:p>
    <w:p w:rsidR="002419A9" w:rsidRPr="002419A9" w:rsidRDefault="002419A9" w:rsidP="002419A9">
      <w:pPr>
        <w:tabs>
          <w:tab w:val="right" w:pos="-5940"/>
        </w:tabs>
        <w:ind w:right="45"/>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La diferencia del importe realizado de Otros pasivos corrientes, se debe a las periodificaciones a corto plazo de pasivo por la facturación anticipada a terceros por la asistencia a ferias del ejercicio siguiente, que fue superior a la prevista. </w:t>
      </w:r>
    </w:p>
    <w:p w:rsidR="002419A9" w:rsidRPr="002419A9" w:rsidRDefault="002419A9" w:rsidP="002419A9">
      <w:pPr>
        <w:tabs>
          <w:tab w:val="right" w:pos="-5940"/>
        </w:tabs>
        <w:ind w:left="708" w:right="44" w:hanging="708"/>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p>
    <w:p w:rsidR="002419A9" w:rsidRPr="002419A9" w:rsidRDefault="002419A9" w:rsidP="002419A9">
      <w:pPr>
        <w:tabs>
          <w:tab w:val="right" w:pos="-5940"/>
        </w:tabs>
        <w:ind w:right="45"/>
        <w:jc w:val="both"/>
        <w:rPr>
          <w:rFonts w:ascii="Times New Roman" w:eastAsia="Times New Roman" w:hAnsi="Times New Roman" w:cs="Times New Roman"/>
          <w:sz w:val="28"/>
          <w:szCs w:val="28"/>
          <w:lang w:eastAsia="es-ES_tradnl"/>
        </w:rPr>
      </w:pPr>
      <w:r w:rsidRPr="002419A9">
        <w:rPr>
          <w:rFonts w:ascii="Times New Roman" w:eastAsia="Times New Roman" w:hAnsi="Times New Roman" w:cs="Times New Roman"/>
          <w:sz w:val="28"/>
          <w:szCs w:val="28"/>
          <w:lang w:eastAsia="es-ES_tradnl"/>
        </w:rPr>
        <w:t xml:space="preserve">El pago por inversiones de inmovilizado intangible es debido </w:t>
      </w:r>
      <w:r w:rsidRPr="002419A9">
        <w:rPr>
          <w:rFonts w:ascii="Times" w:eastAsia="Times" w:hAnsi="Times" w:cs="Times New Roman"/>
          <w:sz w:val="28"/>
          <w:szCs w:val="28"/>
          <w:lang w:eastAsia="es-ES"/>
        </w:rPr>
        <w:t xml:space="preserve">básicamente a la aplicación informática que implanta el procedimiento de gestión de proyectos de </w:t>
      </w:r>
      <w:proofErr w:type="spellStart"/>
      <w:r w:rsidRPr="002419A9">
        <w:rPr>
          <w:rFonts w:ascii="Times" w:eastAsia="Times" w:hAnsi="Times" w:cs="Times New Roman"/>
          <w:sz w:val="28"/>
          <w:szCs w:val="28"/>
          <w:lang w:eastAsia="es-ES"/>
        </w:rPr>
        <w:t>Promotur</w:t>
      </w:r>
      <w:proofErr w:type="spellEnd"/>
      <w:r w:rsidRPr="002419A9">
        <w:rPr>
          <w:rFonts w:ascii="Times" w:eastAsia="Times" w:hAnsi="Times" w:cs="Times New Roman"/>
          <w:sz w:val="28"/>
          <w:szCs w:val="28"/>
          <w:lang w:eastAsia="es-ES"/>
        </w:rPr>
        <w:t>, incluido en la Intranet de la empresa, entrando en funcionamiento en 2017 la segunda fase de esta aplicación.</w:t>
      </w:r>
    </w:p>
    <w:p w:rsidR="002419A9" w:rsidRPr="002419A9" w:rsidRDefault="002419A9" w:rsidP="002419A9">
      <w:pPr>
        <w:tabs>
          <w:tab w:val="right" w:pos="-5940"/>
        </w:tabs>
        <w:ind w:right="45"/>
        <w:jc w:val="both"/>
        <w:rPr>
          <w:rFonts w:ascii="Times New Roman" w:eastAsia="Times New Roman" w:hAnsi="Times New Roman" w:cs="Times New Roman"/>
          <w:sz w:val="28"/>
          <w:szCs w:val="28"/>
          <w:lang w:eastAsia="es-ES_tradnl"/>
        </w:rPr>
      </w:pPr>
    </w:p>
    <w:p w:rsidR="002419A9" w:rsidRPr="002419A9" w:rsidRDefault="002419A9" w:rsidP="002419A9">
      <w:pPr>
        <w:tabs>
          <w:tab w:val="right" w:pos="-5940"/>
        </w:tabs>
        <w:ind w:right="45"/>
        <w:jc w:val="both"/>
        <w:rPr>
          <w:rFonts w:ascii="Times New Roman" w:eastAsia="Times New Roman" w:hAnsi="Times New Roman" w:cs="Times New Roman"/>
          <w:sz w:val="28"/>
          <w:szCs w:val="28"/>
          <w:lang w:eastAsia="es-ES_tradnl"/>
        </w:rPr>
      </w:pPr>
      <w:r w:rsidRPr="002419A9">
        <w:rPr>
          <w:rFonts w:ascii="Times New Roman" w:eastAsia="Times New Roman" w:hAnsi="Times New Roman" w:cs="Times New Roman"/>
          <w:sz w:val="28"/>
          <w:szCs w:val="28"/>
          <w:lang w:eastAsia="es-ES_tradnl"/>
        </w:rPr>
        <w:t xml:space="preserve">El pago por inversiones de inmovilizado material es debido  básicamente a </w:t>
      </w:r>
      <w:r w:rsidRPr="002419A9">
        <w:rPr>
          <w:rFonts w:ascii="Times" w:eastAsia="Times" w:hAnsi="Times" w:cs="Times New Roman"/>
          <w:sz w:val="28"/>
          <w:szCs w:val="28"/>
          <w:lang w:eastAsia="es-ES"/>
        </w:rPr>
        <w:t xml:space="preserve">la compra de una nueva UPS y dos ordenadores y a un aumento del inmovilizado material en curso principalmente por el cambio de toda la instalación de aire acondicionado de la oficina de Tenerife. </w:t>
      </w:r>
    </w:p>
    <w:p w:rsidR="002419A9" w:rsidRPr="002419A9" w:rsidRDefault="002419A9" w:rsidP="002419A9">
      <w:pPr>
        <w:tabs>
          <w:tab w:val="right" w:pos="-5940"/>
        </w:tabs>
        <w:ind w:right="45"/>
        <w:jc w:val="both"/>
        <w:rPr>
          <w:rFonts w:ascii="Times New Roman" w:eastAsia="Times New Roman" w:hAnsi="Times New Roman" w:cs="Times New Roman"/>
          <w:sz w:val="28"/>
          <w:szCs w:val="28"/>
          <w:lang w:eastAsia="es-ES_tradnl"/>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disminución de Otros Activos Financieros es debido a que la cantidad consignada en el Juzgado de lo Social por un litigio con una empleada fue aplicada a su finalidad.</w:t>
      </w:r>
    </w:p>
    <w:p w:rsidR="002419A9" w:rsidRPr="002419A9" w:rsidRDefault="002419A9" w:rsidP="002419A9">
      <w:pPr>
        <w:tabs>
          <w:tab w:val="right" w:pos="-5940"/>
        </w:tabs>
        <w:ind w:right="44"/>
        <w:jc w:val="both"/>
        <w:rPr>
          <w:rFonts w:ascii="Times New Roman" w:eastAsia="Times New Roman" w:hAnsi="Times New Roman" w:cs="Times New Roman"/>
          <w:sz w:val="28"/>
          <w:szCs w:val="28"/>
          <w:lang w:eastAsia="es-ES_tradnl"/>
        </w:rPr>
      </w:pPr>
    </w:p>
    <w:p w:rsidR="002419A9" w:rsidRPr="002419A9" w:rsidRDefault="002419A9" w:rsidP="002419A9">
      <w:pPr>
        <w:tabs>
          <w:tab w:val="right" w:pos="-5940"/>
        </w:tabs>
        <w:ind w:right="44"/>
        <w:jc w:val="both"/>
        <w:rPr>
          <w:rFonts w:ascii="Times New Roman" w:eastAsia="Times New Roman" w:hAnsi="Times New Roman" w:cs="Times New Roman"/>
          <w:sz w:val="28"/>
          <w:szCs w:val="28"/>
          <w:lang w:eastAsia="es-ES_tradnl"/>
        </w:rPr>
      </w:pPr>
      <w:r w:rsidRPr="002419A9">
        <w:rPr>
          <w:rFonts w:ascii="Times New Roman" w:eastAsia="Times New Roman" w:hAnsi="Times New Roman" w:cs="Times New Roman"/>
          <w:sz w:val="28"/>
          <w:szCs w:val="28"/>
          <w:lang w:eastAsia="es-ES_tradnl"/>
        </w:rPr>
        <w:t>Por último, la desviación en Cobros y Pagos por instrumentos de Pasivo financiero es debida al saldo de la visa de diciembre, ligeramente superior al del ejercicio anterior, que se cancela al mes siguiente y a los proveedores de inmovilizado pendientes de pago al final del ejercicio.</w:t>
      </w:r>
    </w:p>
    <w:p w:rsidR="002419A9" w:rsidRPr="002419A9" w:rsidRDefault="002419A9" w:rsidP="002419A9">
      <w:pPr>
        <w:tabs>
          <w:tab w:val="right" w:pos="-5940"/>
        </w:tabs>
        <w:ind w:left="708" w:right="44" w:hanging="708"/>
        <w:jc w:val="both"/>
        <w:rPr>
          <w:rFonts w:ascii="Times" w:eastAsia="Times" w:hAnsi="Times" w:cs="Times New Roman"/>
          <w:sz w:val="28"/>
          <w:szCs w:val="28"/>
          <w:lang w:eastAsia="es-ES"/>
        </w:rPr>
      </w:pPr>
    </w:p>
    <w:p w:rsidR="002419A9" w:rsidRPr="002419A9" w:rsidRDefault="002419A9" w:rsidP="002419A9">
      <w:pPr>
        <w:tabs>
          <w:tab w:val="right" w:pos="-5940"/>
        </w:tabs>
        <w:ind w:left="708" w:right="44" w:hanging="708"/>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 xml:space="preserve">Las desviaciones del Presupuesto de capital, comentadas y </w:t>
      </w:r>
      <w:r w:rsidRPr="002419A9">
        <w:rPr>
          <w:rFonts w:ascii="Times" w:eastAsia="Times" w:hAnsi="Times" w:cs="Times New Roman"/>
          <w:sz w:val="28"/>
          <w:szCs w:val="28"/>
          <w:lang w:eastAsia="es-ES"/>
        </w:rPr>
        <w:tab/>
        <w:t xml:space="preserve">reflejadas en el Anexo I.B, cumplen con la normativa </w:t>
      </w:r>
      <w:r w:rsidRPr="002419A9">
        <w:rPr>
          <w:rFonts w:ascii="Times" w:eastAsia="Times" w:hAnsi="Times" w:cs="Times New Roman"/>
          <w:sz w:val="28"/>
          <w:szCs w:val="28"/>
          <w:lang w:eastAsia="es-ES"/>
        </w:rPr>
        <w:tab/>
        <w:t xml:space="preserve">vigente, puesto que se trata básicamente de modificaciones </w:t>
      </w:r>
      <w:r w:rsidRPr="002419A9">
        <w:rPr>
          <w:rFonts w:ascii="Times" w:eastAsia="Times" w:hAnsi="Times" w:cs="Times New Roman"/>
          <w:sz w:val="28"/>
          <w:szCs w:val="28"/>
          <w:lang w:eastAsia="es-ES"/>
        </w:rPr>
        <w:tab/>
        <w:t xml:space="preserve">de capital circulante, que en ningún caso suponen mayor gasto </w:t>
      </w:r>
      <w:r w:rsidRPr="002419A9">
        <w:rPr>
          <w:rFonts w:ascii="Times" w:eastAsia="Times" w:hAnsi="Times" w:cs="Times New Roman"/>
          <w:sz w:val="28"/>
          <w:szCs w:val="28"/>
          <w:lang w:eastAsia="es-ES"/>
        </w:rPr>
        <w:tab/>
        <w:t xml:space="preserve">o inversión </w:t>
      </w:r>
      <w:r w:rsidRPr="002419A9">
        <w:rPr>
          <w:rFonts w:ascii="Times" w:eastAsia="Times" w:hAnsi="Times" w:cs="Times New Roman"/>
          <w:sz w:val="28"/>
          <w:szCs w:val="28"/>
          <w:lang w:eastAsia="es-ES"/>
        </w:rPr>
        <w:tab/>
        <w:t xml:space="preserve">realizada por la empresa. </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left="720" w:right="44"/>
        <w:rPr>
          <w:rFonts w:ascii="Times" w:eastAsia="Times" w:hAnsi="Times" w:cs="Times New Roman"/>
          <w:b/>
          <w:sz w:val="28"/>
          <w:szCs w:val="28"/>
          <w:lang w:eastAsia="es-ES"/>
        </w:rPr>
      </w:pPr>
    </w:p>
    <w:p w:rsidR="002419A9" w:rsidRPr="002419A9" w:rsidRDefault="002419A9" w:rsidP="002419A9">
      <w:pPr>
        <w:numPr>
          <w:ilvl w:val="0"/>
          <w:numId w:val="32"/>
        </w:num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Información por islas de las inversiones (Anexo II)</w:t>
      </w:r>
    </w:p>
    <w:p w:rsidR="002419A9" w:rsidRPr="002419A9" w:rsidRDefault="002419A9" w:rsidP="002419A9">
      <w:pPr>
        <w:tabs>
          <w:tab w:val="right" w:pos="-5940"/>
        </w:tabs>
        <w:ind w:left="720" w:right="44"/>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 xml:space="preserve">La empresa no tiene inversiones importantes, sólo dispone del </w:t>
      </w:r>
      <w:r w:rsidRPr="002419A9">
        <w:rPr>
          <w:rFonts w:ascii="Times" w:eastAsia="Times" w:hAnsi="Times" w:cs="Times New Roman"/>
          <w:sz w:val="28"/>
          <w:szCs w:val="28"/>
          <w:lang w:eastAsia="es-ES"/>
        </w:rPr>
        <w:tab/>
        <w:t xml:space="preserve">inmovilizado material (mobiliario, equipos informáticos, etc.) e </w:t>
      </w:r>
      <w:r w:rsidRPr="002419A9">
        <w:rPr>
          <w:rFonts w:ascii="Times" w:eastAsia="Times" w:hAnsi="Times" w:cs="Times New Roman"/>
          <w:sz w:val="28"/>
          <w:szCs w:val="28"/>
          <w:lang w:eastAsia="es-ES"/>
        </w:rPr>
        <w:tab/>
        <w:t xml:space="preserve">intangible (aplicaciones informáticas, etc.) necesario para el </w:t>
      </w:r>
      <w:r w:rsidRPr="002419A9">
        <w:rPr>
          <w:rFonts w:ascii="Times" w:eastAsia="Times" w:hAnsi="Times" w:cs="Times New Roman"/>
          <w:sz w:val="28"/>
          <w:szCs w:val="28"/>
          <w:lang w:eastAsia="es-ES"/>
        </w:rPr>
        <w:tab/>
        <w:t xml:space="preserve">desarrollo de la actividad, para las oficinas </w:t>
      </w:r>
      <w:r w:rsidRPr="002419A9">
        <w:rPr>
          <w:rFonts w:ascii="Times" w:eastAsia="Times" w:hAnsi="Times" w:cs="Times New Roman"/>
          <w:sz w:val="28"/>
          <w:szCs w:val="28"/>
          <w:lang w:eastAsia="es-ES"/>
        </w:rPr>
        <w:lastRenderedPageBreak/>
        <w:t xml:space="preserve">de Gran Canaria y </w:t>
      </w:r>
      <w:r w:rsidRPr="002419A9">
        <w:rPr>
          <w:rFonts w:ascii="Times" w:eastAsia="Times" w:hAnsi="Times" w:cs="Times New Roman"/>
          <w:sz w:val="28"/>
          <w:szCs w:val="28"/>
          <w:lang w:eastAsia="es-ES"/>
        </w:rPr>
        <w:tab/>
        <w:t xml:space="preserve">Tenerife. El Anexo II no se ha cumplimentado, ya que </w:t>
      </w:r>
      <w:r w:rsidRPr="002419A9">
        <w:rPr>
          <w:rFonts w:ascii="Times" w:eastAsia="Times" w:hAnsi="Times" w:cs="Times New Roman"/>
          <w:sz w:val="28"/>
          <w:szCs w:val="28"/>
          <w:lang w:eastAsia="es-ES"/>
        </w:rPr>
        <w:tab/>
        <w:t xml:space="preserve">entendemos que está pensado para empresas con inversiones </w:t>
      </w:r>
      <w:r w:rsidRPr="002419A9">
        <w:rPr>
          <w:rFonts w:ascii="Times" w:eastAsia="Times" w:hAnsi="Times" w:cs="Times New Roman"/>
          <w:sz w:val="28"/>
          <w:szCs w:val="28"/>
          <w:lang w:eastAsia="es-ES"/>
        </w:rPr>
        <w:tab/>
        <w:t xml:space="preserve">importantes, y en las Cuentas Anuales que acompañan a este </w:t>
      </w:r>
      <w:r w:rsidRPr="002419A9">
        <w:rPr>
          <w:rFonts w:ascii="Times" w:eastAsia="Times" w:hAnsi="Times" w:cs="Times New Roman"/>
          <w:sz w:val="28"/>
          <w:szCs w:val="28"/>
          <w:lang w:eastAsia="es-ES"/>
        </w:rPr>
        <w:tab/>
        <w:t xml:space="preserve">informe se refleja bastante información al respecto. Cabe </w:t>
      </w:r>
      <w:r w:rsidRPr="002419A9">
        <w:rPr>
          <w:rFonts w:ascii="Times" w:eastAsia="Times" w:hAnsi="Times" w:cs="Times New Roman"/>
          <w:sz w:val="28"/>
          <w:szCs w:val="28"/>
          <w:lang w:eastAsia="es-ES"/>
        </w:rPr>
        <w:tab/>
        <w:t xml:space="preserve">destacar que la empresa cumple con lo presupuestado, tal </w:t>
      </w:r>
      <w:r w:rsidRPr="002419A9">
        <w:rPr>
          <w:rFonts w:ascii="Times" w:eastAsia="Times" w:hAnsi="Times" w:cs="Times New Roman"/>
          <w:sz w:val="28"/>
          <w:szCs w:val="28"/>
          <w:lang w:eastAsia="es-ES"/>
        </w:rPr>
        <w:tab/>
        <w:t xml:space="preserve">como se refleja en el epígrafe de Pagos por inversiones de </w:t>
      </w:r>
      <w:r w:rsidRPr="002419A9">
        <w:rPr>
          <w:rFonts w:ascii="Times" w:eastAsia="Times" w:hAnsi="Times" w:cs="Times New Roman"/>
          <w:sz w:val="28"/>
          <w:szCs w:val="28"/>
          <w:lang w:eastAsia="es-ES"/>
        </w:rPr>
        <w:tab/>
        <w:t xml:space="preserve">inmovilizado que </w:t>
      </w:r>
      <w:r w:rsidRPr="002419A9">
        <w:rPr>
          <w:rFonts w:ascii="Times" w:eastAsia="Times" w:hAnsi="Times" w:cs="Times New Roman"/>
          <w:sz w:val="28"/>
          <w:szCs w:val="28"/>
          <w:lang w:eastAsia="es-ES"/>
        </w:rPr>
        <w:tab/>
        <w:t xml:space="preserve">figura en el </w:t>
      </w:r>
      <w:r w:rsidRPr="002419A9">
        <w:rPr>
          <w:rFonts w:ascii="Times" w:eastAsia="Times" w:hAnsi="Times" w:cs="Times New Roman"/>
          <w:sz w:val="28"/>
          <w:szCs w:val="28"/>
          <w:lang w:eastAsia="es-ES"/>
        </w:rPr>
        <w:tab/>
        <w:t>Estado de Flujo de Efectivos.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B) Información relativa a la ejecución de los contratos-programa, convenios, encomiendas, aportaciones dinerarias y subvenciones y su grado de cumplimiento (Anexo III)</w:t>
      </w:r>
    </w:p>
    <w:p w:rsidR="002419A9" w:rsidRPr="002419A9" w:rsidRDefault="002419A9" w:rsidP="002419A9">
      <w:pPr>
        <w:tabs>
          <w:tab w:val="right" w:pos="-5940"/>
        </w:tabs>
        <w:ind w:right="44"/>
        <w:rPr>
          <w:rFonts w:ascii="Times" w:eastAsia="Times" w:hAnsi="Times" w:cs="Times New Roman"/>
          <w:b/>
          <w:sz w:val="28"/>
          <w:szCs w:val="28"/>
          <w:lang w:eastAsia="es-ES"/>
        </w:rPr>
      </w:pPr>
    </w:p>
    <w:p w:rsidR="002419A9" w:rsidRPr="002419A9" w:rsidRDefault="002419A9" w:rsidP="002419A9">
      <w:pPr>
        <w:tabs>
          <w:tab w:val="right" w:pos="-5940"/>
        </w:tabs>
        <w:ind w:right="44"/>
        <w:rPr>
          <w:rFonts w:ascii="Times" w:eastAsia="Times" w:hAnsi="Times" w:cs="Times New Roman"/>
          <w:sz w:val="28"/>
          <w:szCs w:val="28"/>
          <w:lang w:eastAsia="es-ES"/>
        </w:rPr>
      </w:pPr>
      <w:r w:rsidRPr="002419A9">
        <w:rPr>
          <w:rFonts w:ascii="Times" w:eastAsia="Times" w:hAnsi="Times" w:cs="Times New Roman"/>
          <w:sz w:val="28"/>
          <w:szCs w:val="28"/>
          <w:lang w:eastAsia="es-ES"/>
        </w:rPr>
        <w:t>Esta información viene reflejada en los Anexos III.A y III.B.</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C) Información relativa al cumplimiento de la normativa en materia de contratación que han de cumplir las entidades del sector público</w:t>
      </w:r>
      <w:r w:rsidRPr="002419A9">
        <w:rPr>
          <w:rFonts w:ascii="Times" w:eastAsia="Times" w:hAnsi="Times" w:cs="Times New Roman"/>
          <w:b/>
          <w:sz w:val="28"/>
          <w:szCs w:val="28"/>
          <w:lang w:eastAsia="es-ES"/>
        </w:rPr>
        <w:tab/>
      </w:r>
    </w:p>
    <w:p w:rsidR="002419A9" w:rsidRDefault="002419A9" w:rsidP="002419A9">
      <w:pPr>
        <w:rPr>
          <w:rFonts w:ascii="Times" w:eastAsia="Times" w:hAnsi="Times" w:cs="Times New Roman"/>
          <w:sz w:val="28"/>
          <w:szCs w:val="28"/>
          <w:lang w:eastAsia="es-ES"/>
        </w:rPr>
      </w:pPr>
    </w:p>
    <w:p w:rsidR="009C5400" w:rsidRDefault="009C5400" w:rsidP="009C5400">
      <w:pPr>
        <w:ind w:left="1" w:hanging="1"/>
        <w:jc w:val="both"/>
        <w:rPr>
          <w:rFonts w:ascii="Times" w:eastAsia="Times" w:hAnsi="Times" w:cs="Times New Roman"/>
          <w:sz w:val="28"/>
          <w:szCs w:val="28"/>
          <w:lang w:eastAsia="es-ES"/>
        </w:rPr>
      </w:pPr>
      <w:r>
        <w:rPr>
          <w:rFonts w:ascii="Times" w:eastAsia="Times" w:hAnsi="Times" w:cs="Times New Roman"/>
          <w:sz w:val="28"/>
          <w:szCs w:val="28"/>
          <w:lang w:eastAsia="es-ES"/>
        </w:rPr>
        <w:t>Conforme al artículo 5 de la Orden de 24 de febrero de 2011, l</w:t>
      </w:r>
      <w:r w:rsidRPr="009F0F2D">
        <w:rPr>
          <w:rFonts w:ascii="Times" w:eastAsia="Times" w:hAnsi="Times" w:cs="Times New Roman"/>
          <w:sz w:val="28"/>
          <w:szCs w:val="28"/>
          <w:lang w:eastAsia="es-ES"/>
        </w:rPr>
        <w:t xml:space="preserve">a presente información se detalla teniendo en cuenta la consideración de </w:t>
      </w:r>
      <w:r w:rsidRPr="009F0F2D">
        <w:rPr>
          <w:rFonts w:ascii="Times" w:eastAsia="Times" w:hAnsi="Times" w:cs="Times New Roman"/>
          <w:b/>
          <w:sz w:val="28"/>
          <w:szCs w:val="28"/>
          <w:lang w:eastAsia="es-ES"/>
        </w:rPr>
        <w:t>PROMOTUR TURISMO CANARIAS, S.A.</w:t>
      </w:r>
      <w:r w:rsidRPr="009F0F2D">
        <w:rPr>
          <w:rFonts w:ascii="Times" w:eastAsia="Times" w:hAnsi="Times" w:cs="Times New Roman"/>
          <w:sz w:val="28"/>
          <w:szCs w:val="28"/>
          <w:lang w:eastAsia="es-ES"/>
        </w:rPr>
        <w:t xml:space="preserve"> como </w:t>
      </w:r>
      <w:r w:rsidRPr="009F0F2D">
        <w:rPr>
          <w:rFonts w:ascii="Times" w:eastAsia="Times" w:hAnsi="Times" w:cs="Times New Roman"/>
          <w:b/>
          <w:sz w:val="28"/>
          <w:szCs w:val="28"/>
          <w:u w:val="single"/>
          <w:lang w:eastAsia="es-ES"/>
        </w:rPr>
        <w:t>poder adjudicador</w:t>
      </w:r>
      <w:r>
        <w:rPr>
          <w:rFonts w:ascii="Times" w:eastAsia="Times" w:hAnsi="Times" w:cs="Times New Roman"/>
          <w:sz w:val="28"/>
          <w:szCs w:val="28"/>
          <w:lang w:eastAsia="es-ES"/>
        </w:rPr>
        <w:t xml:space="preserve"> conforme al TRLCSP.</w:t>
      </w:r>
    </w:p>
    <w:p w:rsidR="009C5400" w:rsidRPr="009F0F2D" w:rsidRDefault="009C5400" w:rsidP="009C5400">
      <w:pPr>
        <w:jc w:val="both"/>
        <w:rPr>
          <w:rFonts w:ascii="Times" w:eastAsia="Times" w:hAnsi="Times" w:cs="Times New Roman"/>
          <w:sz w:val="28"/>
          <w:szCs w:val="28"/>
          <w:lang w:eastAsia="es-ES"/>
        </w:rPr>
      </w:pPr>
    </w:p>
    <w:p w:rsidR="009C5400" w:rsidRPr="009F0F2D" w:rsidRDefault="009C5400" w:rsidP="009C5400">
      <w:pPr>
        <w:jc w:val="both"/>
        <w:rPr>
          <w:rFonts w:ascii="Times" w:eastAsia="Times New Roman" w:hAnsi="Times" w:cs="Times New Roman"/>
          <w:sz w:val="28"/>
          <w:szCs w:val="28"/>
          <w:lang w:eastAsia="es-ES_tradnl"/>
        </w:rPr>
      </w:pPr>
      <w:r w:rsidRPr="009F0F2D">
        <w:rPr>
          <w:rFonts w:ascii="Times" w:eastAsia="Times New Roman" w:hAnsi="Times" w:cs="Times New Roman"/>
          <w:sz w:val="28"/>
          <w:szCs w:val="28"/>
          <w:lang w:eastAsia="es-ES_tradnl"/>
        </w:rPr>
        <w:t xml:space="preserve">Además, en la siguiente relación se tendrá en cuenta lo dispuesto en las </w:t>
      </w:r>
      <w:r w:rsidRPr="009F0F2D">
        <w:rPr>
          <w:rFonts w:ascii="Times" w:eastAsia="Times New Roman" w:hAnsi="Times" w:cs="Times New Roman"/>
          <w:b/>
          <w:i/>
          <w:sz w:val="28"/>
          <w:szCs w:val="28"/>
          <w:lang w:eastAsia="es-ES_tradnl"/>
        </w:rPr>
        <w:t>Instrucciones Internas de Contratación</w:t>
      </w:r>
      <w:r w:rsidRPr="009F0F2D">
        <w:rPr>
          <w:rFonts w:ascii="Times" w:eastAsia="Times New Roman" w:hAnsi="Times" w:cs="Times New Roman"/>
          <w:sz w:val="28"/>
          <w:szCs w:val="28"/>
          <w:lang w:eastAsia="es-ES_tradnl"/>
        </w:rPr>
        <w:t xml:space="preserve"> de </w:t>
      </w:r>
      <w:r w:rsidRPr="009F0F2D">
        <w:rPr>
          <w:rFonts w:ascii="Times" w:eastAsia="Times New Roman" w:hAnsi="Times" w:cs="Times New Roman"/>
          <w:b/>
          <w:sz w:val="28"/>
          <w:szCs w:val="28"/>
          <w:lang w:eastAsia="es-ES_tradnl"/>
        </w:rPr>
        <w:t>PROMOTUR TURISMO CANARIAS, S.A.</w:t>
      </w:r>
      <w:r w:rsidRPr="009F0F2D">
        <w:rPr>
          <w:rFonts w:ascii="Times" w:eastAsia="Times New Roman" w:hAnsi="Times" w:cs="Times New Roman"/>
          <w:sz w:val="28"/>
          <w:szCs w:val="28"/>
          <w:lang w:eastAsia="es-ES_tradnl"/>
        </w:rPr>
        <w:t xml:space="preserve"> aprobadas el </w:t>
      </w:r>
      <w:r w:rsidRPr="009F0F2D">
        <w:rPr>
          <w:rFonts w:ascii="Times" w:eastAsia="Times New Roman" w:hAnsi="Times" w:cs="Times New Roman"/>
          <w:b/>
          <w:sz w:val="28"/>
          <w:szCs w:val="28"/>
          <w:lang w:eastAsia="es-ES_tradnl"/>
        </w:rPr>
        <w:t>30 de julio de 2009</w:t>
      </w:r>
      <w:r w:rsidRPr="009F0F2D">
        <w:rPr>
          <w:rFonts w:ascii="Times" w:eastAsia="Times New Roman" w:hAnsi="Times" w:cs="Times New Roman"/>
          <w:sz w:val="28"/>
          <w:szCs w:val="28"/>
          <w:lang w:eastAsia="es-ES_tradnl"/>
        </w:rPr>
        <w:t xml:space="preserve"> e informadas, posteriormente, de manera favorable por el </w:t>
      </w:r>
      <w:r w:rsidRPr="009F0F2D">
        <w:rPr>
          <w:rFonts w:ascii="Times" w:eastAsia="Times New Roman" w:hAnsi="Times" w:cs="Times New Roman"/>
          <w:i/>
          <w:sz w:val="28"/>
          <w:szCs w:val="28"/>
          <w:lang w:eastAsia="es-ES_tradnl"/>
        </w:rPr>
        <w:t>Informe agregado de Auditoría Operativa de Instrucciones Internas de Contratación de las Sociedades Mercantiles Públicas</w:t>
      </w:r>
      <w:r w:rsidRPr="009F0F2D">
        <w:rPr>
          <w:rFonts w:ascii="Times" w:eastAsia="Times New Roman" w:hAnsi="Times" w:cs="Times New Roman"/>
          <w:sz w:val="28"/>
          <w:szCs w:val="28"/>
          <w:lang w:eastAsia="es-ES_tradnl"/>
        </w:rPr>
        <w:t xml:space="preserve"> evacuado por la Intervención General, Consejería de Economía y Hacienda del Gobierno de Canarias, de fecha </w:t>
      </w:r>
      <w:r w:rsidRPr="009F0F2D">
        <w:rPr>
          <w:rFonts w:ascii="Times" w:eastAsia="Times New Roman" w:hAnsi="Times" w:cs="Times New Roman"/>
          <w:b/>
          <w:sz w:val="28"/>
          <w:szCs w:val="28"/>
          <w:lang w:eastAsia="es-ES_tradnl"/>
        </w:rPr>
        <w:t>8 de octubre de 2010</w:t>
      </w:r>
      <w:r w:rsidRPr="009F0F2D">
        <w:rPr>
          <w:rFonts w:ascii="Times" w:eastAsia="Times New Roman" w:hAnsi="Times" w:cs="Times New Roman"/>
          <w:sz w:val="28"/>
          <w:szCs w:val="28"/>
          <w:lang w:eastAsia="es-ES_tradnl"/>
        </w:rPr>
        <w:t xml:space="preserve">, y modificadas, en consecuencia, por Acuerdo del Consejo de Administración de </w:t>
      </w:r>
      <w:r w:rsidRPr="009F0F2D">
        <w:rPr>
          <w:rFonts w:ascii="Times" w:eastAsia="Times New Roman" w:hAnsi="Times" w:cs="Times New Roman"/>
          <w:b/>
          <w:sz w:val="28"/>
          <w:szCs w:val="28"/>
          <w:lang w:eastAsia="es-ES_tradnl"/>
        </w:rPr>
        <w:t xml:space="preserve">PROMOTUR TURISMO CANARIAS, S.A. </w:t>
      </w:r>
      <w:r w:rsidRPr="009F0F2D">
        <w:rPr>
          <w:rFonts w:ascii="Times" w:eastAsia="Times New Roman" w:hAnsi="Times" w:cs="Times New Roman"/>
          <w:sz w:val="28"/>
          <w:szCs w:val="28"/>
          <w:lang w:eastAsia="es-ES_tradnl"/>
        </w:rPr>
        <w:t xml:space="preserve">de fecha </w:t>
      </w:r>
      <w:r w:rsidRPr="009F0F2D">
        <w:rPr>
          <w:rFonts w:ascii="Times" w:eastAsia="Times New Roman" w:hAnsi="Times" w:cs="Times New Roman"/>
          <w:b/>
          <w:sz w:val="28"/>
          <w:szCs w:val="28"/>
          <w:lang w:eastAsia="es-ES_tradnl"/>
        </w:rPr>
        <w:t xml:space="preserve">29 de marzo de 2011 </w:t>
      </w:r>
      <w:r w:rsidRPr="009F0F2D">
        <w:rPr>
          <w:rFonts w:ascii="Times" w:eastAsia="Times New Roman" w:hAnsi="Times" w:cs="Times New Roman"/>
          <w:sz w:val="28"/>
          <w:szCs w:val="28"/>
          <w:lang w:eastAsia="es-ES_tradnl"/>
        </w:rPr>
        <w:t>y publicadas en el Perfil del Contratante del Gobierno de Canarias.</w:t>
      </w:r>
    </w:p>
    <w:p w:rsidR="009C5400" w:rsidRPr="009F0F2D" w:rsidRDefault="009C5400" w:rsidP="009C5400">
      <w:pPr>
        <w:jc w:val="both"/>
        <w:rPr>
          <w:rFonts w:ascii="Times" w:eastAsia="Times New Roman" w:hAnsi="Times" w:cs="Times New Roman"/>
          <w:sz w:val="28"/>
          <w:szCs w:val="28"/>
          <w:lang w:eastAsia="es-ES_tradnl"/>
        </w:rPr>
      </w:pPr>
    </w:p>
    <w:p w:rsidR="009C5400" w:rsidRPr="009F0F2D" w:rsidRDefault="009C5400" w:rsidP="009C5400">
      <w:pPr>
        <w:jc w:val="both"/>
        <w:rPr>
          <w:rFonts w:ascii="Times" w:eastAsia="Times New Roman" w:hAnsi="Times" w:cs="Times New Roman"/>
          <w:sz w:val="28"/>
          <w:szCs w:val="28"/>
          <w:lang w:val="es-ES" w:eastAsia="es-ES_tradnl"/>
        </w:rPr>
      </w:pPr>
      <w:r w:rsidRPr="009F0F2D">
        <w:rPr>
          <w:rFonts w:ascii="Times" w:eastAsia="Times New Roman" w:hAnsi="Times" w:cs="Times New Roman"/>
          <w:sz w:val="28"/>
          <w:szCs w:val="28"/>
          <w:lang w:eastAsia="es-ES_tradnl"/>
        </w:rPr>
        <w:t>A continuación, se relacionan los distintos contratos</w:t>
      </w:r>
      <w:r>
        <w:rPr>
          <w:rFonts w:ascii="Times" w:eastAsia="Times New Roman" w:hAnsi="Times" w:cs="Times New Roman"/>
          <w:sz w:val="28"/>
          <w:szCs w:val="28"/>
          <w:lang w:eastAsia="es-ES_tradnl"/>
        </w:rPr>
        <w:t xml:space="preserve"> licitados,</w:t>
      </w:r>
      <w:r w:rsidRPr="009F0F2D">
        <w:rPr>
          <w:rFonts w:ascii="Times" w:eastAsia="Times New Roman" w:hAnsi="Times" w:cs="Times New Roman"/>
          <w:sz w:val="28"/>
          <w:szCs w:val="28"/>
          <w:lang w:eastAsia="es-ES_tradnl"/>
        </w:rPr>
        <w:t xml:space="preserve"> adjudicados y/o formalizados por </w:t>
      </w:r>
      <w:r w:rsidRPr="009F0F2D">
        <w:rPr>
          <w:rFonts w:ascii="Times" w:eastAsia="Times New Roman" w:hAnsi="Times" w:cs="Times New Roman"/>
          <w:b/>
          <w:sz w:val="28"/>
          <w:szCs w:val="28"/>
          <w:lang w:eastAsia="es-ES_tradnl"/>
        </w:rPr>
        <w:t>PROMOTUR TURISMO CANARIAS, S.A.</w:t>
      </w:r>
      <w:r w:rsidRPr="009F0F2D">
        <w:rPr>
          <w:rFonts w:ascii="Times" w:eastAsia="Times New Roman" w:hAnsi="Times" w:cs="Times New Roman"/>
          <w:sz w:val="28"/>
          <w:szCs w:val="28"/>
          <w:lang w:eastAsia="es-ES_tradnl"/>
        </w:rPr>
        <w:t xml:space="preserve"> </w:t>
      </w:r>
      <w:r>
        <w:rPr>
          <w:rFonts w:ascii="Times" w:eastAsia="Times New Roman" w:hAnsi="Times" w:cs="Times New Roman"/>
          <w:sz w:val="28"/>
          <w:szCs w:val="28"/>
          <w:lang w:eastAsia="es-ES_tradnl"/>
        </w:rPr>
        <w:t xml:space="preserve">desde el 1 de enero de 2017 </w:t>
      </w:r>
      <w:r w:rsidRPr="009F0F2D">
        <w:rPr>
          <w:rFonts w:ascii="Times" w:eastAsia="Times New Roman" w:hAnsi="Times" w:cs="Times New Roman"/>
          <w:sz w:val="28"/>
          <w:szCs w:val="28"/>
          <w:lang w:eastAsia="es-ES_tradnl"/>
        </w:rPr>
        <w:t xml:space="preserve">hasta el 31 de diciembre de </w:t>
      </w:r>
      <w:r>
        <w:rPr>
          <w:rFonts w:ascii="Times" w:eastAsia="Times New Roman" w:hAnsi="Times" w:cs="Times New Roman"/>
          <w:sz w:val="28"/>
          <w:szCs w:val="28"/>
          <w:lang w:eastAsia="es-ES_tradnl"/>
        </w:rPr>
        <w:t>2017</w:t>
      </w:r>
      <w:r w:rsidRPr="009F0F2D">
        <w:rPr>
          <w:rFonts w:ascii="Times" w:eastAsia="Times New Roman" w:hAnsi="Times" w:cs="Times New Roman"/>
          <w:sz w:val="28"/>
          <w:szCs w:val="28"/>
          <w:lang w:eastAsia="es-ES_tradnl"/>
        </w:rPr>
        <w:t>:</w:t>
      </w:r>
    </w:p>
    <w:p w:rsidR="009C5400" w:rsidRPr="009F0F2D" w:rsidRDefault="009C5400" w:rsidP="009C5400">
      <w:pPr>
        <w:jc w:val="both"/>
        <w:rPr>
          <w:rFonts w:ascii="Times" w:eastAsia="Times" w:hAnsi="Times" w:cs="Times New Roman"/>
          <w:sz w:val="28"/>
          <w:szCs w:val="28"/>
          <w:lang w:val="es-ES" w:eastAsia="es-ES"/>
        </w:rPr>
      </w:pPr>
    </w:p>
    <w:p w:rsidR="009C5400" w:rsidRPr="009F0F2D" w:rsidRDefault="009C5400" w:rsidP="009C5400">
      <w:pPr>
        <w:jc w:val="both"/>
        <w:rPr>
          <w:rFonts w:ascii="Times" w:eastAsia="Times" w:hAnsi="Times" w:cs="Times New Roman"/>
          <w:sz w:val="28"/>
          <w:szCs w:val="28"/>
          <w:lang w:val="es-ES" w:eastAsia="es-ES"/>
        </w:rPr>
      </w:pPr>
      <w:r w:rsidRPr="009F0F2D">
        <w:rPr>
          <w:rFonts w:ascii="Times" w:eastAsia="Times" w:hAnsi="Times" w:cs="Times New Roman"/>
          <w:sz w:val="28"/>
          <w:szCs w:val="28"/>
          <w:lang w:val="es-ES" w:eastAsia="es-ES"/>
        </w:rPr>
        <w:t>1.- Contratos sujetos a regulación armonizada (AA):</w:t>
      </w:r>
    </w:p>
    <w:p w:rsidR="009C5400" w:rsidRPr="009F0F2D" w:rsidRDefault="009C5400" w:rsidP="009C5400">
      <w:pPr>
        <w:jc w:val="both"/>
        <w:rPr>
          <w:rFonts w:ascii="Times" w:eastAsia="Times" w:hAnsi="Times" w:cs="Arial"/>
          <w:szCs w:val="20"/>
          <w:lang w:val="es-ES" w:eastAsia="es-ES"/>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9"/>
        <w:gridCol w:w="1047"/>
        <w:gridCol w:w="5346"/>
      </w:tblGrid>
      <w:tr w:rsidR="009C5400" w:rsidRPr="009F0F2D" w:rsidTr="00DA6116">
        <w:trPr>
          <w:trHeight w:val="420"/>
        </w:trPr>
        <w:tc>
          <w:tcPr>
            <w:tcW w:w="8222" w:type="dxa"/>
            <w:gridSpan w:val="3"/>
            <w:shd w:val="pct15" w:color="auto" w:fill="auto"/>
            <w:noWrap/>
            <w:vAlign w:val="center"/>
            <w:hideMark/>
          </w:tcPr>
          <w:p w:rsidR="009C5400"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lastRenderedPageBreak/>
              <w:t>CONTRATOS SUJETOS A REGULACIÓN ARMONIZADA (AA)</w:t>
            </w:r>
            <w:r>
              <w:rPr>
                <w:rFonts w:ascii="Times" w:eastAsia="Times New Roman" w:hAnsi="Times" w:cs="Arial"/>
                <w:b/>
                <w:sz w:val="20"/>
                <w:szCs w:val="20"/>
                <w:lang w:val="es-ES" w:eastAsia="es-ES"/>
              </w:rPr>
              <w:t xml:space="preserve"> </w:t>
            </w:r>
          </w:p>
          <w:p w:rsidR="009C5400" w:rsidRPr="009F0F2D" w:rsidRDefault="009C5400" w:rsidP="00DA6116">
            <w:pPr>
              <w:jc w:val="center"/>
              <w:rPr>
                <w:rFonts w:ascii="Times" w:eastAsia="Times New Roman" w:hAnsi="Times" w:cs="Arial"/>
                <w:sz w:val="20"/>
                <w:szCs w:val="20"/>
                <w:lang w:val="es-ES" w:eastAsia="es-ES"/>
              </w:rPr>
            </w:pPr>
            <w:r>
              <w:rPr>
                <w:rFonts w:ascii="Times" w:eastAsia="Times New Roman" w:hAnsi="Times" w:cs="Arial"/>
                <w:b/>
                <w:sz w:val="20"/>
                <w:szCs w:val="20"/>
                <w:lang w:val="es-ES" w:eastAsia="es-ES"/>
              </w:rPr>
              <w:t>Año 2017</w:t>
            </w:r>
          </w:p>
        </w:tc>
      </w:tr>
      <w:tr w:rsidR="009C5400" w:rsidRPr="009F0F2D" w:rsidTr="00DA6116">
        <w:trPr>
          <w:trHeight w:val="420"/>
        </w:trPr>
        <w:tc>
          <w:tcPr>
            <w:tcW w:w="1829" w:type="dxa"/>
            <w:shd w:val="pct15" w:color="auto" w:fill="auto"/>
            <w:noWrap/>
            <w:vAlign w:val="center"/>
            <w:hideMark/>
          </w:tcPr>
          <w:p w:rsidR="009C5400" w:rsidRPr="009F0F2D"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Procedimiento</w:t>
            </w:r>
          </w:p>
        </w:tc>
        <w:tc>
          <w:tcPr>
            <w:tcW w:w="1047" w:type="dxa"/>
            <w:shd w:val="pct15" w:color="auto" w:fill="auto"/>
            <w:noWrap/>
            <w:vAlign w:val="center"/>
            <w:hideMark/>
          </w:tcPr>
          <w:p w:rsidR="009C5400" w:rsidRPr="009F0F2D"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Número</w:t>
            </w:r>
          </w:p>
        </w:tc>
        <w:tc>
          <w:tcPr>
            <w:tcW w:w="5346" w:type="dxa"/>
            <w:shd w:val="pct15" w:color="auto" w:fill="auto"/>
            <w:noWrap/>
            <w:vAlign w:val="center"/>
            <w:hideMark/>
          </w:tcPr>
          <w:p w:rsidR="009C5400" w:rsidRPr="009F0F2D"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Importe</w:t>
            </w:r>
            <w:r>
              <w:rPr>
                <w:rFonts w:ascii="Times" w:eastAsia="Times New Roman" w:hAnsi="Times" w:cs="Arial"/>
                <w:b/>
                <w:sz w:val="20"/>
                <w:szCs w:val="20"/>
                <w:lang w:val="es-ES" w:eastAsia="es-ES"/>
              </w:rPr>
              <w:t xml:space="preserve"> de Adjudicación</w:t>
            </w:r>
            <w:r w:rsidRPr="009F0F2D">
              <w:rPr>
                <w:rFonts w:ascii="Times" w:eastAsia="Times New Roman" w:hAnsi="Times" w:cs="Arial"/>
                <w:b/>
                <w:sz w:val="20"/>
                <w:szCs w:val="20"/>
                <w:vertAlign w:val="superscript"/>
                <w:lang w:val="es-ES" w:eastAsia="es-ES"/>
              </w:rPr>
              <w:footnoteReference w:id="1"/>
            </w:r>
          </w:p>
        </w:tc>
      </w:tr>
      <w:tr w:rsidR="009C5400" w:rsidRPr="009F0F2D" w:rsidTr="00DA6116">
        <w:trPr>
          <w:trHeight w:val="285"/>
        </w:trPr>
        <w:tc>
          <w:tcPr>
            <w:tcW w:w="1829" w:type="dxa"/>
            <w:shd w:val="clear" w:color="auto" w:fill="auto"/>
            <w:noWrap/>
            <w:vAlign w:val="bottom"/>
            <w:hideMark/>
          </w:tcPr>
          <w:p w:rsidR="009C5400" w:rsidRPr="009F0F2D" w:rsidRDefault="009C5400" w:rsidP="00DA6116">
            <w:pPr>
              <w:jc w:val="both"/>
              <w:rPr>
                <w:rFonts w:ascii="Times" w:eastAsia="Times New Roman" w:hAnsi="Times" w:cs="Arial"/>
                <w:szCs w:val="22"/>
                <w:lang w:val="es-ES" w:eastAsia="es-ES"/>
              </w:rPr>
            </w:pPr>
            <w:r w:rsidRPr="009F0F2D">
              <w:rPr>
                <w:rFonts w:ascii="Times" w:eastAsia="Times New Roman" w:hAnsi="Times" w:cs="Arial"/>
                <w:szCs w:val="22"/>
                <w:lang w:val="es-ES" w:eastAsia="es-ES"/>
              </w:rPr>
              <w:t>Abierto</w:t>
            </w:r>
          </w:p>
        </w:tc>
        <w:tc>
          <w:tcPr>
            <w:tcW w:w="1047" w:type="dxa"/>
            <w:shd w:val="clear" w:color="auto" w:fill="auto"/>
            <w:noWrap/>
            <w:vAlign w:val="bottom"/>
            <w:hideMark/>
          </w:tcPr>
          <w:p w:rsidR="009C5400" w:rsidRPr="009F0F2D" w:rsidRDefault="009C5400" w:rsidP="00DA6116">
            <w:pPr>
              <w:jc w:val="center"/>
              <w:rPr>
                <w:rFonts w:ascii="Times" w:eastAsia="Times New Roman" w:hAnsi="Times" w:cs="Arial"/>
                <w:szCs w:val="22"/>
                <w:lang w:val="es-ES" w:eastAsia="es-ES"/>
              </w:rPr>
            </w:pPr>
            <w:r>
              <w:rPr>
                <w:rFonts w:ascii="Times" w:eastAsia="Times New Roman" w:hAnsi="Times" w:cs="Arial"/>
                <w:szCs w:val="22"/>
                <w:lang w:val="es-ES" w:eastAsia="es-ES"/>
              </w:rPr>
              <w:t>2</w:t>
            </w:r>
          </w:p>
        </w:tc>
        <w:tc>
          <w:tcPr>
            <w:tcW w:w="5346" w:type="dxa"/>
            <w:shd w:val="clear" w:color="auto" w:fill="auto"/>
            <w:noWrap/>
            <w:vAlign w:val="center"/>
            <w:hideMark/>
          </w:tcPr>
          <w:p w:rsidR="009C5400" w:rsidRPr="009F0F2D" w:rsidRDefault="009C5400" w:rsidP="00DA6116">
            <w:pPr>
              <w:jc w:val="center"/>
              <w:rPr>
                <w:rFonts w:ascii="Times" w:eastAsia="Times New Roman" w:hAnsi="Times" w:cs="Arial"/>
                <w:szCs w:val="22"/>
                <w:lang w:val="es-ES" w:eastAsia="es-ES"/>
              </w:rPr>
            </w:pPr>
            <w:r>
              <w:rPr>
                <w:rFonts w:ascii="Times" w:eastAsia="Times New Roman" w:hAnsi="Times" w:cs="Arial"/>
                <w:szCs w:val="22"/>
                <w:lang w:val="es-ES" w:eastAsia="es-ES"/>
              </w:rPr>
              <w:t>28.000.000,00</w:t>
            </w:r>
            <w:r w:rsidRPr="009F0F2D">
              <w:rPr>
                <w:rFonts w:ascii="Times" w:eastAsia="Times New Roman" w:hAnsi="Times" w:cs="Arial"/>
                <w:szCs w:val="22"/>
                <w:lang w:val="es-ES" w:eastAsia="es-ES"/>
              </w:rPr>
              <w:t xml:space="preserve"> €</w:t>
            </w:r>
            <w:r>
              <w:rPr>
                <w:rStyle w:val="Refdenotaalpie"/>
                <w:rFonts w:ascii="Times" w:eastAsia="Times New Roman" w:hAnsi="Times" w:cs="Arial"/>
                <w:szCs w:val="22"/>
                <w:lang w:val="es-ES" w:eastAsia="es-ES"/>
              </w:rPr>
              <w:footnoteReference w:id="2"/>
            </w:r>
            <w:r w:rsidRPr="009F0F2D">
              <w:rPr>
                <w:rFonts w:ascii="Times" w:eastAsia="Times New Roman" w:hAnsi="Times" w:cs="Arial"/>
                <w:szCs w:val="22"/>
                <w:lang w:val="es-ES" w:eastAsia="es-ES"/>
              </w:rPr>
              <w:t xml:space="preserve"> </w:t>
            </w:r>
          </w:p>
        </w:tc>
      </w:tr>
      <w:tr w:rsidR="009C5400" w:rsidRPr="009F0F2D" w:rsidTr="00DA6116">
        <w:trPr>
          <w:trHeight w:val="285"/>
        </w:trPr>
        <w:tc>
          <w:tcPr>
            <w:tcW w:w="1829" w:type="dxa"/>
            <w:shd w:val="clear" w:color="auto" w:fill="auto"/>
            <w:noWrap/>
            <w:vAlign w:val="bottom"/>
            <w:hideMark/>
          </w:tcPr>
          <w:p w:rsidR="009C5400" w:rsidRPr="009F0F2D" w:rsidRDefault="009C5400" w:rsidP="00DA6116">
            <w:pPr>
              <w:jc w:val="both"/>
              <w:rPr>
                <w:rFonts w:ascii="Times" w:eastAsia="Times New Roman" w:hAnsi="Times" w:cs="Arial"/>
                <w:szCs w:val="22"/>
                <w:lang w:val="es-ES" w:eastAsia="es-ES"/>
              </w:rPr>
            </w:pPr>
            <w:r w:rsidRPr="009F0F2D">
              <w:rPr>
                <w:rFonts w:ascii="Times" w:eastAsia="Times New Roman" w:hAnsi="Times" w:cs="Arial"/>
                <w:szCs w:val="22"/>
                <w:lang w:val="es-ES" w:eastAsia="es-ES"/>
              </w:rPr>
              <w:t>Restringido</w:t>
            </w:r>
          </w:p>
        </w:tc>
        <w:tc>
          <w:tcPr>
            <w:tcW w:w="1047" w:type="dxa"/>
            <w:shd w:val="clear" w:color="auto" w:fill="auto"/>
            <w:noWrap/>
            <w:vAlign w:val="bottom"/>
            <w:hideMark/>
          </w:tcPr>
          <w:p w:rsidR="009C5400" w:rsidRPr="009F0F2D" w:rsidRDefault="009C5400" w:rsidP="00DA6116">
            <w:pPr>
              <w:jc w:val="center"/>
              <w:rPr>
                <w:rFonts w:ascii="Times" w:eastAsia="Times New Roman" w:hAnsi="Times" w:cs="Arial"/>
                <w:szCs w:val="22"/>
                <w:lang w:val="es-ES" w:eastAsia="es-ES"/>
              </w:rPr>
            </w:pPr>
            <w:r w:rsidRPr="009F0F2D">
              <w:rPr>
                <w:rFonts w:ascii="Times" w:eastAsia="Times New Roman" w:hAnsi="Times" w:cs="Arial"/>
                <w:szCs w:val="22"/>
                <w:lang w:val="es-ES" w:eastAsia="es-ES"/>
              </w:rPr>
              <w:t>0</w:t>
            </w:r>
          </w:p>
        </w:tc>
        <w:tc>
          <w:tcPr>
            <w:tcW w:w="5346" w:type="dxa"/>
            <w:shd w:val="clear" w:color="auto" w:fill="auto"/>
            <w:noWrap/>
            <w:vAlign w:val="bottom"/>
            <w:hideMark/>
          </w:tcPr>
          <w:p w:rsidR="009C5400" w:rsidRPr="009F0F2D" w:rsidRDefault="009C5400" w:rsidP="00DA6116">
            <w:pPr>
              <w:jc w:val="center"/>
              <w:rPr>
                <w:rFonts w:ascii="Times" w:eastAsia="Times New Roman" w:hAnsi="Times" w:cs="Arial"/>
                <w:szCs w:val="22"/>
                <w:lang w:val="es-ES" w:eastAsia="es-ES"/>
              </w:rPr>
            </w:pPr>
            <w:r w:rsidRPr="009F0F2D">
              <w:rPr>
                <w:rFonts w:ascii="Times" w:eastAsia="Times New Roman" w:hAnsi="Times" w:cs="Arial"/>
                <w:szCs w:val="22"/>
                <w:lang w:val="es-ES" w:eastAsia="es-ES"/>
              </w:rPr>
              <w:t>0 €</w:t>
            </w:r>
          </w:p>
        </w:tc>
      </w:tr>
      <w:tr w:rsidR="009C5400" w:rsidRPr="009F0F2D" w:rsidTr="00DA6116">
        <w:trPr>
          <w:trHeight w:val="285"/>
        </w:trPr>
        <w:tc>
          <w:tcPr>
            <w:tcW w:w="1829" w:type="dxa"/>
            <w:shd w:val="clear" w:color="auto" w:fill="auto"/>
            <w:noWrap/>
            <w:vAlign w:val="bottom"/>
            <w:hideMark/>
          </w:tcPr>
          <w:p w:rsidR="009C5400" w:rsidRPr="009F0F2D" w:rsidRDefault="009C5400" w:rsidP="00DA6116">
            <w:pPr>
              <w:jc w:val="both"/>
              <w:rPr>
                <w:rFonts w:ascii="Times" w:eastAsia="Times New Roman" w:hAnsi="Times" w:cs="Arial"/>
                <w:szCs w:val="22"/>
                <w:lang w:val="es-ES" w:eastAsia="es-ES"/>
              </w:rPr>
            </w:pPr>
            <w:r w:rsidRPr="009F0F2D">
              <w:rPr>
                <w:rFonts w:ascii="Times" w:eastAsia="Times New Roman" w:hAnsi="Times" w:cs="Arial"/>
                <w:szCs w:val="22"/>
                <w:lang w:val="es-ES" w:eastAsia="es-ES"/>
              </w:rPr>
              <w:t>Diálogo competitivo</w:t>
            </w:r>
          </w:p>
        </w:tc>
        <w:tc>
          <w:tcPr>
            <w:tcW w:w="1047" w:type="dxa"/>
            <w:shd w:val="clear" w:color="auto" w:fill="auto"/>
            <w:noWrap/>
            <w:vAlign w:val="bottom"/>
            <w:hideMark/>
          </w:tcPr>
          <w:p w:rsidR="009C5400" w:rsidRPr="009F0F2D" w:rsidRDefault="009C5400" w:rsidP="00DA6116">
            <w:pPr>
              <w:jc w:val="center"/>
              <w:rPr>
                <w:rFonts w:ascii="Times" w:eastAsia="Times New Roman" w:hAnsi="Times" w:cs="Arial"/>
                <w:szCs w:val="22"/>
                <w:lang w:val="es-ES" w:eastAsia="es-ES"/>
              </w:rPr>
            </w:pPr>
            <w:r w:rsidRPr="009F0F2D">
              <w:rPr>
                <w:rFonts w:ascii="Times" w:eastAsia="Times New Roman" w:hAnsi="Times" w:cs="Arial"/>
                <w:szCs w:val="22"/>
                <w:lang w:val="es-ES" w:eastAsia="es-ES"/>
              </w:rPr>
              <w:t>0</w:t>
            </w:r>
          </w:p>
        </w:tc>
        <w:tc>
          <w:tcPr>
            <w:tcW w:w="5346" w:type="dxa"/>
            <w:shd w:val="clear" w:color="auto" w:fill="auto"/>
            <w:noWrap/>
            <w:vAlign w:val="bottom"/>
            <w:hideMark/>
          </w:tcPr>
          <w:p w:rsidR="009C5400" w:rsidRPr="009F0F2D" w:rsidRDefault="009C5400" w:rsidP="00DA6116">
            <w:pPr>
              <w:jc w:val="center"/>
              <w:rPr>
                <w:rFonts w:ascii="Times" w:eastAsia="Times New Roman" w:hAnsi="Times" w:cs="Arial"/>
                <w:szCs w:val="22"/>
                <w:lang w:val="es-ES" w:eastAsia="es-ES"/>
              </w:rPr>
            </w:pPr>
            <w:r w:rsidRPr="009F0F2D">
              <w:rPr>
                <w:rFonts w:ascii="Times" w:eastAsia="Times New Roman" w:hAnsi="Times" w:cs="Arial"/>
                <w:szCs w:val="22"/>
                <w:lang w:val="es-ES" w:eastAsia="es-ES"/>
              </w:rPr>
              <w:t>0 €</w:t>
            </w:r>
          </w:p>
        </w:tc>
      </w:tr>
    </w:tbl>
    <w:p w:rsidR="009C5400" w:rsidRPr="009F0F2D" w:rsidRDefault="009C5400" w:rsidP="009C5400">
      <w:pPr>
        <w:jc w:val="both"/>
        <w:rPr>
          <w:rFonts w:ascii="Times" w:eastAsia="Times" w:hAnsi="Times" w:cs="Arial"/>
          <w:szCs w:val="20"/>
          <w:lang w:eastAsia="es-ES"/>
        </w:rPr>
      </w:pPr>
    </w:p>
    <w:p w:rsidR="009C5400" w:rsidRPr="009F0F2D" w:rsidRDefault="009C5400" w:rsidP="009C5400">
      <w:pPr>
        <w:jc w:val="both"/>
        <w:rPr>
          <w:rFonts w:ascii="Times" w:eastAsia="Times" w:hAnsi="Times" w:cs="Arial"/>
          <w:sz w:val="28"/>
          <w:szCs w:val="28"/>
          <w:lang w:eastAsia="es-ES"/>
        </w:rPr>
      </w:pPr>
      <w:r w:rsidRPr="009F0F2D">
        <w:rPr>
          <w:rFonts w:ascii="Times" w:eastAsia="Times" w:hAnsi="Times" w:cs="Arial"/>
          <w:sz w:val="28"/>
          <w:szCs w:val="28"/>
          <w:lang w:eastAsia="es-ES"/>
        </w:rPr>
        <w:t>2.- Contratos no sujetos a regulación armonizada:</w:t>
      </w:r>
    </w:p>
    <w:p w:rsidR="009C5400" w:rsidRDefault="009C5400" w:rsidP="009C5400">
      <w:pPr>
        <w:rPr>
          <w:rFonts w:ascii="Times" w:eastAsia="Times" w:hAnsi="Times" w:cs="Arial"/>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714"/>
        <w:gridCol w:w="1418"/>
        <w:gridCol w:w="1559"/>
        <w:gridCol w:w="1987"/>
        <w:gridCol w:w="1972"/>
      </w:tblGrid>
      <w:tr w:rsidR="009C5400" w:rsidRPr="009F0F2D" w:rsidTr="00DA6116">
        <w:trPr>
          <w:trHeight w:val="285"/>
        </w:trPr>
        <w:tc>
          <w:tcPr>
            <w:tcW w:w="5000" w:type="pct"/>
            <w:gridSpan w:val="6"/>
            <w:shd w:val="pct15" w:color="auto" w:fill="auto"/>
            <w:noWrap/>
            <w:vAlign w:val="bottom"/>
            <w:hideMark/>
          </w:tcPr>
          <w:p w:rsidR="009C5400"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CONTRATOS NO SUJETOS A REGULACIÓN ARMONIZADA (AN)</w:t>
            </w:r>
          </w:p>
          <w:p w:rsidR="009C5400" w:rsidRPr="009F0F2D" w:rsidRDefault="009C5400" w:rsidP="00DA6116">
            <w:pPr>
              <w:jc w:val="center"/>
              <w:rPr>
                <w:rFonts w:ascii="Times" w:eastAsia="Times New Roman" w:hAnsi="Times" w:cs="Arial"/>
                <w:b/>
                <w:sz w:val="20"/>
                <w:szCs w:val="20"/>
                <w:lang w:val="es-ES" w:eastAsia="es-ES"/>
              </w:rPr>
            </w:pPr>
            <w:r>
              <w:rPr>
                <w:rFonts w:ascii="Times" w:eastAsia="Times New Roman" w:hAnsi="Times" w:cs="Arial"/>
                <w:b/>
                <w:sz w:val="20"/>
                <w:szCs w:val="20"/>
                <w:lang w:val="es-ES" w:eastAsia="es-ES"/>
              </w:rPr>
              <w:t>Año 2017</w:t>
            </w:r>
          </w:p>
        </w:tc>
      </w:tr>
      <w:tr w:rsidR="009C5400" w:rsidRPr="009F0F2D" w:rsidTr="00DA6116">
        <w:trPr>
          <w:trHeight w:val="170"/>
        </w:trPr>
        <w:tc>
          <w:tcPr>
            <w:tcW w:w="776" w:type="pct"/>
            <w:vMerge w:val="restart"/>
            <w:shd w:val="pct15" w:color="auto" w:fill="auto"/>
            <w:noWrap/>
            <w:vAlign w:val="center"/>
            <w:hideMark/>
          </w:tcPr>
          <w:p w:rsidR="009C5400" w:rsidRPr="009F0F2D"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Procedimiento</w:t>
            </w:r>
          </w:p>
        </w:tc>
        <w:tc>
          <w:tcPr>
            <w:tcW w:w="394" w:type="pct"/>
            <w:vMerge w:val="restart"/>
            <w:shd w:val="pct15" w:color="auto" w:fill="auto"/>
            <w:noWrap/>
            <w:vAlign w:val="center"/>
            <w:hideMark/>
          </w:tcPr>
          <w:p w:rsidR="009C5400" w:rsidRPr="009F0F2D"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Número</w:t>
            </w:r>
          </w:p>
        </w:tc>
        <w:tc>
          <w:tcPr>
            <w:tcW w:w="1644" w:type="pct"/>
            <w:gridSpan w:val="2"/>
            <w:shd w:val="pct15" w:color="auto" w:fill="auto"/>
            <w:noWrap/>
            <w:vAlign w:val="center"/>
            <w:hideMark/>
          </w:tcPr>
          <w:p w:rsidR="009C5400" w:rsidRPr="009F0F2D" w:rsidRDefault="009C5400" w:rsidP="00DA6116">
            <w:pPr>
              <w:jc w:val="center"/>
              <w:rPr>
                <w:rFonts w:ascii="Times" w:eastAsia="Times New Roman" w:hAnsi="Times" w:cs="Arial"/>
                <w:b/>
                <w:sz w:val="20"/>
                <w:szCs w:val="20"/>
                <w:lang w:val="es-ES" w:eastAsia="es-ES"/>
              </w:rPr>
            </w:pPr>
            <w:r w:rsidRPr="009F0F2D">
              <w:rPr>
                <w:rFonts w:ascii="Times" w:eastAsia="Times New Roman" w:hAnsi="Times" w:cs="Arial"/>
                <w:b/>
                <w:sz w:val="20"/>
                <w:szCs w:val="20"/>
                <w:lang w:val="es-ES" w:eastAsia="es-ES"/>
              </w:rPr>
              <w:t xml:space="preserve">Importe </w:t>
            </w:r>
            <w:r>
              <w:rPr>
                <w:rFonts w:ascii="Times" w:eastAsia="Times New Roman" w:hAnsi="Times" w:cs="Arial"/>
                <w:b/>
                <w:sz w:val="20"/>
                <w:szCs w:val="20"/>
                <w:lang w:val="es-ES" w:eastAsia="es-ES"/>
              </w:rPr>
              <w:t>de Adjudicación</w:t>
            </w:r>
            <w:r w:rsidRPr="009F0F2D">
              <w:rPr>
                <w:rFonts w:ascii="Times" w:eastAsia="Times New Roman" w:hAnsi="Times" w:cs="Arial"/>
                <w:b/>
                <w:sz w:val="20"/>
                <w:szCs w:val="20"/>
                <w:vertAlign w:val="superscript"/>
                <w:lang w:val="es-ES" w:eastAsia="es-ES"/>
              </w:rPr>
              <w:footnoteReference w:id="3"/>
            </w:r>
          </w:p>
        </w:tc>
        <w:tc>
          <w:tcPr>
            <w:tcW w:w="1097" w:type="pct"/>
            <w:vMerge w:val="restart"/>
            <w:shd w:val="pct15" w:color="auto" w:fill="auto"/>
            <w:vAlign w:val="center"/>
          </w:tcPr>
          <w:p w:rsidR="009C5400" w:rsidRPr="009F0F2D" w:rsidRDefault="009C5400" w:rsidP="00DA6116">
            <w:pPr>
              <w:jc w:val="center"/>
              <w:rPr>
                <w:rFonts w:ascii="Times" w:eastAsia="Times New Roman" w:hAnsi="Times" w:cs="Arial"/>
                <w:b/>
                <w:sz w:val="20"/>
                <w:szCs w:val="20"/>
                <w:lang w:val="es-ES" w:eastAsia="es-ES"/>
              </w:rPr>
            </w:pPr>
            <w:proofErr w:type="spellStart"/>
            <w:r>
              <w:rPr>
                <w:rFonts w:ascii="Times" w:eastAsia="Times New Roman" w:hAnsi="Times" w:cs="Arial"/>
                <w:b/>
                <w:sz w:val="20"/>
                <w:szCs w:val="20"/>
                <w:lang w:val="es-ES" w:eastAsia="es-ES"/>
              </w:rPr>
              <w:t>nº</w:t>
            </w:r>
            <w:proofErr w:type="spellEnd"/>
            <w:r>
              <w:rPr>
                <w:rFonts w:ascii="Times" w:eastAsia="Times New Roman" w:hAnsi="Times" w:cs="Arial"/>
                <w:b/>
                <w:sz w:val="20"/>
                <w:szCs w:val="20"/>
                <w:lang w:val="es-ES" w:eastAsia="es-ES"/>
              </w:rPr>
              <w:t xml:space="preserve"> de </w:t>
            </w:r>
            <w:proofErr w:type="spellStart"/>
            <w:r>
              <w:rPr>
                <w:rFonts w:ascii="Times" w:eastAsia="Times New Roman" w:hAnsi="Times" w:cs="Arial"/>
                <w:b/>
                <w:sz w:val="20"/>
                <w:szCs w:val="20"/>
                <w:lang w:val="es-ES" w:eastAsia="es-ES"/>
              </w:rPr>
              <w:t>Expte</w:t>
            </w:r>
            <w:proofErr w:type="spellEnd"/>
            <w:r>
              <w:rPr>
                <w:rFonts w:ascii="Times" w:eastAsia="Times New Roman" w:hAnsi="Times" w:cs="Arial"/>
                <w:b/>
                <w:sz w:val="20"/>
                <w:szCs w:val="20"/>
                <w:lang w:val="es-ES" w:eastAsia="es-ES"/>
              </w:rPr>
              <w:t xml:space="preserve"> de contratación</w:t>
            </w:r>
          </w:p>
        </w:tc>
        <w:tc>
          <w:tcPr>
            <w:tcW w:w="1089" w:type="pct"/>
            <w:vMerge w:val="restart"/>
            <w:shd w:val="pct15" w:color="auto" w:fill="auto"/>
            <w:vAlign w:val="center"/>
          </w:tcPr>
          <w:p w:rsidR="009C5400" w:rsidRPr="009F0F2D" w:rsidRDefault="009C5400" w:rsidP="00DA6116">
            <w:pPr>
              <w:jc w:val="center"/>
              <w:rPr>
                <w:rFonts w:ascii="Times" w:eastAsia="Times New Roman" w:hAnsi="Times" w:cs="Arial"/>
                <w:b/>
                <w:sz w:val="20"/>
                <w:szCs w:val="20"/>
                <w:lang w:val="es-ES" w:eastAsia="es-ES"/>
              </w:rPr>
            </w:pPr>
            <w:proofErr w:type="spellStart"/>
            <w:r>
              <w:rPr>
                <w:rFonts w:ascii="Times" w:eastAsia="Times New Roman" w:hAnsi="Times" w:cs="Arial"/>
                <w:b/>
                <w:sz w:val="20"/>
                <w:szCs w:val="20"/>
                <w:lang w:val="es-ES" w:eastAsia="es-ES"/>
              </w:rPr>
              <w:t>Nº</w:t>
            </w:r>
            <w:proofErr w:type="spellEnd"/>
            <w:r>
              <w:rPr>
                <w:rFonts w:ascii="Times" w:eastAsia="Times New Roman" w:hAnsi="Times" w:cs="Arial"/>
                <w:b/>
                <w:sz w:val="20"/>
                <w:szCs w:val="20"/>
                <w:lang w:val="es-ES" w:eastAsia="es-ES"/>
              </w:rPr>
              <w:t xml:space="preserve"> Contrato</w:t>
            </w:r>
          </w:p>
        </w:tc>
      </w:tr>
      <w:tr w:rsidR="009C5400" w:rsidRPr="009F0F2D" w:rsidTr="00DA6116">
        <w:trPr>
          <w:trHeight w:val="110"/>
        </w:trPr>
        <w:tc>
          <w:tcPr>
            <w:tcW w:w="776" w:type="pct"/>
            <w:vMerge/>
            <w:shd w:val="pct15" w:color="auto" w:fill="auto"/>
            <w:noWrap/>
            <w:vAlign w:val="center"/>
          </w:tcPr>
          <w:p w:rsidR="009C5400" w:rsidRPr="009F0F2D" w:rsidRDefault="009C5400" w:rsidP="00DA6116">
            <w:pPr>
              <w:jc w:val="center"/>
              <w:rPr>
                <w:rFonts w:ascii="Times" w:eastAsia="Times New Roman" w:hAnsi="Times" w:cs="Arial"/>
                <w:b/>
                <w:sz w:val="20"/>
                <w:szCs w:val="20"/>
                <w:lang w:val="es-ES" w:eastAsia="es-ES"/>
              </w:rPr>
            </w:pPr>
          </w:p>
        </w:tc>
        <w:tc>
          <w:tcPr>
            <w:tcW w:w="394" w:type="pct"/>
            <w:vMerge/>
            <w:shd w:val="pct15" w:color="auto" w:fill="auto"/>
            <w:noWrap/>
            <w:vAlign w:val="center"/>
          </w:tcPr>
          <w:p w:rsidR="009C5400" w:rsidRPr="009F0F2D" w:rsidRDefault="009C5400" w:rsidP="00DA6116">
            <w:pPr>
              <w:jc w:val="center"/>
              <w:rPr>
                <w:rFonts w:ascii="Times" w:eastAsia="Times New Roman" w:hAnsi="Times" w:cs="Arial"/>
                <w:b/>
                <w:sz w:val="20"/>
                <w:szCs w:val="20"/>
                <w:lang w:val="es-ES" w:eastAsia="es-ES"/>
              </w:rPr>
            </w:pPr>
          </w:p>
        </w:tc>
        <w:tc>
          <w:tcPr>
            <w:tcW w:w="783" w:type="pct"/>
            <w:shd w:val="pct15" w:color="auto" w:fill="auto"/>
            <w:noWrap/>
            <w:vAlign w:val="center"/>
          </w:tcPr>
          <w:p w:rsidR="009C5400" w:rsidRPr="009F0F2D" w:rsidRDefault="009C5400" w:rsidP="00DA6116">
            <w:pPr>
              <w:jc w:val="center"/>
              <w:rPr>
                <w:rFonts w:ascii="Times" w:eastAsia="Times New Roman" w:hAnsi="Times" w:cs="Arial"/>
                <w:b/>
                <w:sz w:val="20"/>
                <w:szCs w:val="20"/>
                <w:lang w:val="es-ES" w:eastAsia="es-ES"/>
              </w:rPr>
            </w:pPr>
            <w:r>
              <w:rPr>
                <w:rFonts w:ascii="Times" w:eastAsia="Times New Roman" w:hAnsi="Times" w:cs="Arial"/>
                <w:b/>
                <w:sz w:val="20"/>
                <w:szCs w:val="20"/>
                <w:lang w:val="es-ES" w:eastAsia="es-ES"/>
              </w:rPr>
              <w:t>Importe (Máximo)</w:t>
            </w:r>
          </w:p>
        </w:tc>
        <w:tc>
          <w:tcPr>
            <w:tcW w:w="861" w:type="pct"/>
            <w:shd w:val="pct15" w:color="auto" w:fill="auto"/>
            <w:vAlign w:val="center"/>
          </w:tcPr>
          <w:p w:rsidR="009C5400" w:rsidRDefault="009C5400" w:rsidP="00DA6116">
            <w:pPr>
              <w:jc w:val="center"/>
              <w:rPr>
                <w:rFonts w:ascii="Times" w:eastAsia="Times New Roman" w:hAnsi="Times" w:cs="Arial"/>
                <w:b/>
                <w:sz w:val="20"/>
                <w:szCs w:val="20"/>
                <w:lang w:val="es-ES" w:eastAsia="es-ES"/>
              </w:rPr>
            </w:pPr>
            <w:r>
              <w:rPr>
                <w:rFonts w:ascii="Times" w:eastAsia="Times New Roman" w:hAnsi="Times" w:cs="Arial"/>
                <w:b/>
                <w:sz w:val="20"/>
                <w:szCs w:val="20"/>
                <w:lang w:val="es-ES" w:eastAsia="es-ES"/>
              </w:rPr>
              <w:t xml:space="preserve">Importe </w:t>
            </w:r>
          </w:p>
          <w:p w:rsidR="009C5400" w:rsidRPr="009F0F2D" w:rsidRDefault="009C5400" w:rsidP="00DA6116">
            <w:pPr>
              <w:jc w:val="center"/>
              <w:rPr>
                <w:rFonts w:ascii="Times" w:eastAsia="Times New Roman" w:hAnsi="Times" w:cs="Arial"/>
                <w:b/>
                <w:sz w:val="20"/>
                <w:szCs w:val="20"/>
                <w:lang w:val="es-ES" w:eastAsia="es-ES"/>
              </w:rPr>
            </w:pPr>
            <w:r>
              <w:rPr>
                <w:rFonts w:ascii="Times" w:eastAsia="Times New Roman" w:hAnsi="Times" w:cs="Arial"/>
                <w:b/>
                <w:sz w:val="20"/>
                <w:szCs w:val="20"/>
                <w:lang w:val="es-ES" w:eastAsia="es-ES"/>
              </w:rPr>
              <w:t>(fijo)</w:t>
            </w:r>
          </w:p>
        </w:tc>
        <w:tc>
          <w:tcPr>
            <w:tcW w:w="1097" w:type="pct"/>
            <w:vMerge/>
            <w:shd w:val="pct15" w:color="auto" w:fill="auto"/>
          </w:tcPr>
          <w:p w:rsidR="009C5400" w:rsidRPr="009F0F2D" w:rsidRDefault="009C5400" w:rsidP="00DA6116">
            <w:pPr>
              <w:jc w:val="center"/>
              <w:rPr>
                <w:rFonts w:ascii="Times" w:eastAsia="Times New Roman" w:hAnsi="Times" w:cs="Arial"/>
                <w:b/>
                <w:sz w:val="20"/>
                <w:szCs w:val="20"/>
                <w:lang w:val="es-ES" w:eastAsia="es-ES"/>
              </w:rPr>
            </w:pPr>
          </w:p>
        </w:tc>
        <w:tc>
          <w:tcPr>
            <w:tcW w:w="1089" w:type="pct"/>
            <w:vMerge/>
            <w:shd w:val="pct15" w:color="auto" w:fill="auto"/>
          </w:tcPr>
          <w:p w:rsidR="009C5400" w:rsidRPr="009F0F2D" w:rsidRDefault="009C5400" w:rsidP="00DA6116">
            <w:pPr>
              <w:jc w:val="center"/>
              <w:rPr>
                <w:rFonts w:ascii="Times" w:eastAsia="Times New Roman" w:hAnsi="Times" w:cs="Arial"/>
                <w:b/>
                <w:sz w:val="20"/>
                <w:szCs w:val="20"/>
                <w:lang w:val="es-ES" w:eastAsia="es-ES"/>
              </w:rPr>
            </w:pPr>
          </w:p>
        </w:tc>
      </w:tr>
      <w:tr w:rsidR="009C5400" w:rsidRPr="001D4D12" w:rsidTr="00DA6116">
        <w:trPr>
          <w:trHeight w:val="285"/>
        </w:trPr>
        <w:tc>
          <w:tcPr>
            <w:tcW w:w="776" w:type="pct"/>
            <w:vMerge w:val="restart"/>
            <w:shd w:val="clear" w:color="auto" w:fill="auto"/>
            <w:noWrap/>
            <w:vAlign w:val="center"/>
            <w:hideMark/>
          </w:tcPr>
          <w:p w:rsidR="009C5400" w:rsidRPr="009F0F2D" w:rsidRDefault="009C5400" w:rsidP="00DA6116">
            <w:pPr>
              <w:rPr>
                <w:rFonts w:ascii="Times" w:eastAsia="Times New Roman" w:hAnsi="Times" w:cs="Arial"/>
                <w:sz w:val="22"/>
                <w:szCs w:val="22"/>
                <w:lang w:val="es-ES" w:eastAsia="es-ES"/>
              </w:rPr>
            </w:pPr>
            <w:r w:rsidRPr="009F0F2D">
              <w:rPr>
                <w:rFonts w:ascii="Times" w:eastAsia="Times New Roman" w:hAnsi="Times" w:cs="Arial"/>
                <w:sz w:val="22"/>
                <w:szCs w:val="22"/>
                <w:lang w:val="es-ES" w:eastAsia="es-ES"/>
              </w:rPr>
              <w:t>Abierto no armonizado (AN)</w:t>
            </w:r>
          </w:p>
        </w:tc>
        <w:tc>
          <w:tcPr>
            <w:tcW w:w="394" w:type="pct"/>
            <w:vMerge w:val="restart"/>
            <w:shd w:val="clear" w:color="auto" w:fill="auto"/>
            <w:noWrap/>
            <w:vAlign w:val="center"/>
            <w:hideMark/>
          </w:tcPr>
          <w:p w:rsidR="009C5400" w:rsidRPr="009F0F2D" w:rsidRDefault="009C5400" w:rsidP="00DA6116">
            <w:pPr>
              <w:jc w:val="center"/>
              <w:rPr>
                <w:rFonts w:ascii="Times" w:eastAsia="Times New Roman" w:hAnsi="Times" w:cs="Arial"/>
                <w:sz w:val="22"/>
                <w:szCs w:val="22"/>
                <w:lang w:val="es-ES" w:eastAsia="es-ES"/>
              </w:rPr>
            </w:pPr>
            <w:r>
              <w:rPr>
                <w:rFonts w:ascii="Times" w:eastAsia="Times New Roman" w:hAnsi="Times" w:cs="Arial"/>
                <w:sz w:val="22"/>
                <w:szCs w:val="22"/>
                <w:lang w:val="es-ES" w:eastAsia="es-ES"/>
              </w:rPr>
              <w:t>2</w:t>
            </w:r>
          </w:p>
        </w:tc>
        <w:tc>
          <w:tcPr>
            <w:tcW w:w="783" w:type="pct"/>
            <w:shd w:val="clear" w:color="auto" w:fill="auto"/>
            <w:noWrap/>
            <w:vAlign w:val="bottom"/>
            <w:hideMark/>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861" w:type="pct"/>
            <w:shd w:val="clear" w:color="auto" w:fill="auto"/>
            <w:vAlign w:val="bottom"/>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192.000,00€</w:t>
            </w:r>
            <w:r w:rsidRPr="001D4D12">
              <w:rPr>
                <w:rStyle w:val="Refdenotaalpie"/>
                <w:rFonts w:ascii="Times" w:eastAsia="Times New Roman" w:hAnsi="Times" w:cs="Arial"/>
                <w:szCs w:val="22"/>
                <w:lang w:val="es-ES" w:eastAsia="es-ES"/>
              </w:rPr>
              <w:footnoteReference w:id="4"/>
            </w:r>
          </w:p>
        </w:tc>
        <w:tc>
          <w:tcPr>
            <w:tcW w:w="1097" w:type="pct"/>
            <w:vAlign w:val="center"/>
          </w:tcPr>
          <w:p w:rsidR="009C5400" w:rsidRPr="001D4D12" w:rsidRDefault="009C5400" w:rsidP="00DA6116">
            <w:pPr>
              <w:jc w:val="center"/>
              <w:rPr>
                <w:rFonts w:ascii="Times" w:eastAsia="Times New Roman" w:hAnsi="Times" w:cs="Arial"/>
                <w:sz w:val="22"/>
                <w:szCs w:val="22"/>
                <w:lang w:val="es-ES" w:eastAsia="es-ES"/>
              </w:rPr>
            </w:pPr>
            <w:r>
              <w:rPr>
                <w:rFonts w:ascii="Times" w:eastAsia="Times New Roman" w:hAnsi="Times" w:cs="Arial"/>
                <w:sz w:val="22"/>
                <w:szCs w:val="22"/>
                <w:lang w:val="es-ES" w:eastAsia="es-ES"/>
              </w:rPr>
              <w:t>AJ 84/17AN</w:t>
            </w:r>
          </w:p>
        </w:tc>
        <w:tc>
          <w:tcPr>
            <w:tcW w:w="1089" w:type="pct"/>
            <w:vAlign w:val="center"/>
          </w:tcPr>
          <w:p w:rsidR="009C5400" w:rsidRPr="001D4D12" w:rsidRDefault="009C5400" w:rsidP="00DA6116">
            <w:pPr>
              <w:jc w:val="center"/>
              <w:rPr>
                <w:rFonts w:ascii="Times" w:eastAsia="Times New Roman" w:hAnsi="Times" w:cs="Arial"/>
                <w:sz w:val="22"/>
                <w:szCs w:val="22"/>
                <w:lang w:val="es-ES" w:eastAsia="es-ES"/>
              </w:rPr>
            </w:pPr>
            <w:proofErr w:type="spellStart"/>
            <w:r>
              <w:rPr>
                <w:rFonts w:ascii="Times" w:eastAsia="Times New Roman" w:hAnsi="Times" w:cs="Arial"/>
                <w:sz w:val="22"/>
                <w:szCs w:val="22"/>
                <w:lang w:val="es-ES" w:eastAsia="es-ES"/>
              </w:rPr>
              <w:t>Nº</w:t>
            </w:r>
            <w:proofErr w:type="spellEnd"/>
            <w:r>
              <w:rPr>
                <w:rFonts w:ascii="Times" w:eastAsia="Times New Roman" w:hAnsi="Times" w:cs="Arial"/>
                <w:sz w:val="22"/>
                <w:szCs w:val="22"/>
                <w:lang w:val="es-ES" w:eastAsia="es-ES"/>
              </w:rPr>
              <w:t xml:space="preserve"> </w:t>
            </w:r>
            <w:r w:rsidRPr="001D4D12">
              <w:rPr>
                <w:rFonts w:ascii="Times" w:eastAsia="Times New Roman" w:hAnsi="Times" w:cs="Arial"/>
                <w:sz w:val="22"/>
                <w:szCs w:val="22"/>
                <w:lang w:val="es-ES" w:eastAsia="es-ES"/>
              </w:rPr>
              <w:t>CTO 1170</w:t>
            </w:r>
          </w:p>
        </w:tc>
      </w:tr>
      <w:tr w:rsidR="009C5400" w:rsidRPr="001D4D12" w:rsidTr="00DA6116">
        <w:trPr>
          <w:trHeight w:val="285"/>
        </w:trPr>
        <w:tc>
          <w:tcPr>
            <w:tcW w:w="776" w:type="pct"/>
            <w:vMerge/>
            <w:shd w:val="clear" w:color="auto" w:fill="auto"/>
            <w:noWrap/>
            <w:vAlign w:val="center"/>
          </w:tcPr>
          <w:p w:rsidR="009C5400" w:rsidRPr="009F0F2D" w:rsidRDefault="009C5400" w:rsidP="00DA6116">
            <w:pPr>
              <w:rPr>
                <w:rFonts w:ascii="Times" w:eastAsia="Times New Roman" w:hAnsi="Times" w:cs="Arial"/>
                <w:sz w:val="22"/>
                <w:szCs w:val="22"/>
                <w:lang w:val="es-ES" w:eastAsia="es-ES"/>
              </w:rPr>
            </w:pPr>
          </w:p>
        </w:tc>
        <w:tc>
          <w:tcPr>
            <w:tcW w:w="394" w:type="pct"/>
            <w:vMerge/>
            <w:shd w:val="clear" w:color="auto" w:fill="auto"/>
            <w:noWrap/>
            <w:vAlign w:val="bottom"/>
          </w:tcPr>
          <w:p w:rsidR="009C5400" w:rsidRDefault="009C5400" w:rsidP="00DA6116">
            <w:pPr>
              <w:jc w:val="center"/>
              <w:rPr>
                <w:rFonts w:ascii="Times" w:eastAsia="Times New Roman" w:hAnsi="Times" w:cs="Arial"/>
                <w:sz w:val="22"/>
                <w:szCs w:val="22"/>
                <w:lang w:val="es-ES" w:eastAsia="es-ES"/>
              </w:rPr>
            </w:pPr>
          </w:p>
        </w:tc>
        <w:tc>
          <w:tcPr>
            <w:tcW w:w="783" w:type="pct"/>
            <w:shd w:val="clear" w:color="auto" w:fill="auto"/>
            <w:noWrap/>
            <w:vAlign w:val="bottom"/>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205.000,00€</w:t>
            </w:r>
            <w:r w:rsidRPr="001D4D12">
              <w:rPr>
                <w:rStyle w:val="Refdenotaalpie"/>
                <w:rFonts w:ascii="Times" w:eastAsia="Times New Roman" w:hAnsi="Times" w:cs="Arial"/>
                <w:szCs w:val="22"/>
                <w:lang w:val="es-ES" w:eastAsia="es-ES"/>
              </w:rPr>
              <w:footnoteReference w:id="5"/>
            </w:r>
          </w:p>
        </w:tc>
        <w:tc>
          <w:tcPr>
            <w:tcW w:w="861" w:type="pct"/>
            <w:shd w:val="clear" w:color="auto" w:fill="auto"/>
            <w:vAlign w:val="bottom"/>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1097" w:type="pct"/>
            <w:vAlign w:val="center"/>
          </w:tcPr>
          <w:p w:rsidR="009C5400" w:rsidRPr="001D4D12" w:rsidRDefault="009C5400" w:rsidP="00DA6116">
            <w:pPr>
              <w:jc w:val="center"/>
              <w:rPr>
                <w:rFonts w:ascii="Times" w:eastAsia="Times New Roman" w:hAnsi="Times" w:cs="Arial"/>
                <w:sz w:val="22"/>
                <w:szCs w:val="22"/>
                <w:lang w:val="es-ES" w:eastAsia="es-ES"/>
              </w:rPr>
            </w:pPr>
            <w:r>
              <w:rPr>
                <w:rFonts w:ascii="Times" w:eastAsia="Times New Roman" w:hAnsi="Times" w:cs="Arial"/>
                <w:sz w:val="22"/>
                <w:szCs w:val="22"/>
                <w:lang w:val="es-ES" w:eastAsia="es-ES"/>
              </w:rPr>
              <w:t>AJ 85/17AN</w:t>
            </w:r>
          </w:p>
        </w:tc>
        <w:tc>
          <w:tcPr>
            <w:tcW w:w="1089" w:type="pct"/>
            <w:vAlign w:val="center"/>
          </w:tcPr>
          <w:p w:rsidR="009C5400" w:rsidRPr="001D4D12" w:rsidRDefault="009C5400" w:rsidP="00DA6116">
            <w:pPr>
              <w:jc w:val="center"/>
              <w:rPr>
                <w:rFonts w:ascii="Times" w:eastAsia="Times New Roman" w:hAnsi="Times" w:cs="Arial"/>
                <w:sz w:val="22"/>
                <w:szCs w:val="22"/>
                <w:lang w:val="es-ES" w:eastAsia="es-ES"/>
              </w:rPr>
            </w:pPr>
            <w:proofErr w:type="spellStart"/>
            <w:r>
              <w:rPr>
                <w:rFonts w:ascii="Times" w:eastAsia="Times New Roman" w:hAnsi="Times" w:cs="Arial"/>
                <w:sz w:val="22"/>
                <w:szCs w:val="22"/>
                <w:lang w:val="es-ES" w:eastAsia="es-ES"/>
              </w:rPr>
              <w:t>Nº</w:t>
            </w:r>
            <w:proofErr w:type="spellEnd"/>
            <w:r>
              <w:rPr>
                <w:rFonts w:ascii="Times" w:eastAsia="Times New Roman" w:hAnsi="Times" w:cs="Arial"/>
                <w:sz w:val="22"/>
                <w:szCs w:val="22"/>
                <w:lang w:val="es-ES" w:eastAsia="es-ES"/>
              </w:rPr>
              <w:t xml:space="preserve"> </w:t>
            </w:r>
            <w:r w:rsidRPr="001D4D12">
              <w:rPr>
                <w:rFonts w:ascii="Times" w:eastAsia="Times New Roman" w:hAnsi="Times" w:cs="Arial"/>
                <w:sz w:val="22"/>
                <w:szCs w:val="22"/>
                <w:lang w:val="es-ES" w:eastAsia="es-ES"/>
              </w:rPr>
              <w:t>CTO 1182</w:t>
            </w:r>
          </w:p>
        </w:tc>
      </w:tr>
      <w:tr w:rsidR="009C5400" w:rsidRPr="001D4D12" w:rsidTr="00DA6116">
        <w:trPr>
          <w:trHeight w:val="285"/>
        </w:trPr>
        <w:tc>
          <w:tcPr>
            <w:tcW w:w="776" w:type="pct"/>
            <w:vMerge w:val="restart"/>
            <w:shd w:val="clear" w:color="auto" w:fill="auto"/>
            <w:noWrap/>
            <w:vAlign w:val="center"/>
            <w:hideMark/>
          </w:tcPr>
          <w:p w:rsidR="009C5400" w:rsidRPr="009F0F2D" w:rsidRDefault="009C5400" w:rsidP="00DA6116">
            <w:pPr>
              <w:rPr>
                <w:rFonts w:ascii="Times" w:eastAsia="Times New Roman" w:hAnsi="Times" w:cs="Arial"/>
                <w:sz w:val="22"/>
                <w:szCs w:val="22"/>
                <w:lang w:val="es-ES" w:eastAsia="es-ES"/>
              </w:rPr>
            </w:pPr>
            <w:r w:rsidRPr="009F0F2D">
              <w:rPr>
                <w:rFonts w:ascii="Times" w:eastAsia="Times New Roman" w:hAnsi="Times" w:cs="Arial"/>
                <w:sz w:val="22"/>
                <w:szCs w:val="22"/>
                <w:lang w:val="es-ES" w:eastAsia="es-ES"/>
              </w:rPr>
              <w:t>Negociado sin publicidad (NS)</w:t>
            </w:r>
          </w:p>
        </w:tc>
        <w:tc>
          <w:tcPr>
            <w:tcW w:w="394" w:type="pct"/>
            <w:vMerge w:val="restart"/>
            <w:shd w:val="clear" w:color="auto" w:fill="auto"/>
            <w:noWrap/>
            <w:vAlign w:val="center"/>
            <w:hideMark/>
          </w:tcPr>
          <w:p w:rsidR="009C5400" w:rsidRPr="009F0F2D" w:rsidRDefault="009C5400" w:rsidP="00DA6116">
            <w:pPr>
              <w:jc w:val="center"/>
              <w:rPr>
                <w:rFonts w:ascii="Times" w:eastAsia="Times New Roman" w:hAnsi="Times" w:cs="Arial"/>
                <w:sz w:val="22"/>
                <w:szCs w:val="22"/>
                <w:lang w:val="es-ES" w:eastAsia="es-ES"/>
              </w:rPr>
            </w:pPr>
            <w:r>
              <w:rPr>
                <w:rFonts w:ascii="Times" w:eastAsia="Times New Roman" w:hAnsi="Times" w:cs="Arial"/>
                <w:sz w:val="22"/>
                <w:szCs w:val="22"/>
                <w:lang w:val="es-ES" w:eastAsia="es-ES"/>
              </w:rPr>
              <w:t>2</w:t>
            </w:r>
          </w:p>
        </w:tc>
        <w:tc>
          <w:tcPr>
            <w:tcW w:w="783" w:type="pct"/>
            <w:shd w:val="clear" w:color="auto" w:fill="auto"/>
            <w:noWrap/>
            <w:vAlign w:val="bottom"/>
            <w:hideMark/>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50.000 €</w:t>
            </w:r>
            <w:r w:rsidRPr="001D4D12">
              <w:rPr>
                <w:rStyle w:val="Refdenotaalpie"/>
                <w:rFonts w:ascii="Times" w:eastAsia="Times New Roman" w:hAnsi="Times" w:cs="Arial"/>
                <w:szCs w:val="22"/>
                <w:lang w:val="es-ES" w:eastAsia="es-ES"/>
              </w:rPr>
              <w:footnoteReference w:id="6"/>
            </w:r>
          </w:p>
        </w:tc>
        <w:tc>
          <w:tcPr>
            <w:tcW w:w="861" w:type="pct"/>
            <w:shd w:val="clear" w:color="auto" w:fill="auto"/>
            <w:vAlign w:val="bottom"/>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1097" w:type="pct"/>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AJ 3/17NS</w:t>
            </w:r>
          </w:p>
        </w:tc>
        <w:tc>
          <w:tcPr>
            <w:tcW w:w="1089" w:type="pct"/>
            <w:vAlign w:val="center"/>
          </w:tcPr>
          <w:p w:rsidR="009C5400" w:rsidRPr="001D4D12" w:rsidRDefault="009C5400" w:rsidP="00DA6116">
            <w:pPr>
              <w:jc w:val="center"/>
              <w:rPr>
                <w:rFonts w:ascii="Times" w:eastAsia="Times New Roman" w:hAnsi="Times" w:cs="Arial"/>
                <w:sz w:val="22"/>
                <w:szCs w:val="22"/>
                <w:lang w:val="es-ES" w:eastAsia="es-ES"/>
              </w:rPr>
            </w:pPr>
            <w:proofErr w:type="spellStart"/>
            <w:r w:rsidRPr="001D4D12">
              <w:rPr>
                <w:rFonts w:ascii="Times" w:eastAsia="Times New Roman" w:hAnsi="Times" w:cs="Arial"/>
                <w:sz w:val="22"/>
                <w:szCs w:val="22"/>
                <w:lang w:val="es-ES" w:eastAsia="es-ES"/>
              </w:rPr>
              <w:t>Nº</w:t>
            </w:r>
            <w:proofErr w:type="spellEnd"/>
            <w:r w:rsidRPr="001D4D12">
              <w:rPr>
                <w:rFonts w:ascii="Times" w:eastAsia="Times New Roman" w:hAnsi="Times" w:cs="Arial"/>
                <w:sz w:val="22"/>
                <w:szCs w:val="22"/>
                <w:lang w:val="es-ES" w:eastAsia="es-ES"/>
              </w:rPr>
              <w:t xml:space="preserve"> CTO 1125</w:t>
            </w:r>
          </w:p>
        </w:tc>
      </w:tr>
      <w:tr w:rsidR="009C5400" w:rsidRPr="001D4D12" w:rsidTr="00DA6116">
        <w:trPr>
          <w:trHeight w:val="285"/>
        </w:trPr>
        <w:tc>
          <w:tcPr>
            <w:tcW w:w="776" w:type="pct"/>
            <w:vMerge/>
            <w:shd w:val="clear" w:color="auto" w:fill="auto"/>
            <w:noWrap/>
            <w:vAlign w:val="bottom"/>
          </w:tcPr>
          <w:p w:rsidR="009C5400" w:rsidRPr="009F0F2D" w:rsidRDefault="009C5400" w:rsidP="00DA6116">
            <w:pPr>
              <w:jc w:val="both"/>
              <w:rPr>
                <w:rFonts w:ascii="Times" w:eastAsia="Times New Roman" w:hAnsi="Times" w:cs="Arial"/>
                <w:sz w:val="22"/>
                <w:szCs w:val="22"/>
                <w:lang w:val="es-ES" w:eastAsia="es-ES"/>
              </w:rPr>
            </w:pPr>
          </w:p>
        </w:tc>
        <w:tc>
          <w:tcPr>
            <w:tcW w:w="394" w:type="pct"/>
            <w:vMerge/>
            <w:shd w:val="clear" w:color="auto" w:fill="auto"/>
            <w:noWrap/>
            <w:vAlign w:val="bottom"/>
          </w:tcPr>
          <w:p w:rsidR="009C5400" w:rsidRDefault="009C5400" w:rsidP="00DA6116">
            <w:pPr>
              <w:jc w:val="center"/>
              <w:rPr>
                <w:rFonts w:ascii="Times" w:eastAsia="Times New Roman" w:hAnsi="Times" w:cs="Arial"/>
                <w:sz w:val="22"/>
                <w:szCs w:val="22"/>
                <w:lang w:val="es-ES" w:eastAsia="es-ES"/>
              </w:rPr>
            </w:pPr>
          </w:p>
        </w:tc>
        <w:tc>
          <w:tcPr>
            <w:tcW w:w="783" w:type="pct"/>
            <w:shd w:val="clear" w:color="auto" w:fill="auto"/>
            <w:noWrap/>
            <w:vAlign w:val="bottom"/>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861" w:type="pct"/>
            <w:shd w:val="clear" w:color="auto" w:fill="auto"/>
            <w:vAlign w:val="bottom"/>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50.000,00€</w:t>
            </w:r>
            <w:r w:rsidRPr="001D4D12">
              <w:rPr>
                <w:rStyle w:val="Refdenotaalpie"/>
                <w:rFonts w:ascii="Times" w:eastAsia="Times New Roman" w:hAnsi="Times" w:cs="Arial"/>
                <w:szCs w:val="22"/>
                <w:lang w:val="es-ES" w:eastAsia="es-ES"/>
              </w:rPr>
              <w:footnoteReference w:id="7"/>
            </w:r>
          </w:p>
        </w:tc>
        <w:tc>
          <w:tcPr>
            <w:tcW w:w="1097" w:type="pct"/>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AJ 6/17NS</w:t>
            </w:r>
          </w:p>
        </w:tc>
        <w:tc>
          <w:tcPr>
            <w:tcW w:w="1089" w:type="pct"/>
            <w:vAlign w:val="center"/>
          </w:tcPr>
          <w:p w:rsidR="009C5400" w:rsidRPr="001D4D12" w:rsidRDefault="009C5400" w:rsidP="00DA6116">
            <w:pPr>
              <w:jc w:val="center"/>
              <w:rPr>
                <w:rFonts w:ascii="Times" w:eastAsia="Times New Roman" w:hAnsi="Times" w:cs="Arial"/>
                <w:sz w:val="22"/>
                <w:szCs w:val="22"/>
                <w:lang w:val="es-ES" w:eastAsia="es-ES"/>
              </w:rPr>
            </w:pPr>
            <w:proofErr w:type="spellStart"/>
            <w:r>
              <w:rPr>
                <w:rFonts w:ascii="Times" w:eastAsia="Times New Roman" w:hAnsi="Times" w:cs="Arial"/>
                <w:sz w:val="22"/>
                <w:szCs w:val="22"/>
                <w:lang w:val="es-ES" w:eastAsia="es-ES"/>
              </w:rPr>
              <w:t>Nº</w:t>
            </w:r>
            <w:proofErr w:type="spellEnd"/>
            <w:r>
              <w:rPr>
                <w:rFonts w:ascii="Times" w:eastAsia="Times New Roman" w:hAnsi="Times" w:cs="Arial"/>
                <w:sz w:val="22"/>
                <w:szCs w:val="22"/>
                <w:lang w:val="es-ES" w:eastAsia="es-ES"/>
              </w:rPr>
              <w:t xml:space="preserve"> </w:t>
            </w:r>
            <w:r w:rsidRPr="001D4D12">
              <w:rPr>
                <w:rFonts w:ascii="Times" w:eastAsia="Times New Roman" w:hAnsi="Times" w:cs="Arial"/>
                <w:sz w:val="22"/>
                <w:szCs w:val="22"/>
                <w:lang w:val="es-ES" w:eastAsia="es-ES"/>
              </w:rPr>
              <w:t>CTO 1111</w:t>
            </w:r>
          </w:p>
        </w:tc>
      </w:tr>
      <w:tr w:rsidR="009C5400" w:rsidRPr="001D4D12" w:rsidTr="00DA6116">
        <w:trPr>
          <w:trHeight w:val="285"/>
        </w:trPr>
        <w:tc>
          <w:tcPr>
            <w:tcW w:w="776" w:type="pct"/>
            <w:shd w:val="clear" w:color="auto" w:fill="auto"/>
            <w:noWrap/>
            <w:vAlign w:val="bottom"/>
            <w:hideMark/>
          </w:tcPr>
          <w:p w:rsidR="009C5400" w:rsidRPr="009F0F2D" w:rsidRDefault="009C5400" w:rsidP="00DA6116">
            <w:pPr>
              <w:jc w:val="both"/>
              <w:rPr>
                <w:rFonts w:ascii="Times" w:eastAsia="Times New Roman" w:hAnsi="Times" w:cs="Arial"/>
                <w:sz w:val="22"/>
                <w:szCs w:val="22"/>
                <w:lang w:val="es-ES" w:eastAsia="es-ES"/>
              </w:rPr>
            </w:pPr>
            <w:r w:rsidRPr="009F0F2D">
              <w:rPr>
                <w:rFonts w:ascii="Times" w:eastAsia="Times New Roman" w:hAnsi="Times" w:cs="Arial"/>
                <w:sz w:val="22"/>
                <w:szCs w:val="22"/>
                <w:lang w:val="es-ES" w:eastAsia="es-ES"/>
              </w:rPr>
              <w:t>Negociado por exclusividad (NE)</w:t>
            </w:r>
          </w:p>
        </w:tc>
        <w:tc>
          <w:tcPr>
            <w:tcW w:w="394" w:type="pct"/>
            <w:shd w:val="clear" w:color="auto" w:fill="auto"/>
            <w:noWrap/>
            <w:vAlign w:val="bottom"/>
            <w:hideMark/>
          </w:tcPr>
          <w:p w:rsidR="009C5400" w:rsidRPr="009F0F2D" w:rsidRDefault="009C5400" w:rsidP="00DA6116">
            <w:pPr>
              <w:jc w:val="center"/>
              <w:rPr>
                <w:rFonts w:ascii="Times" w:eastAsia="Times New Roman" w:hAnsi="Times" w:cs="Arial"/>
                <w:sz w:val="22"/>
                <w:szCs w:val="22"/>
                <w:lang w:val="es-ES" w:eastAsia="es-ES"/>
              </w:rPr>
            </w:pPr>
            <w:r>
              <w:rPr>
                <w:rFonts w:ascii="Times" w:eastAsia="Times New Roman" w:hAnsi="Times" w:cs="Arial"/>
                <w:sz w:val="22"/>
                <w:szCs w:val="22"/>
                <w:lang w:val="es-ES" w:eastAsia="es-ES"/>
              </w:rPr>
              <w:t>0</w:t>
            </w:r>
          </w:p>
        </w:tc>
        <w:tc>
          <w:tcPr>
            <w:tcW w:w="783" w:type="pct"/>
            <w:shd w:val="clear" w:color="auto" w:fill="auto"/>
            <w:noWrap/>
            <w:vAlign w:val="center"/>
            <w:hideMark/>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861" w:type="pct"/>
            <w:shd w:val="clear" w:color="auto" w:fill="auto"/>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1097" w:type="pct"/>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1089" w:type="pct"/>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r>
      <w:tr w:rsidR="009C5400" w:rsidRPr="001D4D12" w:rsidTr="00DA6116">
        <w:trPr>
          <w:trHeight w:val="285"/>
        </w:trPr>
        <w:tc>
          <w:tcPr>
            <w:tcW w:w="776" w:type="pct"/>
            <w:shd w:val="clear" w:color="auto" w:fill="auto"/>
            <w:noWrap/>
            <w:vAlign w:val="bottom"/>
            <w:hideMark/>
          </w:tcPr>
          <w:p w:rsidR="009C5400" w:rsidRPr="009F0F2D" w:rsidRDefault="009C5400" w:rsidP="00DA6116">
            <w:pPr>
              <w:jc w:val="both"/>
              <w:rPr>
                <w:rFonts w:ascii="Times" w:eastAsia="Times New Roman" w:hAnsi="Times" w:cs="Arial"/>
                <w:sz w:val="22"/>
                <w:szCs w:val="22"/>
                <w:lang w:val="es-ES" w:eastAsia="es-ES"/>
              </w:rPr>
            </w:pPr>
            <w:r w:rsidRPr="009F0F2D">
              <w:rPr>
                <w:rFonts w:ascii="Times" w:eastAsia="Times New Roman" w:hAnsi="Times" w:cs="Arial"/>
                <w:sz w:val="22"/>
                <w:szCs w:val="22"/>
                <w:lang w:val="es-ES" w:eastAsia="es-ES"/>
              </w:rPr>
              <w:t>Contratación menor de las Instrucciones</w:t>
            </w:r>
            <w:r w:rsidRPr="009F0F2D">
              <w:rPr>
                <w:rFonts w:ascii="Times" w:eastAsia="Times New Roman" w:hAnsi="Times" w:cs="Arial"/>
                <w:sz w:val="22"/>
                <w:szCs w:val="22"/>
                <w:vertAlign w:val="superscript"/>
                <w:lang w:val="es-ES" w:eastAsia="es-ES"/>
              </w:rPr>
              <w:footnoteReference w:id="8"/>
            </w:r>
            <w:r w:rsidRPr="009F0F2D">
              <w:rPr>
                <w:rFonts w:ascii="Times" w:eastAsia="Times New Roman" w:hAnsi="Times" w:cs="Arial"/>
                <w:sz w:val="22"/>
                <w:szCs w:val="22"/>
                <w:lang w:val="es-ES" w:eastAsia="es-ES"/>
              </w:rPr>
              <w:t xml:space="preserve"> (CMI)</w:t>
            </w:r>
          </w:p>
        </w:tc>
        <w:tc>
          <w:tcPr>
            <w:tcW w:w="394" w:type="pct"/>
            <w:shd w:val="clear" w:color="auto" w:fill="auto"/>
            <w:noWrap/>
            <w:vAlign w:val="center"/>
            <w:hideMark/>
          </w:tcPr>
          <w:p w:rsidR="009C5400" w:rsidRPr="009F0F2D" w:rsidRDefault="009C5400" w:rsidP="00DA6116">
            <w:pPr>
              <w:jc w:val="center"/>
              <w:rPr>
                <w:rFonts w:ascii="Times" w:eastAsia="Times New Roman" w:hAnsi="Times" w:cs="Arial"/>
                <w:sz w:val="22"/>
                <w:szCs w:val="22"/>
                <w:lang w:val="es-ES" w:eastAsia="es-ES"/>
              </w:rPr>
            </w:pPr>
            <w:r w:rsidRPr="009F0F2D">
              <w:rPr>
                <w:rFonts w:ascii="Times" w:eastAsia="Times New Roman" w:hAnsi="Times" w:cs="Arial"/>
                <w:sz w:val="22"/>
                <w:szCs w:val="22"/>
                <w:lang w:val="es-ES" w:eastAsia="es-ES"/>
              </w:rPr>
              <w:t>1</w:t>
            </w:r>
          </w:p>
        </w:tc>
        <w:tc>
          <w:tcPr>
            <w:tcW w:w="783" w:type="pct"/>
            <w:shd w:val="clear" w:color="auto" w:fill="auto"/>
            <w:noWrap/>
            <w:vAlign w:val="center"/>
            <w:hideMark/>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46.100,00 €</w:t>
            </w:r>
          </w:p>
        </w:tc>
        <w:tc>
          <w:tcPr>
            <w:tcW w:w="861" w:type="pct"/>
            <w:shd w:val="clear" w:color="auto" w:fill="auto"/>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c>
          <w:tcPr>
            <w:tcW w:w="1097" w:type="pct"/>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AJ 42/17CMIP</w:t>
            </w:r>
          </w:p>
        </w:tc>
        <w:tc>
          <w:tcPr>
            <w:tcW w:w="1089" w:type="pct"/>
            <w:vAlign w:val="center"/>
          </w:tcPr>
          <w:p w:rsidR="009C5400" w:rsidRPr="001D4D12" w:rsidRDefault="009C5400" w:rsidP="00DA6116">
            <w:pPr>
              <w:jc w:val="center"/>
              <w:rPr>
                <w:rFonts w:ascii="Times" w:eastAsia="Times New Roman" w:hAnsi="Times" w:cs="Arial"/>
                <w:sz w:val="22"/>
                <w:szCs w:val="22"/>
                <w:lang w:val="es-ES" w:eastAsia="es-ES"/>
              </w:rPr>
            </w:pPr>
            <w:r w:rsidRPr="001D4D12">
              <w:rPr>
                <w:rFonts w:ascii="Times" w:eastAsia="Times New Roman" w:hAnsi="Times" w:cs="Arial"/>
                <w:sz w:val="22"/>
                <w:szCs w:val="22"/>
                <w:lang w:val="es-ES" w:eastAsia="es-ES"/>
              </w:rPr>
              <w:t>-</w:t>
            </w:r>
          </w:p>
        </w:tc>
      </w:tr>
      <w:tr w:rsidR="009C5400" w:rsidRPr="00EF1D22" w:rsidTr="00DA6116">
        <w:trPr>
          <w:trHeight w:val="285"/>
        </w:trPr>
        <w:tc>
          <w:tcPr>
            <w:tcW w:w="776" w:type="pct"/>
            <w:shd w:val="clear" w:color="auto" w:fill="auto"/>
            <w:noWrap/>
            <w:vAlign w:val="bottom"/>
            <w:hideMark/>
          </w:tcPr>
          <w:p w:rsidR="009C5400" w:rsidRPr="00045C7B" w:rsidRDefault="009C5400" w:rsidP="00DA6116">
            <w:pPr>
              <w:jc w:val="both"/>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Contratación menor (CM)</w:t>
            </w:r>
            <w:r w:rsidRPr="00045C7B">
              <w:rPr>
                <w:rFonts w:ascii="Times" w:eastAsia="Times New Roman" w:hAnsi="Times" w:cs="Arial"/>
                <w:sz w:val="22"/>
                <w:szCs w:val="22"/>
                <w:vertAlign w:val="superscript"/>
                <w:lang w:val="es-ES" w:eastAsia="es-ES"/>
              </w:rPr>
              <w:footnoteReference w:id="9"/>
            </w:r>
          </w:p>
        </w:tc>
        <w:tc>
          <w:tcPr>
            <w:tcW w:w="394" w:type="pct"/>
            <w:shd w:val="clear" w:color="auto" w:fill="auto"/>
            <w:noWrap/>
            <w:vAlign w:val="bottom"/>
            <w:hideMark/>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23</w:t>
            </w:r>
          </w:p>
        </w:tc>
        <w:tc>
          <w:tcPr>
            <w:tcW w:w="783" w:type="pct"/>
            <w:shd w:val="clear" w:color="auto" w:fill="auto"/>
            <w:noWrap/>
            <w:vAlign w:val="center"/>
            <w:hideMark/>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w:t>
            </w:r>
          </w:p>
        </w:tc>
        <w:tc>
          <w:tcPr>
            <w:tcW w:w="861" w:type="pct"/>
            <w:shd w:val="clear" w:color="auto" w:fill="auto"/>
            <w:vAlign w:val="bottom"/>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53.379,00 €</w:t>
            </w:r>
          </w:p>
        </w:tc>
        <w:tc>
          <w:tcPr>
            <w:tcW w:w="1097" w:type="pct"/>
            <w:vAlign w:val="center"/>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w:t>
            </w:r>
          </w:p>
        </w:tc>
        <w:tc>
          <w:tcPr>
            <w:tcW w:w="1089" w:type="pct"/>
            <w:vAlign w:val="center"/>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w:t>
            </w:r>
          </w:p>
        </w:tc>
      </w:tr>
      <w:tr w:rsidR="009C5400" w:rsidRPr="009F0F2D" w:rsidTr="00DA6116">
        <w:trPr>
          <w:trHeight w:val="285"/>
        </w:trPr>
        <w:tc>
          <w:tcPr>
            <w:tcW w:w="776" w:type="pct"/>
            <w:shd w:val="clear" w:color="auto" w:fill="auto"/>
            <w:noWrap/>
            <w:vAlign w:val="bottom"/>
          </w:tcPr>
          <w:p w:rsidR="009C5400" w:rsidRPr="00045C7B" w:rsidRDefault="009C5400" w:rsidP="00DA6116">
            <w:pPr>
              <w:jc w:val="both"/>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Contratación menor (CM)</w:t>
            </w:r>
            <w:r w:rsidRPr="00045C7B">
              <w:rPr>
                <w:rStyle w:val="Refdenotaalpie"/>
                <w:rFonts w:ascii="Times" w:eastAsia="Times New Roman" w:hAnsi="Times" w:cs="Arial"/>
                <w:sz w:val="22"/>
                <w:szCs w:val="22"/>
                <w:lang w:val="es-ES" w:eastAsia="es-ES"/>
              </w:rPr>
              <w:footnoteReference w:id="10"/>
            </w:r>
          </w:p>
        </w:tc>
        <w:tc>
          <w:tcPr>
            <w:tcW w:w="394" w:type="pct"/>
            <w:shd w:val="clear" w:color="auto" w:fill="auto"/>
            <w:noWrap/>
            <w:vAlign w:val="bottom"/>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533</w:t>
            </w:r>
          </w:p>
        </w:tc>
        <w:tc>
          <w:tcPr>
            <w:tcW w:w="783" w:type="pct"/>
            <w:shd w:val="clear" w:color="auto" w:fill="auto"/>
            <w:noWrap/>
            <w:vAlign w:val="center"/>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w:t>
            </w:r>
          </w:p>
        </w:tc>
        <w:tc>
          <w:tcPr>
            <w:tcW w:w="861" w:type="pct"/>
            <w:shd w:val="clear" w:color="auto" w:fill="auto"/>
            <w:vAlign w:val="bottom"/>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1.665.253,65 €</w:t>
            </w:r>
          </w:p>
        </w:tc>
        <w:tc>
          <w:tcPr>
            <w:tcW w:w="1097" w:type="pct"/>
            <w:vAlign w:val="center"/>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w:t>
            </w:r>
          </w:p>
        </w:tc>
        <w:tc>
          <w:tcPr>
            <w:tcW w:w="1089" w:type="pct"/>
            <w:vAlign w:val="center"/>
          </w:tcPr>
          <w:p w:rsidR="009C5400" w:rsidRPr="00045C7B" w:rsidRDefault="009C5400" w:rsidP="00DA6116">
            <w:pPr>
              <w:jc w:val="center"/>
              <w:rPr>
                <w:rFonts w:ascii="Times" w:eastAsia="Times New Roman" w:hAnsi="Times" w:cs="Arial"/>
                <w:sz w:val="22"/>
                <w:szCs w:val="22"/>
                <w:lang w:val="es-ES" w:eastAsia="es-ES"/>
              </w:rPr>
            </w:pPr>
            <w:r w:rsidRPr="00045C7B">
              <w:rPr>
                <w:rFonts w:ascii="Times" w:eastAsia="Times New Roman" w:hAnsi="Times" w:cs="Arial"/>
                <w:sz w:val="22"/>
                <w:szCs w:val="22"/>
                <w:lang w:val="es-ES" w:eastAsia="es-ES"/>
              </w:rPr>
              <w:t>-</w:t>
            </w:r>
          </w:p>
        </w:tc>
      </w:tr>
    </w:tbl>
    <w:p w:rsidR="009C5400" w:rsidRDefault="009C5400" w:rsidP="009C5400">
      <w:pPr>
        <w:rPr>
          <w:rFonts w:ascii="Times" w:eastAsia="Times" w:hAnsi="Times" w:cs="Arial"/>
          <w:szCs w:val="20"/>
          <w:lang w:eastAsia="es-ES"/>
        </w:rPr>
      </w:pPr>
      <w:r>
        <w:rPr>
          <w:rFonts w:ascii="Times" w:eastAsia="Times" w:hAnsi="Times" w:cs="Arial"/>
          <w:szCs w:val="20"/>
          <w:lang w:eastAsia="es-ES"/>
        </w:rPr>
        <w:br w:type="page"/>
      </w:r>
    </w:p>
    <w:p w:rsidR="009C5400" w:rsidRPr="009F0F2D" w:rsidRDefault="009C5400" w:rsidP="009C5400">
      <w:pPr>
        <w:jc w:val="both"/>
        <w:rPr>
          <w:rFonts w:ascii="Times" w:eastAsia="Times" w:hAnsi="Times" w:cs="Arial"/>
          <w:szCs w:val="20"/>
          <w:lang w:eastAsia="es-ES"/>
        </w:rPr>
      </w:pPr>
    </w:p>
    <w:p w:rsidR="009C5400" w:rsidRPr="009F0F2D" w:rsidRDefault="009C5400" w:rsidP="009C5400">
      <w:pPr>
        <w:jc w:val="both"/>
        <w:rPr>
          <w:rFonts w:ascii="Times" w:eastAsia="Times" w:hAnsi="Times" w:cs="Arial"/>
          <w:sz w:val="20"/>
          <w:szCs w:val="20"/>
          <w:lang w:eastAsia="es-ES"/>
        </w:rPr>
      </w:pPr>
    </w:p>
    <w:p w:rsidR="009C5400" w:rsidRPr="009F0F2D" w:rsidRDefault="009C5400" w:rsidP="009C5400">
      <w:pPr>
        <w:jc w:val="both"/>
        <w:rPr>
          <w:rFonts w:ascii="Times" w:eastAsia="Times" w:hAnsi="Times" w:cs="Arial"/>
          <w:sz w:val="28"/>
          <w:szCs w:val="28"/>
          <w:lang w:eastAsia="es-ES"/>
        </w:rPr>
      </w:pPr>
      <w:r w:rsidRPr="009F0F2D">
        <w:rPr>
          <w:rFonts w:ascii="Times" w:eastAsia="Times" w:hAnsi="Times" w:cs="Arial"/>
          <w:sz w:val="28"/>
          <w:szCs w:val="28"/>
          <w:lang w:eastAsia="es-ES"/>
        </w:rPr>
        <w:t>En dichas contrataciones se han seguido los siguientes procedimientos:</w:t>
      </w:r>
    </w:p>
    <w:p w:rsidR="009C5400" w:rsidRPr="009F0F2D" w:rsidRDefault="009C5400" w:rsidP="009C5400">
      <w:pPr>
        <w:jc w:val="both"/>
        <w:rPr>
          <w:rFonts w:ascii="Times" w:eastAsia="Times" w:hAnsi="Times" w:cs="Arial"/>
          <w:sz w:val="28"/>
          <w:szCs w:val="28"/>
          <w:lang w:eastAsia="es-ES"/>
        </w:rPr>
      </w:pPr>
    </w:p>
    <w:p w:rsidR="009C5400" w:rsidRPr="009F0F2D" w:rsidRDefault="009C5400" w:rsidP="009C5400">
      <w:pPr>
        <w:numPr>
          <w:ilvl w:val="0"/>
          <w:numId w:val="31"/>
        </w:numPr>
        <w:ind w:left="502"/>
        <w:contextualSpacing/>
        <w:jc w:val="both"/>
        <w:rPr>
          <w:rFonts w:ascii="Times" w:eastAsia="Times" w:hAnsi="Times" w:cs="Arial"/>
          <w:sz w:val="28"/>
          <w:szCs w:val="28"/>
          <w:lang w:eastAsia="es-ES"/>
        </w:rPr>
      </w:pPr>
      <w:r w:rsidRPr="009F0F2D">
        <w:rPr>
          <w:rFonts w:ascii="Times" w:eastAsia="Times" w:hAnsi="Times" w:cs="Arial"/>
          <w:sz w:val="28"/>
          <w:szCs w:val="28"/>
          <w:lang w:eastAsia="es-ES"/>
        </w:rPr>
        <w:t xml:space="preserve">El procedimiento de adjudicación </w:t>
      </w:r>
      <w:r w:rsidRPr="009F0F2D">
        <w:rPr>
          <w:rFonts w:ascii="Times" w:eastAsia="Times" w:hAnsi="Times" w:cs="Arial"/>
          <w:sz w:val="28"/>
          <w:szCs w:val="28"/>
          <w:u w:val="single"/>
          <w:lang w:eastAsia="es-ES"/>
        </w:rPr>
        <w:t>negociado sin publicidad (NS)</w:t>
      </w:r>
      <w:r w:rsidRPr="009F0F2D">
        <w:rPr>
          <w:rFonts w:ascii="Times" w:eastAsia="Times" w:hAnsi="Times" w:cs="Arial"/>
          <w:sz w:val="28"/>
          <w:szCs w:val="28"/>
          <w:lang w:eastAsia="es-ES"/>
        </w:rPr>
        <w:t xml:space="preserve"> se ha aplicado a aquellos contratos que no superen los 60.000,00 € conforme a lo establecido en el TRLCSP (Art. 173 f), 174 e) y 177).</w:t>
      </w:r>
    </w:p>
    <w:p w:rsidR="009C5400" w:rsidRPr="009F0F2D" w:rsidRDefault="009C5400" w:rsidP="009C5400">
      <w:pPr>
        <w:contextualSpacing/>
        <w:jc w:val="both"/>
        <w:rPr>
          <w:rFonts w:ascii="Times" w:eastAsia="Times" w:hAnsi="Times" w:cs="Arial"/>
          <w:sz w:val="28"/>
          <w:szCs w:val="28"/>
          <w:lang w:eastAsia="es-ES"/>
        </w:rPr>
      </w:pPr>
    </w:p>
    <w:p w:rsidR="009C5400" w:rsidRPr="009F0F2D" w:rsidRDefault="009C5400" w:rsidP="009C5400">
      <w:pPr>
        <w:numPr>
          <w:ilvl w:val="0"/>
          <w:numId w:val="31"/>
        </w:numPr>
        <w:ind w:left="502"/>
        <w:contextualSpacing/>
        <w:jc w:val="both"/>
        <w:rPr>
          <w:rFonts w:ascii="Times" w:eastAsia="Times" w:hAnsi="Times" w:cs="Arial"/>
          <w:sz w:val="28"/>
          <w:szCs w:val="28"/>
          <w:lang w:eastAsia="es-ES"/>
        </w:rPr>
      </w:pPr>
      <w:r w:rsidRPr="009F0F2D">
        <w:rPr>
          <w:rFonts w:ascii="Times" w:eastAsia="Times" w:hAnsi="Times" w:cs="Arial"/>
          <w:sz w:val="28"/>
          <w:szCs w:val="28"/>
          <w:lang w:eastAsia="es-ES"/>
        </w:rPr>
        <w:t xml:space="preserve">Se ha aplicado el procedimiento de contratación </w:t>
      </w:r>
      <w:r w:rsidRPr="009F0F2D">
        <w:rPr>
          <w:rFonts w:ascii="Times" w:eastAsia="Times" w:hAnsi="Times" w:cs="Arial"/>
          <w:sz w:val="28"/>
          <w:szCs w:val="28"/>
          <w:u w:val="single"/>
          <w:lang w:eastAsia="es-ES"/>
        </w:rPr>
        <w:t xml:space="preserve">menor </w:t>
      </w:r>
      <w:r w:rsidRPr="009F0F2D">
        <w:rPr>
          <w:rFonts w:ascii="Times" w:eastAsia="Times" w:hAnsi="Times" w:cs="Arial"/>
          <w:sz w:val="28"/>
          <w:szCs w:val="28"/>
          <w:lang w:eastAsia="es-ES"/>
        </w:rPr>
        <w:t xml:space="preserve">conforme a las </w:t>
      </w:r>
      <w:r w:rsidRPr="009F0F2D">
        <w:rPr>
          <w:rFonts w:ascii="Times" w:eastAsia="Times" w:hAnsi="Times" w:cs="Arial"/>
          <w:i/>
          <w:sz w:val="28"/>
          <w:szCs w:val="28"/>
          <w:lang w:eastAsia="es-ES"/>
        </w:rPr>
        <w:t>Instrucciones Internas de Contratación aprobadas el 30 de julio de 2009</w:t>
      </w:r>
      <w:r w:rsidRPr="009F0F2D">
        <w:rPr>
          <w:rFonts w:ascii="Times" w:eastAsia="Times" w:hAnsi="Times" w:cs="Arial"/>
          <w:sz w:val="28"/>
          <w:szCs w:val="28"/>
          <w:lang w:eastAsia="es-ES"/>
        </w:rPr>
        <w:t xml:space="preserve"> (CMI) en aquellos casos en los que los importes de los contratos no superen los 50.000,00€. </w:t>
      </w:r>
    </w:p>
    <w:p w:rsidR="009C5400" w:rsidRPr="009F0F2D" w:rsidRDefault="009C5400" w:rsidP="009C5400">
      <w:pPr>
        <w:contextualSpacing/>
        <w:jc w:val="both"/>
        <w:rPr>
          <w:rFonts w:ascii="Times" w:eastAsia="Times" w:hAnsi="Times" w:cs="Arial"/>
          <w:sz w:val="28"/>
          <w:szCs w:val="28"/>
          <w:lang w:eastAsia="es-ES"/>
        </w:rPr>
      </w:pPr>
    </w:p>
    <w:p w:rsidR="009C5400" w:rsidRPr="009F0F2D" w:rsidRDefault="009C5400" w:rsidP="009C5400">
      <w:pPr>
        <w:numPr>
          <w:ilvl w:val="0"/>
          <w:numId w:val="31"/>
        </w:numPr>
        <w:tabs>
          <w:tab w:val="right" w:pos="-5940"/>
        </w:tabs>
        <w:ind w:left="502" w:right="44"/>
        <w:contextualSpacing/>
        <w:jc w:val="both"/>
        <w:rPr>
          <w:rFonts w:ascii="Times" w:eastAsia="Times" w:hAnsi="Times" w:cs="Times New Roman"/>
          <w:sz w:val="28"/>
          <w:szCs w:val="28"/>
          <w:lang w:val="es-ES" w:eastAsia="es-ES"/>
        </w:rPr>
      </w:pPr>
      <w:r w:rsidRPr="009F0F2D">
        <w:rPr>
          <w:rFonts w:ascii="Times" w:eastAsia="Times" w:hAnsi="Times" w:cs="Arial"/>
          <w:sz w:val="28"/>
          <w:szCs w:val="28"/>
          <w:lang w:eastAsia="es-ES"/>
        </w:rPr>
        <w:t xml:space="preserve">Se ha aplicado el procedimiento de </w:t>
      </w:r>
      <w:r w:rsidRPr="009F0F2D">
        <w:rPr>
          <w:rFonts w:ascii="Times" w:eastAsia="Times" w:hAnsi="Times" w:cs="Arial"/>
          <w:sz w:val="28"/>
          <w:szCs w:val="28"/>
          <w:u w:val="single"/>
          <w:lang w:eastAsia="es-ES"/>
        </w:rPr>
        <w:t>contratación menor (CM)</w:t>
      </w:r>
      <w:r w:rsidRPr="009F0F2D">
        <w:rPr>
          <w:rFonts w:ascii="Times" w:eastAsia="Times" w:hAnsi="Times" w:cs="Arial"/>
          <w:sz w:val="28"/>
          <w:szCs w:val="28"/>
          <w:lang w:eastAsia="es-ES"/>
        </w:rPr>
        <w:t xml:space="preserve"> en aquellos casos en los que el importe de los contratos no supere los 17.999,00 € según lo previsto en el artículo 138.3 TRLCSP.</w:t>
      </w:r>
    </w:p>
    <w:p w:rsidR="009C5400" w:rsidRPr="009F0F2D" w:rsidRDefault="009C5400" w:rsidP="009C5400">
      <w:pPr>
        <w:tabs>
          <w:tab w:val="right" w:pos="-5940"/>
        </w:tabs>
        <w:ind w:right="44"/>
        <w:jc w:val="both"/>
        <w:rPr>
          <w:rFonts w:ascii="Times" w:eastAsia="Times" w:hAnsi="Times" w:cs="Times New Roman"/>
          <w:sz w:val="28"/>
          <w:szCs w:val="28"/>
          <w:lang w:val="es-ES" w:eastAsia="es-ES"/>
        </w:rPr>
      </w:pPr>
    </w:p>
    <w:p w:rsidR="009C5400" w:rsidRPr="009C5400" w:rsidRDefault="009C5400" w:rsidP="002419A9">
      <w:pPr>
        <w:rPr>
          <w:rFonts w:ascii="Times" w:eastAsia="Times" w:hAnsi="Times" w:cs="Times New Roman"/>
          <w:sz w:val="28"/>
          <w:szCs w:val="28"/>
          <w:lang w:val="es-ES"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D) Información sobre garantías recibidas</w:t>
      </w:r>
      <w:r w:rsidRPr="002419A9">
        <w:rPr>
          <w:rFonts w:ascii="Times" w:eastAsia="Times" w:hAnsi="Times" w:cs="Times New Roman"/>
          <w:b/>
          <w:sz w:val="28"/>
          <w:szCs w:val="28"/>
          <w:lang w:eastAsia="es-ES"/>
        </w:rPr>
        <w:tab/>
        <w:t xml:space="preserve"> (Anexo IV)</w:t>
      </w:r>
    </w:p>
    <w:p w:rsidR="002419A9" w:rsidRPr="002419A9" w:rsidRDefault="002419A9" w:rsidP="002419A9">
      <w:pPr>
        <w:tabs>
          <w:tab w:val="right" w:pos="-5940"/>
        </w:tabs>
        <w:ind w:right="44"/>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sz w:val="28"/>
          <w:szCs w:val="28"/>
          <w:lang w:eastAsia="es-ES"/>
        </w:rPr>
      </w:pPr>
      <w:r w:rsidRPr="002419A9">
        <w:rPr>
          <w:rFonts w:ascii="Times" w:eastAsia="Times" w:hAnsi="Times" w:cs="Times New Roman"/>
          <w:sz w:val="28"/>
          <w:szCs w:val="28"/>
          <w:lang w:eastAsia="es-ES"/>
        </w:rPr>
        <w:t>Esta información viene reflejada en el Anexo IV.</w:t>
      </w:r>
    </w:p>
    <w:p w:rsidR="002419A9" w:rsidRPr="002419A9" w:rsidRDefault="002419A9" w:rsidP="002419A9">
      <w:pPr>
        <w:tabs>
          <w:tab w:val="right" w:pos="-5940"/>
        </w:tabs>
        <w:ind w:right="44"/>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E) Información sobre personal (Anexo V)</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New Roman" w:eastAsia="Times New Roman" w:hAnsi="Times New Roman" w:cs="Times New Roman"/>
          <w:sz w:val="28"/>
          <w:szCs w:val="28"/>
          <w:highlight w:val="yellow"/>
          <w:lang w:eastAsia="es-ES_tradnl"/>
        </w:rPr>
      </w:pPr>
      <w:r w:rsidRPr="002419A9">
        <w:rPr>
          <w:rFonts w:ascii="Times New Roman" w:eastAsia="Times New Roman" w:hAnsi="Times New Roman" w:cs="Times New Roman"/>
          <w:sz w:val="28"/>
          <w:szCs w:val="28"/>
          <w:lang w:eastAsia="es-ES_tradnl"/>
        </w:rPr>
        <w:t>A 31 de diciembre de 2017, la plantilla de la empresa era de 44 personas, por lo que se trata del mismo número de efectivos previsto en el PAIF.</w:t>
      </w:r>
    </w:p>
    <w:p w:rsidR="002419A9" w:rsidRPr="002419A9" w:rsidRDefault="002419A9" w:rsidP="002419A9">
      <w:pPr>
        <w:tabs>
          <w:tab w:val="right" w:pos="-5940"/>
        </w:tabs>
        <w:ind w:right="44"/>
        <w:jc w:val="both"/>
        <w:rPr>
          <w:rFonts w:ascii="Times New Roman" w:eastAsia="Times New Roman" w:hAnsi="Times New Roman" w:cs="Times New Roman"/>
          <w:sz w:val="28"/>
          <w:szCs w:val="28"/>
          <w:highlight w:val="yellow"/>
          <w:lang w:eastAsia="es-ES_tradnl"/>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El Gasto de Sueldos y Salarios y Seguridad Social es inferior al previsto en el PAIF debido a dos trabajadores temporales que se contrataron el 1 de noviembre, para la ejecución de la encomienda recibida el 19 de septiembre para el sistema de información turística sobre perfiles de turistas, y no desde principio de año como estaba previsto. Por otro lado, también se produce una reducción por un trabajador fijo que estuvo 4 meses de excedencia y por algunas bajas temporales por IT durante el año.</w:t>
      </w:r>
    </w:p>
    <w:p w:rsidR="002419A9" w:rsidRPr="002419A9" w:rsidRDefault="002419A9" w:rsidP="002419A9">
      <w:pPr>
        <w:tabs>
          <w:tab w:val="right" w:pos="-5940"/>
        </w:tabs>
        <w:ind w:right="44"/>
        <w:jc w:val="both"/>
        <w:rPr>
          <w:rFonts w:ascii="Times New Roman" w:eastAsia="Times New Roman" w:hAnsi="Times New Roman" w:cs="Times New Roman"/>
          <w:sz w:val="28"/>
          <w:szCs w:val="28"/>
          <w:lang w:eastAsia="es-ES_tradnl"/>
        </w:rPr>
      </w:pPr>
    </w:p>
    <w:p w:rsidR="002419A9" w:rsidRPr="002419A9" w:rsidRDefault="002419A9" w:rsidP="002419A9">
      <w:pPr>
        <w:tabs>
          <w:tab w:val="right" w:pos="-5940"/>
        </w:tabs>
        <w:ind w:right="44"/>
        <w:jc w:val="both"/>
        <w:rPr>
          <w:rFonts w:ascii="Times New Roman" w:eastAsia="Times New Roman" w:hAnsi="Times New Roman" w:cs="Times New Roman"/>
          <w:sz w:val="28"/>
          <w:szCs w:val="28"/>
          <w:lang w:val="es-ES" w:eastAsia="es-ES_tradnl"/>
        </w:rPr>
      </w:pPr>
      <w:r w:rsidRPr="002419A9">
        <w:rPr>
          <w:rFonts w:ascii="Times New Roman" w:eastAsia="Times New Roman" w:hAnsi="Times New Roman" w:cs="Times New Roman"/>
          <w:sz w:val="28"/>
          <w:szCs w:val="28"/>
          <w:lang w:val="es-ES" w:eastAsia="es-ES_tradnl"/>
        </w:rPr>
        <w:t>Como resultado de lo anterior, los Gastos de Personal fueron inferiores a los previstos.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lastRenderedPageBreak/>
        <w:t>F) Información sobre los ingresos por ventas y/o prestación de servicios de la entidad (Anexo VI)</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autoSpaceDE w:val="0"/>
        <w:autoSpaceDN w:val="0"/>
        <w:adjustRightInd w:val="0"/>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La cifra de negocios de la empresa se compone de Prestaciones de Servicio a la Comunidad Autónoma, por dos encomiendas de la Consejería de Turismo, Cultura y Deportes. Una es para “El desarrollo de la fase evolutiva del ecosistema promocional </w:t>
      </w:r>
      <w:proofErr w:type="spellStart"/>
      <w:r w:rsidRPr="002419A9">
        <w:rPr>
          <w:rFonts w:ascii="Times" w:eastAsia="Times" w:hAnsi="Times" w:cs="Times New Roman"/>
          <w:sz w:val="28"/>
          <w:szCs w:val="28"/>
          <w:lang w:eastAsia="es-ES"/>
        </w:rPr>
        <w:t>on</w:t>
      </w:r>
      <w:proofErr w:type="spellEnd"/>
      <w:r w:rsidRPr="002419A9">
        <w:rPr>
          <w:rFonts w:ascii="Times" w:eastAsia="Times" w:hAnsi="Times" w:cs="Times New Roman"/>
          <w:sz w:val="28"/>
          <w:szCs w:val="28"/>
          <w:lang w:eastAsia="es-ES"/>
        </w:rPr>
        <w:t xml:space="preserve"> line del destino turístico islas canarias para el seguimiento y control de su funcionamiento y consultoría para permitir su evolución” por importe de 40.434 euros y otra es para “El servicio consistente en la fase de inicio y puesta en marcha de un sistema de información turística sobre los diferentes perfiles de turistas que visitan las Islas Canarias” por importe de 12.500 euros.</w:t>
      </w:r>
    </w:p>
    <w:p w:rsidR="002419A9" w:rsidRPr="002419A9" w:rsidRDefault="002419A9" w:rsidP="002419A9">
      <w:pPr>
        <w:autoSpaceDE w:val="0"/>
        <w:autoSpaceDN w:val="0"/>
        <w:adjustRightInd w:val="0"/>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G) Información sobre las operaciones financieras (Anexo VII)</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empresa no tiene operaciones financieras con entidades bancarias, a excepción de la utilización de tarjeta visa, que se usa para algunos pagos de escasa cuantía, sobre todo en ferias fuera de España, donde nos exigen este medio de pago para reservar estancias en hoteles, etc.</w:t>
      </w: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H) Información sobre el Plan económico-financiero de saneamiento a medio plazo como consecuencia de situaciones de desequilibrio presupuestario (Anexo VIII)</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Tal como figura en el Anexo VIII, la empresa no tiene obligación de presentar plan económico financiero de saneamiento a medio plazo porque no ha obtenido pérdidas.</w:t>
      </w:r>
    </w:p>
    <w:p w:rsidR="002419A9" w:rsidRPr="002419A9" w:rsidRDefault="002419A9" w:rsidP="002419A9">
      <w:pPr>
        <w:tabs>
          <w:tab w:val="right" w:pos="-5940"/>
        </w:tabs>
        <w:ind w:right="44"/>
        <w:jc w:val="both"/>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b/>
          <w:sz w:val="28"/>
          <w:szCs w:val="28"/>
          <w:lang w:eastAsia="es-ES"/>
        </w:rPr>
        <w:t>I) Proyección al cierre del ejercicio siguiente</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previsión del resultado de las principales magnitudes al cierre del ejercicio 2018 son las siguientes: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Resultado contable:                                  - 2.165.867,00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Resultado ajustado:                                                   0,00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Tesorería:                                                        178.596,02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Gastos de personal:                                      2.008.490,60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Ingresos de la CAC (prestación de servicios):  90.434,00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Resto de ingresos (prestación de servicios):              0,00 euros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 xml:space="preserve">J) Información sobre objetivos e indicadores de gestión </w:t>
      </w: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(Anexo IX)</w:t>
      </w:r>
    </w:p>
    <w:p w:rsidR="002419A9" w:rsidRPr="002419A9" w:rsidRDefault="002419A9" w:rsidP="002419A9">
      <w:pPr>
        <w:tabs>
          <w:tab w:val="right" w:pos="-5940"/>
        </w:tabs>
        <w:ind w:right="44"/>
        <w:jc w:val="both"/>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Los objetivos e indicadores de gestión que ha establecido la empresa son los que figuran en el Anexo IX. </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Se adjunta Plan estratégico de la empresa en documento adjunto, cuyo periodo de vigencia alcanza el ejercicio 2017 en virtud de la prórroga aprobada por el Consejo de Administración el 30 de marzo de 2017.</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ind w:right="-7"/>
        <w:jc w:val="both"/>
        <w:rPr>
          <w:rFonts w:ascii="Times" w:eastAsia="Times" w:hAnsi="Times" w:cs="Times New Roman"/>
          <w:szCs w:val="20"/>
          <w:lang w:eastAsia="es-ES"/>
        </w:rPr>
      </w:pPr>
    </w:p>
    <w:p w:rsidR="00813C69" w:rsidRDefault="00813C69" w:rsidP="009A4A35">
      <w:pPr>
        <w:ind w:right="-7"/>
        <w:jc w:val="both"/>
      </w:pPr>
    </w:p>
    <w:p w:rsidR="00813C69" w:rsidRDefault="00813C69" w:rsidP="009A4A35">
      <w:pPr>
        <w:ind w:right="-7"/>
        <w:jc w:val="both"/>
      </w:pPr>
    </w:p>
    <w:p w:rsidR="00813C69" w:rsidRDefault="00813C69" w:rsidP="009A4A35">
      <w:pPr>
        <w:ind w:right="-7"/>
        <w:jc w:val="both"/>
      </w:pPr>
    </w:p>
    <w:p w:rsidR="00813C69" w:rsidRDefault="00813C69" w:rsidP="009A4A35">
      <w:pPr>
        <w:ind w:right="-7"/>
        <w:jc w:val="both"/>
      </w:pPr>
    </w:p>
    <w:p w:rsidR="00813C69" w:rsidRDefault="00813C69" w:rsidP="009A4A35">
      <w:pPr>
        <w:ind w:right="-7"/>
        <w:jc w:val="both"/>
      </w:pPr>
    </w:p>
    <w:p w:rsidR="009A4A35" w:rsidRDefault="009A4A35" w:rsidP="009A4A35">
      <w:pPr>
        <w:ind w:right="-7"/>
        <w:jc w:val="both"/>
      </w:pPr>
    </w:p>
    <w:sectPr w:rsidR="009A4A35" w:rsidSect="00DC4B4F">
      <w:headerReference w:type="default" r:id="rId8"/>
      <w:footerReference w:type="default" r:id="rId9"/>
      <w:headerReference w:type="first" r:id="rId10"/>
      <w:footerReference w:type="first" r:id="rId11"/>
      <w:pgSz w:w="11900" w:h="16840"/>
      <w:pgMar w:top="2552" w:right="1134" w:bottom="1701"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9A9" w:rsidRDefault="002419A9" w:rsidP="007804E8">
      <w:r>
        <w:separator/>
      </w:r>
    </w:p>
  </w:endnote>
  <w:endnote w:type="continuationSeparator" w:id="0">
    <w:p w:rsidR="002419A9" w:rsidRDefault="002419A9" w:rsidP="0078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89647"/>
      <w:docPartObj>
        <w:docPartGallery w:val="Page Numbers (Bottom of Page)"/>
        <w:docPartUnique/>
      </w:docPartObj>
    </w:sdtPr>
    <w:sdtEndPr/>
    <w:sdtContent>
      <w:p w:rsidR="002419A9" w:rsidRDefault="002419A9">
        <w:pPr>
          <w:pStyle w:val="Piedepgina"/>
          <w:jc w:val="right"/>
        </w:pPr>
        <w:r>
          <w:fldChar w:fldCharType="begin"/>
        </w:r>
        <w:r>
          <w:instrText>PAGE   \* MERGEFORMAT</w:instrText>
        </w:r>
        <w:r>
          <w:fldChar w:fldCharType="separate"/>
        </w:r>
        <w:r w:rsidR="007F0659" w:rsidRPr="007F0659">
          <w:rPr>
            <w:noProof/>
            <w:lang w:val="es-ES"/>
          </w:rPr>
          <w:t>11</w:t>
        </w:r>
        <w:r>
          <w:fldChar w:fldCharType="end"/>
        </w:r>
      </w:p>
    </w:sdtContent>
  </w:sdt>
  <w:p w:rsidR="002419A9" w:rsidRDefault="002419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4E8" w:rsidRPr="007804E8" w:rsidRDefault="003D3F6E" w:rsidP="007804E8">
    <w:pPr>
      <w:pStyle w:val="Piedepgina"/>
    </w:pPr>
    <w:r>
      <w:rPr>
        <w:noProof/>
      </w:rPr>
      <w:drawing>
        <wp:anchor distT="0" distB="0" distL="114300" distR="114300" simplePos="0" relativeHeight="251663360" behindDoc="1" locked="0" layoutInCell="1" allowOverlap="1">
          <wp:simplePos x="0" y="0"/>
          <wp:positionH relativeFrom="column">
            <wp:posOffset>-775335</wp:posOffset>
          </wp:positionH>
          <wp:positionV relativeFrom="paragraph">
            <wp:posOffset>-857885</wp:posOffset>
          </wp:positionV>
          <wp:extent cx="7112000" cy="1045813"/>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2000" cy="10458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9A9" w:rsidRDefault="002419A9" w:rsidP="007804E8">
      <w:r>
        <w:separator/>
      </w:r>
    </w:p>
  </w:footnote>
  <w:footnote w:type="continuationSeparator" w:id="0">
    <w:p w:rsidR="002419A9" w:rsidRDefault="002419A9" w:rsidP="007804E8">
      <w:r>
        <w:continuationSeparator/>
      </w:r>
    </w:p>
  </w:footnote>
  <w:footnote w:id="1">
    <w:p w:rsidR="009C5400" w:rsidRPr="00F517C6" w:rsidRDefault="009C5400" w:rsidP="009C5400">
      <w:pPr>
        <w:pStyle w:val="Textonotapie"/>
        <w:rPr>
          <w:lang w:val="es-ES"/>
        </w:rPr>
      </w:pPr>
      <w:r>
        <w:rPr>
          <w:rStyle w:val="Refdenotaalpie"/>
        </w:rPr>
        <w:footnoteRef/>
      </w:r>
      <w:r>
        <w:t xml:space="preserve"> </w:t>
      </w:r>
      <w:r>
        <w:rPr>
          <w:lang w:val="es-ES"/>
        </w:rPr>
        <w:t>Se entenderá “Importe total”, lo establecido en el artículo 88.1. del TRLCSP, esto es, sin incluir de éste la tributación indirecta que fuera de aplicación (I.G.I.C.).</w:t>
      </w:r>
    </w:p>
  </w:footnote>
  <w:footnote w:id="2">
    <w:p w:rsidR="009C5400" w:rsidRPr="00A35EC2" w:rsidRDefault="009C5400" w:rsidP="009C5400">
      <w:pPr>
        <w:pStyle w:val="Textonotapie"/>
      </w:pPr>
      <w:r>
        <w:rPr>
          <w:rStyle w:val="Refdenotaalpie"/>
        </w:rPr>
        <w:footnoteRef/>
      </w:r>
      <w:r>
        <w:t xml:space="preserve"> Contrato con importe máximo y su duración es como máximo de 4 años, con posibilidad de prórroga.</w:t>
      </w:r>
    </w:p>
  </w:footnote>
  <w:footnote w:id="3">
    <w:p w:rsidR="009C5400" w:rsidRPr="00087723" w:rsidRDefault="009C5400" w:rsidP="009C5400">
      <w:pPr>
        <w:pStyle w:val="Textonotapie"/>
        <w:rPr>
          <w:rFonts w:ascii="Arial" w:hAnsi="Arial" w:cs="Arial"/>
          <w:sz w:val="16"/>
          <w:szCs w:val="16"/>
        </w:rPr>
      </w:pPr>
      <w:r>
        <w:rPr>
          <w:rStyle w:val="Refdenotaalpie"/>
        </w:rPr>
        <w:footnoteRef/>
      </w:r>
      <w:r>
        <w:t xml:space="preserve"> </w:t>
      </w:r>
      <w:r w:rsidRPr="00087723">
        <w:rPr>
          <w:rFonts w:ascii="Arial" w:hAnsi="Arial" w:cs="Arial"/>
          <w:sz w:val="16"/>
          <w:szCs w:val="16"/>
        </w:rPr>
        <w:t>Se entenderá “Importe total”, lo establecido en el artículo 88.1. del TRLCSP, esto es, sin incluir de éste la tributación indirecta que fuera de aplicación (I.G.I.C.).</w:t>
      </w:r>
    </w:p>
  </w:footnote>
  <w:footnote w:id="4">
    <w:p w:rsidR="009C5400" w:rsidRPr="00A35EC2" w:rsidRDefault="009C5400" w:rsidP="009C5400">
      <w:pPr>
        <w:pStyle w:val="Textonotapie"/>
      </w:pPr>
      <w:r w:rsidRPr="00087723">
        <w:rPr>
          <w:rFonts w:ascii="Arial" w:hAnsi="Arial" w:cs="Arial"/>
          <w:sz w:val="16"/>
          <w:szCs w:val="16"/>
        </w:rPr>
        <w:footnoteRef/>
      </w:r>
      <w:r w:rsidRPr="00087723">
        <w:rPr>
          <w:rFonts w:ascii="Arial" w:hAnsi="Arial" w:cs="Arial"/>
          <w:sz w:val="16"/>
          <w:szCs w:val="16"/>
        </w:rPr>
        <w:t xml:space="preserve"> Contrato cuya duración es como máximo de 4 años, con posibilidad de prórroga.</w:t>
      </w:r>
    </w:p>
  </w:footnote>
  <w:footnote w:id="5">
    <w:p w:rsidR="009C5400" w:rsidRPr="00087723" w:rsidRDefault="009C5400" w:rsidP="009C5400">
      <w:pPr>
        <w:pStyle w:val="Textonotapie"/>
        <w:rPr>
          <w:rFonts w:ascii="Arial" w:hAnsi="Arial" w:cs="Arial"/>
          <w:sz w:val="16"/>
          <w:szCs w:val="16"/>
        </w:rPr>
      </w:pPr>
      <w:r>
        <w:rPr>
          <w:rStyle w:val="Refdenotaalpie"/>
        </w:rPr>
        <w:footnoteRef/>
      </w:r>
      <w:r>
        <w:t xml:space="preserve"> </w:t>
      </w:r>
      <w:r w:rsidRPr="00087723">
        <w:rPr>
          <w:rFonts w:ascii="Arial" w:hAnsi="Arial" w:cs="Arial"/>
          <w:sz w:val="16"/>
          <w:szCs w:val="16"/>
        </w:rPr>
        <w:t>Contrato cuya duración es como máximo de 4 años, con posibilidad de prórroga.</w:t>
      </w:r>
    </w:p>
  </w:footnote>
  <w:footnote w:id="6">
    <w:p w:rsidR="009C5400" w:rsidRPr="00A35EC2" w:rsidRDefault="009C5400" w:rsidP="009C5400">
      <w:pPr>
        <w:pStyle w:val="Textonotapie"/>
      </w:pPr>
      <w:r>
        <w:rPr>
          <w:rStyle w:val="Refdenotaalpie"/>
        </w:rPr>
        <w:footnoteRef/>
      </w:r>
      <w:r>
        <w:t xml:space="preserve"> </w:t>
      </w:r>
      <w:r w:rsidRPr="00087723">
        <w:rPr>
          <w:rFonts w:ascii="Arial" w:hAnsi="Arial" w:cs="Arial"/>
          <w:sz w:val="16"/>
          <w:szCs w:val="16"/>
        </w:rPr>
        <w:t>Contrato</w:t>
      </w:r>
      <w:r>
        <w:t xml:space="preserve"> cuya </w:t>
      </w:r>
      <w:r w:rsidRPr="00087723">
        <w:rPr>
          <w:rFonts w:ascii="Arial" w:hAnsi="Arial" w:cs="Arial"/>
          <w:sz w:val="16"/>
          <w:szCs w:val="16"/>
        </w:rPr>
        <w:t>duración es como máximo de 4 años, con posibilidad de prórroga.</w:t>
      </w:r>
    </w:p>
  </w:footnote>
  <w:footnote w:id="7">
    <w:p w:rsidR="009C5400" w:rsidRPr="00087723" w:rsidRDefault="009C5400" w:rsidP="009C5400">
      <w:pPr>
        <w:pStyle w:val="Textonotapie"/>
        <w:rPr>
          <w:rFonts w:ascii="Arial" w:hAnsi="Arial" w:cs="Arial"/>
          <w:sz w:val="16"/>
          <w:szCs w:val="16"/>
        </w:rPr>
      </w:pPr>
      <w:r>
        <w:rPr>
          <w:rStyle w:val="Refdenotaalpie"/>
        </w:rPr>
        <w:footnoteRef/>
      </w:r>
      <w:r>
        <w:t xml:space="preserve"> </w:t>
      </w:r>
      <w:r w:rsidRPr="00087723">
        <w:rPr>
          <w:rFonts w:ascii="Arial" w:hAnsi="Arial" w:cs="Arial"/>
          <w:sz w:val="16"/>
          <w:szCs w:val="16"/>
        </w:rPr>
        <w:t>Contrato</w:t>
      </w:r>
      <w:r>
        <w:t xml:space="preserve"> </w:t>
      </w:r>
      <w:r w:rsidRPr="00087723">
        <w:rPr>
          <w:rFonts w:ascii="Arial" w:hAnsi="Arial" w:cs="Arial"/>
          <w:sz w:val="16"/>
          <w:szCs w:val="16"/>
        </w:rPr>
        <w:t>cuya duración es como máximo de 4 años, con posibilidad de prórroga.</w:t>
      </w:r>
    </w:p>
  </w:footnote>
  <w:footnote w:id="8">
    <w:p w:rsidR="009C5400" w:rsidRPr="00563F1F" w:rsidRDefault="009C5400" w:rsidP="009C5400">
      <w:pPr>
        <w:pStyle w:val="Textonotapie"/>
        <w:rPr>
          <w:lang w:val="es-ES"/>
        </w:rPr>
      </w:pPr>
      <w:r w:rsidRPr="00087723">
        <w:rPr>
          <w:rFonts w:ascii="Arial" w:hAnsi="Arial" w:cs="Arial"/>
          <w:sz w:val="16"/>
          <w:szCs w:val="16"/>
        </w:rPr>
        <w:footnoteRef/>
      </w:r>
      <w:r w:rsidRPr="00087723">
        <w:rPr>
          <w:rFonts w:ascii="Arial" w:hAnsi="Arial" w:cs="Arial"/>
          <w:sz w:val="16"/>
          <w:szCs w:val="16"/>
        </w:rPr>
        <w:t xml:space="preserve"> </w:t>
      </w:r>
      <w:r w:rsidRPr="00A23F77">
        <w:rPr>
          <w:rFonts w:ascii="Arial" w:hAnsi="Arial" w:cs="Arial"/>
          <w:sz w:val="16"/>
          <w:szCs w:val="16"/>
        </w:rPr>
        <w:t>Mención relativa a las Instrucciones Internas de Contratación de PROMOTUR antes citadas.</w:t>
      </w:r>
    </w:p>
  </w:footnote>
  <w:footnote w:id="9">
    <w:p w:rsidR="009C5400" w:rsidRPr="000A3E57" w:rsidRDefault="009C5400" w:rsidP="009C5400">
      <w:pPr>
        <w:pStyle w:val="Textonotapie"/>
      </w:pPr>
      <w:r>
        <w:rPr>
          <w:rStyle w:val="Refdenotaalpie"/>
        </w:rPr>
        <w:footnoteRef/>
      </w:r>
      <w:r>
        <w:t xml:space="preserve"> </w:t>
      </w:r>
      <w:r w:rsidRPr="000A3E57">
        <w:rPr>
          <w:rFonts w:ascii="Arial" w:hAnsi="Arial" w:cs="Arial"/>
          <w:sz w:val="16"/>
          <w:szCs w:val="16"/>
        </w:rPr>
        <w:t xml:space="preserve">Se </w:t>
      </w:r>
      <w:r>
        <w:rPr>
          <w:rFonts w:ascii="Arial" w:hAnsi="Arial" w:cs="Arial"/>
          <w:sz w:val="16"/>
          <w:szCs w:val="16"/>
        </w:rPr>
        <w:t xml:space="preserve">entenderá por </w:t>
      </w:r>
      <w:r w:rsidRPr="000A3E57">
        <w:rPr>
          <w:rFonts w:ascii="Arial" w:hAnsi="Arial" w:cs="Arial"/>
          <w:sz w:val="16"/>
          <w:szCs w:val="16"/>
        </w:rPr>
        <w:t>“contratación menor”</w:t>
      </w:r>
      <w:r>
        <w:rPr>
          <w:rFonts w:ascii="Arial" w:hAnsi="Arial" w:cs="Arial"/>
          <w:sz w:val="16"/>
          <w:szCs w:val="16"/>
        </w:rPr>
        <w:t xml:space="preserve"> aquellos procedimientos en los que se ha producido una tramitación procedimental y/o formalización de contrato</w:t>
      </w:r>
      <w:r w:rsidRPr="000A3E57">
        <w:rPr>
          <w:rFonts w:ascii="Arial" w:hAnsi="Arial" w:cs="Arial"/>
          <w:sz w:val="16"/>
          <w:szCs w:val="16"/>
        </w:rPr>
        <w:t>.</w:t>
      </w:r>
    </w:p>
  </w:footnote>
  <w:footnote w:id="10">
    <w:p w:rsidR="009C5400" w:rsidRPr="00E15562" w:rsidRDefault="009C5400" w:rsidP="009C5400">
      <w:pPr>
        <w:pStyle w:val="Textonotapie"/>
        <w:rPr>
          <w:lang w:val="es-ES"/>
        </w:rPr>
      </w:pPr>
      <w:r>
        <w:rPr>
          <w:rStyle w:val="Refdenotaalpie"/>
        </w:rPr>
        <w:footnoteRef/>
      </w:r>
      <w:r>
        <w:t xml:space="preserve"> </w:t>
      </w:r>
      <w:r w:rsidRPr="00D43FD5">
        <w:rPr>
          <w:rFonts w:ascii="Arial" w:hAnsi="Arial" w:cs="Arial"/>
          <w:sz w:val="16"/>
          <w:szCs w:val="16"/>
        </w:rPr>
        <w:t xml:space="preserve">Datos </w:t>
      </w:r>
      <w:r>
        <w:rPr>
          <w:rFonts w:ascii="Arial" w:hAnsi="Arial" w:cs="Arial"/>
          <w:sz w:val="16"/>
          <w:szCs w:val="16"/>
        </w:rPr>
        <w:t>automatizados de contratación menor obtenidos directamente</w:t>
      </w:r>
      <w:r w:rsidRPr="00D43FD5">
        <w:rPr>
          <w:rFonts w:ascii="Arial" w:hAnsi="Arial" w:cs="Arial"/>
          <w:sz w:val="16"/>
          <w:szCs w:val="16"/>
        </w:rPr>
        <w:t xml:space="preserve"> de la herramienta de gestión de proyectos </w:t>
      </w:r>
      <w:r>
        <w:rPr>
          <w:rFonts w:ascii="Arial" w:hAnsi="Arial" w:cs="Arial"/>
          <w:sz w:val="16"/>
          <w:szCs w:val="16"/>
        </w:rPr>
        <w:t xml:space="preserve">que toma de base el </w:t>
      </w:r>
      <w:r w:rsidRPr="00D43FD5">
        <w:rPr>
          <w:rFonts w:ascii="Arial" w:hAnsi="Arial" w:cs="Arial"/>
          <w:sz w:val="16"/>
          <w:szCs w:val="16"/>
        </w:rPr>
        <w:t xml:space="preserve">Procedimiento de Gestión de Proyectos </w:t>
      </w:r>
      <w:r>
        <w:rPr>
          <w:rFonts w:ascii="Arial" w:hAnsi="Arial" w:cs="Arial"/>
          <w:sz w:val="16"/>
          <w:szCs w:val="16"/>
        </w:rPr>
        <w:t xml:space="preserve">aprobado </w:t>
      </w:r>
      <w:r w:rsidRPr="00D43FD5">
        <w:rPr>
          <w:rFonts w:ascii="Arial" w:hAnsi="Arial" w:cs="Arial"/>
          <w:sz w:val="16"/>
          <w:szCs w:val="16"/>
        </w:rPr>
        <w:t>por el Consej</w:t>
      </w:r>
      <w:r>
        <w:rPr>
          <w:rFonts w:ascii="Arial" w:hAnsi="Arial" w:cs="Arial"/>
          <w:sz w:val="16"/>
          <w:szCs w:val="16"/>
        </w:rPr>
        <w:t>o de Administración de PROMOTUR.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EA" w:rsidRDefault="00FD1BEA">
    <w:pPr>
      <w:pStyle w:val="Encabezado"/>
    </w:pPr>
    <w:r>
      <w:rPr>
        <w:noProof/>
      </w:rPr>
      <w:drawing>
        <wp:anchor distT="0" distB="0" distL="114300" distR="114300" simplePos="0" relativeHeight="251660288" behindDoc="1" locked="0" layoutInCell="1" allowOverlap="1">
          <wp:simplePos x="0" y="0"/>
          <wp:positionH relativeFrom="column">
            <wp:posOffset>-1005205</wp:posOffset>
          </wp:positionH>
          <wp:positionV relativeFrom="paragraph">
            <wp:posOffset>128270</wp:posOffset>
          </wp:positionV>
          <wp:extent cx="7556500" cy="9740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copia.png"/>
                  <pic:cNvPicPr/>
                </pic:nvPicPr>
                <pic:blipFill>
                  <a:blip r:embed="rId1">
                    <a:extLst>
                      <a:ext uri="{28A0092B-C50C-407E-A947-70E740481C1C}">
                        <a14:useLocalDpi xmlns:a14="http://schemas.microsoft.com/office/drawing/2010/main" val="0"/>
                      </a:ext>
                    </a:extLst>
                  </a:blip>
                  <a:stretch>
                    <a:fillRect/>
                  </a:stretch>
                </pic:blipFill>
                <pic:spPr>
                  <a:xfrm>
                    <a:off x="0" y="0"/>
                    <a:ext cx="7556500" cy="9740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4E8" w:rsidRDefault="00C113FE" w:rsidP="00725D74">
    <w:pPr>
      <w:pStyle w:val="Encabezado"/>
    </w:pPr>
    <w:r>
      <w:rPr>
        <w:rFonts w:ascii="Arial" w:hAnsi="Arial" w:cs="Arial"/>
        <w:b/>
        <w:noProof/>
        <w:lang w:val="es-ES"/>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1">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F6E">
      <w:rPr>
        <w:noProof/>
      </w:rPr>
      <w:drawing>
        <wp:anchor distT="0" distB="0" distL="114300" distR="114300" simplePos="0" relativeHeight="251664384" behindDoc="1" locked="0" layoutInCell="1" allowOverlap="1">
          <wp:simplePos x="0" y="0"/>
          <wp:positionH relativeFrom="column">
            <wp:posOffset>-989965</wp:posOffset>
          </wp:positionH>
          <wp:positionV relativeFrom="paragraph">
            <wp:posOffset>215900</wp:posOffset>
          </wp:positionV>
          <wp:extent cx="7329170" cy="936258"/>
          <wp:effectExtent l="0" t="0" r="0" b="381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s-02-02.jpg"/>
                  <pic:cNvPicPr/>
                </pic:nvPicPr>
                <pic:blipFill>
                  <a:blip r:embed="rId2">
                    <a:extLst>
                      <a:ext uri="{28A0092B-C50C-407E-A947-70E740481C1C}">
                        <a14:useLocalDpi xmlns:a14="http://schemas.microsoft.com/office/drawing/2010/main" val="0"/>
                      </a:ext>
                    </a:extLst>
                  </a:blip>
                  <a:stretch>
                    <a:fillRect/>
                  </a:stretch>
                </pic:blipFill>
                <pic:spPr>
                  <a:xfrm>
                    <a:off x="0" y="0"/>
                    <a:ext cx="7329170" cy="936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4037673"/>
    <w:multiLevelType w:val="hybridMultilevel"/>
    <w:tmpl w:val="7FFA0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217193"/>
    <w:multiLevelType w:val="hybridMultilevel"/>
    <w:tmpl w:val="9EEC5842"/>
    <w:lvl w:ilvl="0" w:tplc="B540F35C">
      <w:start w:val="1"/>
      <w:numFmt w:val="upp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5" w15:restartNumberingAfterBreak="0">
    <w:nsid w:val="3AAC1BC9"/>
    <w:multiLevelType w:val="hybridMultilevel"/>
    <w:tmpl w:val="3B9EA8DA"/>
    <w:numStyleLink w:val="Estiloimportado3"/>
  </w:abstractNum>
  <w:abstractNum w:abstractNumId="6"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13753D"/>
    <w:multiLevelType w:val="hybridMultilevel"/>
    <w:tmpl w:val="2F24D73C"/>
    <w:numStyleLink w:val="Estiloimportado10"/>
  </w:abstractNum>
  <w:abstractNum w:abstractNumId="8" w15:restartNumberingAfterBreak="0">
    <w:nsid w:val="656400B3"/>
    <w:multiLevelType w:val="hybridMultilevel"/>
    <w:tmpl w:val="3B56AB82"/>
    <w:lvl w:ilvl="0" w:tplc="6AD4A234">
      <w:start w:val="1"/>
      <w:numFmt w:val="bullet"/>
      <w:lvlText w:val="-"/>
      <w:lvlJc w:val="left"/>
      <w:pPr>
        <w:ind w:left="720" w:hanging="360"/>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786537"/>
    <w:multiLevelType w:val="hybridMultilevel"/>
    <w:tmpl w:val="995E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6"/>
  </w:num>
  <w:num w:numId="2">
    <w:abstractNumId w:val="0"/>
  </w:num>
  <w:num w:numId="3">
    <w:abstractNumId w:val="3"/>
  </w:num>
  <w:num w:numId="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0"/>
    <w:lvlOverride w:ilvl="0">
      <w:startOverride w:val="2"/>
      <w:lvl w:ilvl="0" w:tplc="B3CC328C">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1C6B4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5247E2">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700E9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D6C65A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EEC8C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483A7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98747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FCBA9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tplc="B3CC328C">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B1C6B42">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95247E2">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E700E96">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D6C65A0">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1EEC8C0">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1483A7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A987476">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BFCBA98">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num>
  <w:num w:numId="12">
    <w:abstractNumId w:val="7"/>
  </w:num>
  <w:num w:numId="13">
    <w:abstractNumId w:val="7"/>
    <w:lvlOverride w:ilvl="0">
      <w:lvl w:ilvl="0" w:tplc="62D872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7FB82D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8FCCF9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C2AE0D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80781F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86D2B5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D8C481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51047D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710EAB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0"/>
    <w:lvlOverride w:ilvl="0">
      <w:startOverride w:val="4"/>
      <w:lvl w:ilvl="0" w:tplc="B3CC328C">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1C6B4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5247E2">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700E9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D6C65A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EEC8C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483A7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98747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FCBA9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9"/>
  </w:num>
  <w:num w:numId="19">
    <w:abstractNumId w:val="5"/>
  </w:num>
  <w:num w:numId="20">
    <w:abstractNumId w:val="0"/>
    <w:lvlOverride w:ilvl="0">
      <w:startOverride w:val="5"/>
      <w:lvl w:ilvl="0" w:tplc="B3CC328C">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1C6B4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5247E2">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700E9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D6C65A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EEC8C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483A7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98747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FCBA9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11"/>
  </w:num>
  <w:num w:numId="30">
    <w:abstractNumId w:val="4"/>
  </w:num>
  <w:num w:numId="31">
    <w:abstractNumId w:val="10"/>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A9"/>
    <w:rsid w:val="00061F97"/>
    <w:rsid w:val="0006720D"/>
    <w:rsid w:val="000868A4"/>
    <w:rsid w:val="000A1698"/>
    <w:rsid w:val="001F7A68"/>
    <w:rsid w:val="00203B25"/>
    <w:rsid w:val="00204098"/>
    <w:rsid w:val="002174D8"/>
    <w:rsid w:val="00232D19"/>
    <w:rsid w:val="002419A9"/>
    <w:rsid w:val="00306A4F"/>
    <w:rsid w:val="003D3F6E"/>
    <w:rsid w:val="00421F84"/>
    <w:rsid w:val="0044471E"/>
    <w:rsid w:val="00497BA8"/>
    <w:rsid w:val="005434FC"/>
    <w:rsid w:val="00546AFE"/>
    <w:rsid w:val="005A1CFC"/>
    <w:rsid w:val="00685514"/>
    <w:rsid w:val="006D502E"/>
    <w:rsid w:val="006F5361"/>
    <w:rsid w:val="00725D74"/>
    <w:rsid w:val="0075646D"/>
    <w:rsid w:val="0075792A"/>
    <w:rsid w:val="007804E8"/>
    <w:rsid w:val="0078563B"/>
    <w:rsid w:val="00787B38"/>
    <w:rsid w:val="007F0659"/>
    <w:rsid w:val="007F48B7"/>
    <w:rsid w:val="00807933"/>
    <w:rsid w:val="00813C69"/>
    <w:rsid w:val="008B4094"/>
    <w:rsid w:val="008D7FF4"/>
    <w:rsid w:val="008F635C"/>
    <w:rsid w:val="00991F63"/>
    <w:rsid w:val="009A4A35"/>
    <w:rsid w:val="009C5400"/>
    <w:rsid w:val="00A072B0"/>
    <w:rsid w:val="00A62EFB"/>
    <w:rsid w:val="00A648CF"/>
    <w:rsid w:val="00A95AD9"/>
    <w:rsid w:val="00B84CC7"/>
    <w:rsid w:val="00BA74DA"/>
    <w:rsid w:val="00BF47F0"/>
    <w:rsid w:val="00C113FE"/>
    <w:rsid w:val="00C90531"/>
    <w:rsid w:val="00C95AAF"/>
    <w:rsid w:val="00CE5F40"/>
    <w:rsid w:val="00D13B48"/>
    <w:rsid w:val="00D80D91"/>
    <w:rsid w:val="00DC4B4F"/>
    <w:rsid w:val="00E15B19"/>
    <w:rsid w:val="00E70166"/>
    <w:rsid w:val="00E72AE3"/>
    <w:rsid w:val="00EC5B36"/>
    <w:rsid w:val="00F86F16"/>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E14A473"/>
  <w14:defaultImageDpi w14:val="32767"/>
  <w15:chartTrackingRefBased/>
  <w15:docId w15:val="{A68920AA-A912-4A55-B640-8F69AEBA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2419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2419A9"/>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2419A9"/>
    <w:rPr>
      <w:sz w:val="20"/>
      <w:szCs w:val="20"/>
    </w:rPr>
  </w:style>
  <w:style w:type="character" w:customStyle="1" w:styleId="TextonotapieCar">
    <w:name w:val="Texto nota pie Car"/>
    <w:basedOn w:val="Fuentedeprrafopredeter"/>
    <w:link w:val="Textonotapie"/>
    <w:uiPriority w:val="99"/>
    <w:semiHidden/>
    <w:rsid w:val="002419A9"/>
    <w:rPr>
      <w:rFonts w:eastAsiaTheme="minorEastAsia"/>
      <w:sz w:val="20"/>
      <w:szCs w:val="20"/>
    </w:rPr>
  </w:style>
  <w:style w:type="character" w:styleId="Refdenotaalpie">
    <w:name w:val="footnote reference"/>
    <w:uiPriority w:val="99"/>
    <w:unhideWhenUsed/>
    <w:rsid w:val="00241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esktop\PLANTILLA%20CAR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85BC-A4CA-469D-87A7-7598B8BC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Template>
  <TotalTime>17</TotalTime>
  <Pages>11</Pages>
  <Words>2202</Words>
  <Characters>12111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Ana Rodríguez Guerra</cp:lastModifiedBy>
  <cp:revision>6</cp:revision>
  <cp:lastPrinted>2018-03-02T13:56:00Z</cp:lastPrinted>
  <dcterms:created xsi:type="dcterms:W3CDTF">2018-05-07T07:39:00Z</dcterms:created>
  <dcterms:modified xsi:type="dcterms:W3CDTF">2018-05-14T14:49:00Z</dcterms:modified>
</cp:coreProperties>
</file>