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r w:rsidRPr="002419A9">
        <w:rPr>
          <w:rFonts w:ascii="Times" w:eastAsia="Times" w:hAnsi="Times" w:cs="Times New Roman"/>
          <w:noProof/>
          <w:szCs w:val="20"/>
          <w:lang w:eastAsia="es-ES"/>
        </w:rPr>
        <mc:AlternateContent>
          <mc:Choice Requires="wps">
            <w:drawing>
              <wp:anchor distT="0" distB="0" distL="114300" distR="114300" simplePos="0" relativeHeight="251659264" behindDoc="0" locked="0" layoutInCell="1" allowOverlap="1" wp14:anchorId="666EE71C" wp14:editId="47A50CF7">
                <wp:simplePos x="0" y="0"/>
                <wp:positionH relativeFrom="column">
                  <wp:posOffset>-34290</wp:posOffset>
                </wp:positionH>
                <wp:positionV relativeFrom="paragraph">
                  <wp:posOffset>86360</wp:posOffset>
                </wp:positionV>
                <wp:extent cx="5440680" cy="1485900"/>
                <wp:effectExtent l="13335" t="12065" r="13335" b="698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0" cy="1485900"/>
                        </a:xfrm>
                        <a:prstGeom prst="roundRect">
                          <a:avLst>
                            <a:gd name="adj" fmla="val 16667"/>
                          </a:avLst>
                        </a:prstGeom>
                        <a:solidFill>
                          <a:srgbClr val="DDDDDD"/>
                        </a:solidFill>
                        <a:ln w="9525">
                          <a:solidFill>
                            <a:srgbClr val="000000"/>
                          </a:solidFill>
                          <a:round/>
                          <a:headEnd/>
                          <a:tailEnd/>
                        </a:ln>
                      </wps:spPr>
                      <wps:txbx>
                        <w:txbxContent>
                          <w:p w:rsidR="002419A9" w:rsidRPr="002419A9" w:rsidRDefault="002419A9" w:rsidP="002419A9">
                            <w:pPr>
                              <w:pStyle w:val="Ttulo1"/>
                              <w:jc w:val="both"/>
                              <w:rPr>
                                <w:b/>
                                <w:sz w:val="28"/>
                              </w:rPr>
                            </w:pPr>
                            <w:r w:rsidRPr="002419A9">
                              <w:rPr>
                                <w:b/>
                                <w:sz w:val="28"/>
                              </w:rPr>
                              <w:t>INFORME DE PROMOTUR TURISMO CANARIAS, S.A., RELATIVO AL CUMPLIMIENTO DE LAS OBLIGACIONES DE CARÁCTER ECONÓMICO-FINANCIERO QUE ASUME ESTA EMPRESA PÚBLICA COMO CONSECUENCIA DE SU PERTENENCIA AL SECTOR PÚBLICO DURANTE EL EJERCICIO 201</w:t>
                            </w:r>
                            <w:r w:rsidR="000864AC">
                              <w:rPr>
                                <w:b/>
                                <w:sz w:val="28"/>
                              </w:rPr>
                              <w:t>8</w:t>
                            </w:r>
                          </w:p>
                          <w:p w:rsidR="002419A9" w:rsidRPr="00A34096" w:rsidRDefault="002419A9" w:rsidP="002419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6EE71C" id="Rectángulo: esquinas redondeadas 1" o:spid="_x0000_s1026" style="position:absolute;margin-left:-2.7pt;margin-top:6.8pt;width:428.4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" fillcolor="#ddd">
                <v:textbox>
                  <w:txbxContent>
                    <w:p w:rsidR="002419A9" w:rsidRPr="002419A9" w:rsidRDefault="002419A9" w:rsidP="002419A9">
                      <w:pPr>
                        <w:pStyle w:val="Ttulo1"/>
                        <w:jc w:val="both"/>
                        <w:rPr>
                          <w:b/>
                          <w:sz w:val="28"/>
                        </w:rPr>
                      </w:pPr>
                      <w:r w:rsidRPr="002419A9">
                        <w:rPr>
                          <w:b/>
                          <w:sz w:val="28"/>
                        </w:rPr>
                        <w:t>INFORME DE PROMOTUR TURISMO CANARIAS, S.A., RELATIVO AL CUMPLIMIENTO DE LAS OBLIGACIONES DE CARÁCTER ECONÓMICO-FINANCIERO QUE ASUME ESTA EMPRESA PÚBLICA COMO CONSECUENCIA DE SU PERTENENCIA AL SECTOR PÚBLICO DURANTE EL EJERCICIO 201</w:t>
                      </w:r>
                      <w:r w:rsidR="000864AC">
                        <w:rPr>
                          <w:b/>
                          <w:sz w:val="28"/>
                        </w:rPr>
                        <w:t>8</w:t>
                      </w:r>
                    </w:p>
                    <w:p w:rsidR="002419A9" w:rsidRPr="00A34096" w:rsidRDefault="002419A9" w:rsidP="002419A9"/>
                  </w:txbxContent>
                </v:textbox>
              </v:roundrect>
            </w:pict>
          </mc:Fallback>
        </mc:AlternateContent>
      </w: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tabs>
          <w:tab w:val="right" w:pos="7920"/>
        </w:tabs>
        <w:rPr>
          <w:rFonts w:ascii="Times" w:eastAsia="Times" w:hAnsi="Times" w:cs="Times New Roman"/>
          <w:b/>
          <w:szCs w:val="20"/>
          <w:lang w:eastAsia="es-ES"/>
        </w:rPr>
      </w:pPr>
      <w:r w:rsidRPr="002419A9">
        <w:rPr>
          <w:rFonts w:ascii="Times" w:eastAsia="Times" w:hAnsi="Times" w:cs="Times New Roman"/>
          <w:b/>
          <w:szCs w:val="20"/>
          <w:lang w:eastAsia="es-ES"/>
        </w:rPr>
        <w:t xml:space="preserve">                                                    INDICE</w:t>
      </w:r>
      <w:r w:rsidRPr="002419A9">
        <w:rPr>
          <w:rFonts w:ascii="Times" w:eastAsia="Times" w:hAnsi="Times" w:cs="Times New Roman"/>
          <w:b/>
          <w:szCs w:val="20"/>
          <w:lang w:eastAsia="es-ES"/>
        </w:rPr>
        <w:tab/>
        <w:t>PAG</w:t>
      </w:r>
    </w:p>
    <w:p w:rsidR="002419A9" w:rsidRPr="002419A9" w:rsidRDefault="002419A9" w:rsidP="002419A9">
      <w:pPr>
        <w:tabs>
          <w:tab w:val="right" w:pos="7920"/>
        </w:tabs>
        <w:rPr>
          <w:rFonts w:ascii="Times" w:eastAsia="Times" w:hAnsi="Times" w:cs="Times New Roman"/>
          <w:b/>
          <w:szCs w:val="20"/>
          <w:lang w:eastAsia="es-ES"/>
        </w:rPr>
      </w:pPr>
    </w:p>
    <w:p w:rsidR="002419A9" w:rsidRPr="002419A9" w:rsidRDefault="002419A9" w:rsidP="002419A9">
      <w:pPr>
        <w:tabs>
          <w:tab w:val="right" w:pos="7920"/>
        </w:tabs>
        <w:rPr>
          <w:rFonts w:ascii="Times" w:eastAsia="Times" w:hAnsi="Times" w:cs="Times New Roman"/>
          <w:b/>
          <w:szCs w:val="20"/>
          <w:lang w:eastAsia="es-ES"/>
        </w:rPr>
      </w:pPr>
    </w:p>
    <w:p w:rsidR="002419A9" w:rsidRPr="002419A9" w:rsidRDefault="002419A9" w:rsidP="002419A9">
      <w:pPr>
        <w:tabs>
          <w:tab w:val="right" w:pos="7740"/>
        </w:tabs>
        <w:rPr>
          <w:rFonts w:ascii="Times" w:eastAsia="Times" w:hAnsi="Times" w:cs="Times New Roman"/>
          <w:b/>
          <w:szCs w:val="20"/>
          <w:lang w:eastAsia="es-ES"/>
        </w:rPr>
      </w:pPr>
      <w:r w:rsidRPr="002419A9">
        <w:rPr>
          <w:rFonts w:ascii="Times" w:eastAsia="Times" w:hAnsi="Times" w:cs="Times New Roman"/>
          <w:b/>
          <w:szCs w:val="20"/>
          <w:lang w:eastAsia="es-ES"/>
        </w:rPr>
        <w:t>Introducción</w:t>
      </w:r>
      <w:r w:rsidRPr="002419A9">
        <w:rPr>
          <w:rFonts w:ascii="Times" w:eastAsia="Times" w:hAnsi="Times" w:cs="Times New Roman"/>
          <w:b/>
          <w:szCs w:val="20"/>
          <w:lang w:eastAsia="es-ES"/>
        </w:rPr>
        <w:tab/>
        <w:t>3</w:t>
      </w:r>
    </w:p>
    <w:p w:rsidR="002419A9" w:rsidRPr="002419A9" w:rsidRDefault="002419A9" w:rsidP="002419A9">
      <w:pPr>
        <w:rPr>
          <w:rFonts w:ascii="Times" w:eastAsia="Times" w:hAnsi="Times" w:cs="Times New Roman"/>
          <w:szCs w:val="20"/>
          <w:lang w:eastAsia="es-ES"/>
        </w:rPr>
      </w:pPr>
    </w:p>
    <w:p w:rsidR="002419A9" w:rsidRPr="002419A9" w:rsidRDefault="002419A9" w:rsidP="002419A9">
      <w:pPr>
        <w:numPr>
          <w:ilvl w:val="0"/>
          <w:numId w:val="30"/>
        </w:numPr>
        <w:tabs>
          <w:tab w:val="right" w:pos="7740"/>
        </w:tabs>
        <w:ind w:right="2692"/>
        <w:jc w:val="both"/>
        <w:rPr>
          <w:rFonts w:ascii="Times" w:eastAsia="Times" w:hAnsi="Times" w:cs="Times New Roman"/>
          <w:szCs w:val="20"/>
          <w:lang w:eastAsia="es-ES"/>
        </w:rPr>
      </w:pPr>
      <w:r w:rsidRPr="002419A9">
        <w:rPr>
          <w:rFonts w:ascii="Times" w:eastAsia="Times" w:hAnsi="Times" w:cs="Times New Roman"/>
          <w:szCs w:val="20"/>
          <w:lang w:eastAsia="es-ES"/>
        </w:rPr>
        <w:t>Información de carácter presupuestario.</w:t>
      </w:r>
      <w:r w:rsidRPr="002419A9">
        <w:rPr>
          <w:rFonts w:ascii="Times" w:eastAsia="Times" w:hAnsi="Times" w:cs="Times New Roman"/>
          <w:szCs w:val="20"/>
          <w:lang w:eastAsia="es-ES"/>
        </w:rPr>
        <w:tab/>
        <w:t>4</w:t>
      </w:r>
    </w:p>
    <w:p w:rsidR="002419A9" w:rsidRPr="002419A9" w:rsidRDefault="002419A9" w:rsidP="002419A9">
      <w:pPr>
        <w:tabs>
          <w:tab w:val="right" w:pos="7740"/>
        </w:tabs>
        <w:ind w:left="-540" w:right="2744"/>
        <w:rPr>
          <w:rFonts w:ascii="Times" w:eastAsia="Times" w:hAnsi="Times" w:cs="Times New Roman"/>
          <w:szCs w:val="20"/>
          <w:lang w:eastAsia="es-ES"/>
        </w:rPr>
      </w:pPr>
      <w:r w:rsidRPr="002419A9">
        <w:rPr>
          <w:rFonts w:ascii="Times" w:eastAsia="Times" w:hAnsi="Times" w:cs="Times New Roman"/>
          <w:szCs w:val="20"/>
          <w:lang w:eastAsia="es-ES"/>
        </w:rPr>
        <w:tab/>
      </w:r>
    </w:p>
    <w:p w:rsidR="002419A9" w:rsidRPr="002419A9" w:rsidRDefault="002419A9" w:rsidP="002419A9">
      <w:pPr>
        <w:numPr>
          <w:ilvl w:val="0"/>
          <w:numId w:val="30"/>
        </w:numPr>
        <w:tabs>
          <w:tab w:val="right" w:pos="7740"/>
        </w:tabs>
        <w:ind w:right="2744"/>
        <w:jc w:val="both"/>
        <w:rPr>
          <w:rFonts w:ascii="Times" w:eastAsia="Times" w:hAnsi="Times" w:cs="Times New Roman"/>
          <w:szCs w:val="20"/>
          <w:lang w:eastAsia="es-ES"/>
        </w:rPr>
      </w:pPr>
      <w:r w:rsidRPr="002419A9">
        <w:rPr>
          <w:rFonts w:ascii="Times" w:eastAsia="Times" w:hAnsi="Times" w:cs="Times New Roman"/>
          <w:szCs w:val="20"/>
          <w:lang w:eastAsia="es-ES"/>
        </w:rPr>
        <w:t xml:space="preserve">Información relativa a la ejecución de los contratos-programa, convenios, encomiendas, aportaciones dinerarias y subvenciones y su grado de cumplimiento. </w:t>
      </w:r>
      <w:r w:rsidRPr="002419A9">
        <w:rPr>
          <w:rFonts w:ascii="Times" w:eastAsia="Times" w:hAnsi="Times" w:cs="Times New Roman"/>
          <w:szCs w:val="20"/>
          <w:lang w:eastAsia="es-ES"/>
        </w:rPr>
        <w:tab/>
        <w:t>7</w:t>
      </w:r>
      <w:r w:rsidRPr="002419A9">
        <w:rPr>
          <w:rFonts w:ascii="Times" w:eastAsia="Times" w:hAnsi="Times" w:cs="Times New Roman"/>
          <w:szCs w:val="20"/>
          <w:lang w:eastAsia="es-ES"/>
        </w:rPr>
        <w:tab/>
      </w:r>
      <w:r w:rsidRPr="002419A9">
        <w:rPr>
          <w:rFonts w:ascii="Times" w:eastAsia="Times" w:hAnsi="Times" w:cs="Times New Roman"/>
          <w:szCs w:val="20"/>
          <w:lang w:eastAsia="es-ES"/>
        </w:rPr>
        <w:tab/>
      </w:r>
    </w:p>
    <w:p w:rsidR="002419A9" w:rsidRPr="002419A9" w:rsidRDefault="002419A9" w:rsidP="002419A9">
      <w:pPr>
        <w:tabs>
          <w:tab w:val="right" w:pos="7740"/>
        </w:tabs>
        <w:ind w:right="2744"/>
        <w:rPr>
          <w:rFonts w:ascii="Times" w:eastAsia="Times" w:hAnsi="Times" w:cs="Times New Roman"/>
          <w:szCs w:val="20"/>
          <w:lang w:eastAsia="es-ES"/>
        </w:rPr>
      </w:pPr>
    </w:p>
    <w:p w:rsidR="002419A9" w:rsidRPr="002419A9" w:rsidRDefault="002419A9" w:rsidP="002419A9">
      <w:pPr>
        <w:numPr>
          <w:ilvl w:val="0"/>
          <w:numId w:val="30"/>
        </w:numPr>
        <w:tabs>
          <w:tab w:val="right" w:pos="7740"/>
        </w:tabs>
        <w:ind w:right="2744"/>
        <w:jc w:val="both"/>
        <w:rPr>
          <w:rFonts w:ascii="Times" w:eastAsia="Times" w:hAnsi="Times" w:cs="Times New Roman"/>
          <w:szCs w:val="20"/>
          <w:lang w:eastAsia="es-ES"/>
        </w:rPr>
      </w:pPr>
      <w:r w:rsidRPr="002419A9">
        <w:rPr>
          <w:rFonts w:ascii="Times" w:eastAsia="Times" w:hAnsi="Times" w:cs="Times New Roman"/>
          <w:szCs w:val="20"/>
          <w:lang w:eastAsia="es-ES"/>
        </w:rPr>
        <w:t xml:space="preserve">Información relativa al cumplimiento de la normativa en materia de contratación que han de cumplir las entidades del sector público. </w:t>
      </w:r>
      <w:r w:rsidRPr="002419A9">
        <w:rPr>
          <w:rFonts w:ascii="Times" w:eastAsia="Times" w:hAnsi="Times" w:cs="Times New Roman"/>
          <w:szCs w:val="20"/>
          <w:lang w:eastAsia="es-ES"/>
        </w:rPr>
        <w:tab/>
        <w:t>7</w:t>
      </w:r>
      <w:r w:rsidRPr="002419A9">
        <w:rPr>
          <w:rFonts w:ascii="Times" w:eastAsia="Times" w:hAnsi="Times" w:cs="Times New Roman"/>
          <w:szCs w:val="20"/>
          <w:lang w:eastAsia="es-ES"/>
        </w:rPr>
        <w:tab/>
      </w:r>
    </w:p>
    <w:p w:rsidR="002419A9" w:rsidRPr="002419A9" w:rsidRDefault="002419A9" w:rsidP="002419A9">
      <w:pPr>
        <w:tabs>
          <w:tab w:val="right" w:pos="7740"/>
        </w:tabs>
        <w:ind w:right="2744"/>
        <w:jc w:val="both"/>
        <w:rPr>
          <w:rFonts w:ascii="Times" w:eastAsia="Times" w:hAnsi="Times" w:cs="Times New Roman"/>
          <w:szCs w:val="20"/>
          <w:lang w:eastAsia="es-ES"/>
        </w:rPr>
      </w:pPr>
    </w:p>
    <w:p w:rsidR="002419A9" w:rsidRPr="002419A9" w:rsidRDefault="002419A9" w:rsidP="002419A9">
      <w:pPr>
        <w:numPr>
          <w:ilvl w:val="0"/>
          <w:numId w:val="30"/>
        </w:numPr>
        <w:tabs>
          <w:tab w:val="right" w:pos="7740"/>
        </w:tabs>
        <w:ind w:right="2744"/>
        <w:jc w:val="both"/>
        <w:rPr>
          <w:rFonts w:ascii="Times" w:eastAsia="Times" w:hAnsi="Times" w:cs="Times New Roman"/>
          <w:szCs w:val="20"/>
          <w:lang w:eastAsia="es-ES"/>
        </w:rPr>
      </w:pPr>
      <w:r w:rsidRPr="002419A9">
        <w:rPr>
          <w:rFonts w:ascii="Times" w:eastAsia="Times" w:hAnsi="Times" w:cs="Times New Roman"/>
          <w:szCs w:val="20"/>
          <w:lang w:eastAsia="es-ES"/>
        </w:rPr>
        <w:t>Información sobre garantías recibidas.</w:t>
      </w:r>
      <w:r w:rsidRPr="002419A9">
        <w:rPr>
          <w:rFonts w:ascii="Times" w:eastAsia="Times" w:hAnsi="Times" w:cs="Times New Roman"/>
          <w:szCs w:val="20"/>
          <w:lang w:eastAsia="es-ES"/>
        </w:rPr>
        <w:tab/>
        <w:t>9</w:t>
      </w:r>
    </w:p>
    <w:p w:rsidR="002419A9" w:rsidRPr="002419A9" w:rsidRDefault="002419A9" w:rsidP="002419A9">
      <w:pPr>
        <w:tabs>
          <w:tab w:val="right" w:pos="7740"/>
        </w:tabs>
        <w:ind w:left="-540" w:right="2744"/>
        <w:rPr>
          <w:rFonts w:ascii="Times" w:eastAsia="Times" w:hAnsi="Times" w:cs="Times New Roman"/>
          <w:szCs w:val="20"/>
          <w:lang w:eastAsia="es-ES"/>
        </w:rPr>
      </w:pPr>
    </w:p>
    <w:p w:rsidR="002419A9" w:rsidRPr="002419A9" w:rsidRDefault="002419A9" w:rsidP="002419A9">
      <w:pPr>
        <w:numPr>
          <w:ilvl w:val="0"/>
          <w:numId w:val="30"/>
        </w:numPr>
        <w:tabs>
          <w:tab w:val="right" w:pos="7740"/>
        </w:tabs>
        <w:ind w:right="2744"/>
        <w:jc w:val="both"/>
        <w:rPr>
          <w:rFonts w:ascii="Times" w:eastAsia="Times" w:hAnsi="Times" w:cs="Times New Roman"/>
          <w:szCs w:val="20"/>
          <w:lang w:eastAsia="es-ES"/>
        </w:rPr>
      </w:pPr>
      <w:r w:rsidRPr="002419A9">
        <w:rPr>
          <w:rFonts w:ascii="Times" w:eastAsia="Times" w:hAnsi="Times" w:cs="Times New Roman"/>
          <w:szCs w:val="20"/>
          <w:lang w:eastAsia="es-ES"/>
        </w:rPr>
        <w:t>Información sobre personal.</w:t>
      </w:r>
      <w:r w:rsidRPr="002419A9">
        <w:rPr>
          <w:rFonts w:ascii="Times" w:eastAsia="Times" w:hAnsi="Times" w:cs="Times New Roman"/>
          <w:szCs w:val="20"/>
          <w:lang w:eastAsia="es-ES"/>
        </w:rPr>
        <w:tab/>
        <w:t>9</w:t>
      </w:r>
    </w:p>
    <w:p w:rsidR="002419A9" w:rsidRPr="002419A9" w:rsidRDefault="002419A9" w:rsidP="002419A9">
      <w:pPr>
        <w:pBdr>
          <w:top w:val="nil"/>
          <w:left w:val="nil"/>
          <w:bottom w:val="nil"/>
          <w:right w:val="nil"/>
          <w:between w:val="nil"/>
          <w:bar w:val="nil"/>
        </w:pBdr>
        <w:ind w:left="720"/>
        <w:rPr>
          <w:rFonts w:ascii="Cambria" w:eastAsia="Cambria" w:hAnsi="Cambria" w:cs="Cambria"/>
          <w:color w:val="000000"/>
          <w:u w:color="000000"/>
          <w:bdr w:val="nil"/>
          <w:lang w:eastAsia="es-ES_tradnl"/>
        </w:rPr>
      </w:pPr>
    </w:p>
    <w:p w:rsidR="002419A9" w:rsidRPr="002419A9" w:rsidRDefault="002419A9" w:rsidP="002419A9">
      <w:pPr>
        <w:numPr>
          <w:ilvl w:val="0"/>
          <w:numId w:val="30"/>
        </w:numPr>
        <w:tabs>
          <w:tab w:val="right" w:pos="7740"/>
        </w:tabs>
        <w:ind w:right="2744"/>
        <w:jc w:val="both"/>
        <w:rPr>
          <w:rFonts w:ascii="Times" w:eastAsia="Times" w:hAnsi="Times" w:cs="Times New Roman"/>
          <w:szCs w:val="20"/>
          <w:lang w:eastAsia="es-ES"/>
        </w:rPr>
      </w:pPr>
      <w:r w:rsidRPr="002419A9">
        <w:rPr>
          <w:rFonts w:ascii="Times" w:eastAsia="Times" w:hAnsi="Times" w:cs="Times New Roman"/>
          <w:szCs w:val="20"/>
          <w:lang w:eastAsia="es-ES"/>
        </w:rPr>
        <w:t>Información sobre los ingresos por ventas y/o prestaciones de servicios de la entidad.</w:t>
      </w:r>
      <w:r w:rsidRPr="002419A9">
        <w:rPr>
          <w:rFonts w:ascii="Times" w:eastAsia="Times" w:hAnsi="Times" w:cs="Times New Roman"/>
          <w:szCs w:val="20"/>
          <w:lang w:eastAsia="es-ES"/>
        </w:rPr>
        <w:tab/>
      </w:r>
      <w:r w:rsidR="00685514">
        <w:rPr>
          <w:rFonts w:ascii="Times" w:eastAsia="Times" w:hAnsi="Times" w:cs="Times New Roman"/>
          <w:szCs w:val="20"/>
          <w:lang w:eastAsia="es-ES"/>
        </w:rPr>
        <w:t>10</w:t>
      </w:r>
    </w:p>
    <w:p w:rsidR="002419A9" w:rsidRPr="002419A9" w:rsidRDefault="002419A9" w:rsidP="002419A9">
      <w:pPr>
        <w:pBdr>
          <w:top w:val="nil"/>
          <w:left w:val="nil"/>
          <w:bottom w:val="nil"/>
          <w:right w:val="nil"/>
          <w:between w:val="nil"/>
          <w:bar w:val="nil"/>
        </w:pBdr>
        <w:ind w:left="720"/>
        <w:rPr>
          <w:rFonts w:ascii="Cambria" w:eastAsia="Cambria" w:hAnsi="Cambria" w:cs="Cambria"/>
          <w:color w:val="000000"/>
          <w:u w:color="000000"/>
          <w:bdr w:val="nil"/>
          <w:lang w:eastAsia="es-ES_tradnl"/>
        </w:rPr>
      </w:pPr>
    </w:p>
    <w:p w:rsidR="002419A9" w:rsidRPr="002419A9" w:rsidRDefault="002419A9" w:rsidP="002419A9">
      <w:pPr>
        <w:numPr>
          <w:ilvl w:val="0"/>
          <w:numId w:val="30"/>
        </w:numPr>
        <w:tabs>
          <w:tab w:val="right" w:pos="7740"/>
        </w:tabs>
        <w:ind w:right="2744"/>
        <w:jc w:val="both"/>
        <w:rPr>
          <w:rFonts w:ascii="Times" w:eastAsia="Times" w:hAnsi="Times" w:cs="Times New Roman"/>
          <w:szCs w:val="20"/>
          <w:lang w:eastAsia="es-ES"/>
        </w:rPr>
      </w:pPr>
      <w:r w:rsidRPr="002419A9">
        <w:rPr>
          <w:rFonts w:ascii="Times" w:eastAsia="Times" w:hAnsi="Times" w:cs="Times New Roman"/>
          <w:szCs w:val="20"/>
          <w:lang w:eastAsia="es-ES"/>
        </w:rPr>
        <w:t>Información sobre las operaciones financieras.</w:t>
      </w:r>
      <w:r w:rsidRPr="002419A9">
        <w:rPr>
          <w:rFonts w:ascii="Times" w:eastAsia="Times" w:hAnsi="Times" w:cs="Times New Roman"/>
          <w:szCs w:val="20"/>
          <w:lang w:eastAsia="es-ES"/>
        </w:rPr>
        <w:tab/>
      </w:r>
      <w:r w:rsidR="00685514">
        <w:rPr>
          <w:rFonts w:ascii="Times" w:eastAsia="Times" w:hAnsi="Times" w:cs="Times New Roman"/>
          <w:szCs w:val="20"/>
          <w:lang w:eastAsia="es-ES"/>
        </w:rPr>
        <w:t>10</w:t>
      </w:r>
    </w:p>
    <w:p w:rsidR="002419A9" w:rsidRPr="002419A9" w:rsidRDefault="002419A9" w:rsidP="002419A9">
      <w:pPr>
        <w:pBdr>
          <w:top w:val="nil"/>
          <w:left w:val="nil"/>
          <w:bottom w:val="nil"/>
          <w:right w:val="nil"/>
          <w:between w:val="nil"/>
          <w:bar w:val="nil"/>
        </w:pBdr>
        <w:ind w:left="720"/>
        <w:rPr>
          <w:rFonts w:ascii="Cambria" w:eastAsia="Cambria" w:hAnsi="Cambria" w:cs="Cambria"/>
          <w:color w:val="000000"/>
          <w:u w:color="000000"/>
          <w:bdr w:val="nil"/>
          <w:lang w:eastAsia="es-ES_tradnl"/>
        </w:rPr>
      </w:pPr>
    </w:p>
    <w:p w:rsidR="002419A9" w:rsidRPr="002419A9" w:rsidRDefault="002419A9" w:rsidP="002419A9">
      <w:pPr>
        <w:numPr>
          <w:ilvl w:val="0"/>
          <w:numId w:val="30"/>
        </w:numPr>
        <w:tabs>
          <w:tab w:val="right" w:pos="7740"/>
        </w:tabs>
        <w:ind w:right="2744"/>
        <w:jc w:val="both"/>
        <w:rPr>
          <w:rFonts w:ascii="Times" w:eastAsia="Times" w:hAnsi="Times" w:cs="Times New Roman"/>
          <w:szCs w:val="20"/>
          <w:lang w:eastAsia="es-ES"/>
        </w:rPr>
      </w:pPr>
      <w:r w:rsidRPr="002419A9">
        <w:rPr>
          <w:rFonts w:ascii="Times" w:eastAsia="Times" w:hAnsi="Times" w:cs="Times New Roman"/>
          <w:szCs w:val="20"/>
          <w:lang w:eastAsia="es-ES"/>
        </w:rPr>
        <w:t>Información sobre el Plan económico-financiero de saneamiento a medio plazo como consecuencia de situaciones de desequilibrio presupuestario.</w:t>
      </w:r>
      <w:r w:rsidRPr="002419A9">
        <w:rPr>
          <w:rFonts w:ascii="Times" w:eastAsia="Times" w:hAnsi="Times" w:cs="Times New Roman"/>
          <w:szCs w:val="20"/>
          <w:lang w:eastAsia="es-ES"/>
        </w:rPr>
        <w:tab/>
        <w:t>10</w:t>
      </w:r>
    </w:p>
    <w:p w:rsidR="002419A9" w:rsidRPr="002419A9" w:rsidRDefault="002419A9" w:rsidP="002419A9">
      <w:pPr>
        <w:pBdr>
          <w:top w:val="nil"/>
          <w:left w:val="nil"/>
          <w:bottom w:val="nil"/>
          <w:right w:val="nil"/>
          <w:between w:val="nil"/>
          <w:bar w:val="nil"/>
        </w:pBdr>
        <w:ind w:left="720"/>
        <w:rPr>
          <w:rFonts w:ascii="Cambria" w:eastAsia="Cambria" w:hAnsi="Cambria" w:cs="Cambria"/>
          <w:color w:val="000000"/>
          <w:u w:color="000000"/>
          <w:bdr w:val="nil"/>
          <w:lang w:eastAsia="es-ES_tradnl"/>
        </w:rPr>
      </w:pPr>
    </w:p>
    <w:p w:rsidR="002419A9" w:rsidRPr="002419A9" w:rsidRDefault="002419A9" w:rsidP="002419A9">
      <w:pPr>
        <w:numPr>
          <w:ilvl w:val="0"/>
          <w:numId w:val="30"/>
        </w:numPr>
        <w:tabs>
          <w:tab w:val="right" w:pos="7740"/>
        </w:tabs>
        <w:ind w:right="2744"/>
        <w:jc w:val="both"/>
        <w:rPr>
          <w:rFonts w:ascii="Times" w:eastAsia="Times" w:hAnsi="Times" w:cs="Times New Roman"/>
          <w:szCs w:val="20"/>
          <w:lang w:eastAsia="es-ES"/>
        </w:rPr>
      </w:pPr>
      <w:r w:rsidRPr="002419A9">
        <w:rPr>
          <w:rFonts w:ascii="Times" w:eastAsia="Times" w:hAnsi="Times" w:cs="Times New Roman"/>
          <w:szCs w:val="20"/>
          <w:lang w:eastAsia="es-ES"/>
        </w:rPr>
        <w:t>Proyección al cierre del ejercicio siguiente.</w:t>
      </w:r>
      <w:r w:rsidRPr="002419A9">
        <w:rPr>
          <w:rFonts w:ascii="Times" w:eastAsia="Times" w:hAnsi="Times" w:cs="Times New Roman"/>
          <w:szCs w:val="20"/>
          <w:lang w:eastAsia="es-ES"/>
        </w:rPr>
        <w:tab/>
        <w:t>10</w:t>
      </w:r>
    </w:p>
    <w:p w:rsidR="002419A9" w:rsidRPr="002419A9" w:rsidRDefault="002419A9" w:rsidP="002419A9">
      <w:pPr>
        <w:pBdr>
          <w:top w:val="nil"/>
          <w:left w:val="nil"/>
          <w:bottom w:val="nil"/>
          <w:right w:val="nil"/>
          <w:between w:val="nil"/>
          <w:bar w:val="nil"/>
        </w:pBdr>
        <w:ind w:left="720"/>
        <w:rPr>
          <w:rFonts w:ascii="Cambria" w:eastAsia="Cambria" w:hAnsi="Cambria" w:cs="Cambria"/>
          <w:color w:val="000000"/>
          <w:u w:color="000000"/>
          <w:bdr w:val="nil"/>
          <w:lang w:eastAsia="es-ES_tradnl"/>
        </w:rPr>
      </w:pPr>
    </w:p>
    <w:p w:rsidR="002419A9" w:rsidRPr="002419A9" w:rsidRDefault="002419A9" w:rsidP="002419A9">
      <w:pPr>
        <w:numPr>
          <w:ilvl w:val="0"/>
          <w:numId w:val="30"/>
        </w:numPr>
        <w:tabs>
          <w:tab w:val="right" w:pos="7740"/>
        </w:tabs>
        <w:ind w:right="2744"/>
        <w:jc w:val="both"/>
        <w:rPr>
          <w:rFonts w:ascii="Times" w:eastAsia="Times" w:hAnsi="Times" w:cs="Times New Roman"/>
          <w:szCs w:val="20"/>
          <w:lang w:eastAsia="es-ES"/>
        </w:rPr>
      </w:pPr>
      <w:r w:rsidRPr="002419A9">
        <w:rPr>
          <w:rFonts w:ascii="Times" w:eastAsia="Times" w:hAnsi="Times" w:cs="Times New Roman"/>
          <w:szCs w:val="20"/>
          <w:lang w:eastAsia="es-ES"/>
        </w:rPr>
        <w:t>Información sobre objetivos e indicadores de gestión.</w:t>
      </w:r>
      <w:r w:rsidRPr="002419A9">
        <w:rPr>
          <w:rFonts w:ascii="Times" w:eastAsia="Times" w:hAnsi="Times" w:cs="Times New Roman"/>
          <w:szCs w:val="20"/>
          <w:lang w:eastAsia="es-ES"/>
        </w:rPr>
        <w:tab/>
        <w:t>1</w:t>
      </w:r>
      <w:r w:rsidR="007F0659">
        <w:rPr>
          <w:rFonts w:ascii="Times" w:eastAsia="Times" w:hAnsi="Times" w:cs="Times New Roman"/>
          <w:szCs w:val="20"/>
          <w:lang w:eastAsia="es-ES"/>
        </w:rPr>
        <w:t>1</w:t>
      </w:r>
    </w:p>
    <w:p w:rsidR="002419A9" w:rsidRPr="002419A9" w:rsidRDefault="002419A9" w:rsidP="002419A9">
      <w:pPr>
        <w:tabs>
          <w:tab w:val="right" w:pos="7740"/>
        </w:tabs>
        <w:ind w:left="-540" w:right="2744"/>
        <w:rPr>
          <w:rFonts w:ascii="Times" w:eastAsia="Times" w:hAnsi="Times" w:cs="Times New Roman"/>
          <w:szCs w:val="20"/>
          <w:lang w:eastAsia="es-ES"/>
        </w:rPr>
      </w:pPr>
    </w:p>
    <w:p w:rsidR="002419A9" w:rsidRPr="002419A9" w:rsidRDefault="002419A9" w:rsidP="002419A9">
      <w:pPr>
        <w:tabs>
          <w:tab w:val="num" w:pos="-180"/>
        </w:tabs>
        <w:ind w:left="-180"/>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b/>
          <w:szCs w:val="20"/>
          <w:lang w:eastAsia="es-ES"/>
        </w:rPr>
      </w:pPr>
    </w:p>
    <w:p w:rsidR="002419A9" w:rsidRPr="002419A9" w:rsidRDefault="002419A9" w:rsidP="002419A9">
      <w:pPr>
        <w:rPr>
          <w:rFonts w:ascii="Times" w:eastAsia="Times" w:hAnsi="Times" w:cs="Times New Roman"/>
          <w:b/>
          <w:szCs w:val="20"/>
          <w:lang w:eastAsia="es-ES"/>
        </w:rPr>
      </w:pPr>
    </w:p>
    <w:p w:rsidR="002419A9" w:rsidRPr="002419A9" w:rsidRDefault="002419A9" w:rsidP="002419A9">
      <w:pPr>
        <w:rPr>
          <w:rFonts w:ascii="Times" w:eastAsia="Times" w:hAnsi="Times" w:cs="Times New Roman"/>
          <w:b/>
          <w:szCs w:val="20"/>
          <w:lang w:eastAsia="es-ES"/>
        </w:rPr>
      </w:pPr>
      <w:r w:rsidRPr="002419A9">
        <w:rPr>
          <w:rFonts w:ascii="Times" w:eastAsia="Times" w:hAnsi="Times" w:cs="Times New Roman"/>
          <w:b/>
          <w:szCs w:val="20"/>
          <w:lang w:eastAsia="es-ES"/>
        </w:rPr>
        <w:tab/>
        <w:t>INTRODUCCIÓN</w:t>
      </w:r>
    </w:p>
    <w:p w:rsidR="002419A9" w:rsidRPr="002419A9" w:rsidRDefault="002419A9" w:rsidP="002419A9">
      <w:pPr>
        <w:rPr>
          <w:rFonts w:ascii="Times" w:eastAsia="Times" w:hAnsi="Times" w:cs="Times New Roman"/>
          <w:szCs w:val="20"/>
          <w:lang w:eastAsia="es-ES"/>
        </w:rPr>
      </w:pPr>
    </w:p>
    <w:p w:rsidR="002419A9" w:rsidRPr="002419A9" w:rsidRDefault="002419A9" w:rsidP="002419A9">
      <w:pPr>
        <w:keepNext/>
        <w:widowControl w:val="0"/>
        <w:jc w:val="both"/>
        <w:outlineLvl w:val="0"/>
        <w:rPr>
          <w:rFonts w:ascii="Times New Roman" w:eastAsia="Times New Roman" w:hAnsi="Times New Roman" w:cs="Times New Roman"/>
          <w:snapToGrid w:val="0"/>
          <w:sz w:val="28"/>
          <w:szCs w:val="28"/>
          <w:lang w:eastAsia="es-ES"/>
        </w:rPr>
      </w:pPr>
      <w:r w:rsidRPr="002419A9">
        <w:rPr>
          <w:rFonts w:ascii="Times New Roman" w:eastAsia="Times New Roman" w:hAnsi="Times New Roman" w:cs="Times New Roman"/>
          <w:snapToGrid w:val="0"/>
          <w:sz w:val="28"/>
          <w:szCs w:val="28"/>
          <w:lang w:eastAsia="es-ES"/>
        </w:rPr>
        <w:tab/>
        <w:t xml:space="preserve">El presente informe se realiza de conformidad con lo previsto </w:t>
      </w:r>
      <w:r w:rsidRPr="002419A9">
        <w:rPr>
          <w:rFonts w:ascii="Times New Roman" w:eastAsia="Times New Roman" w:hAnsi="Times New Roman" w:cs="Times New Roman"/>
          <w:snapToGrid w:val="0"/>
          <w:sz w:val="28"/>
          <w:szCs w:val="28"/>
          <w:lang w:eastAsia="es-ES"/>
        </w:rPr>
        <w:tab/>
        <w:t xml:space="preserve">en la Ley 11/2006, de 11 de diciembre, de </w:t>
      </w:r>
      <w:smartTag w:uri="urn:schemas-microsoft-com:office:smarttags" w:element="PersonName">
        <w:smartTagPr>
          <w:attr w:name="ProductID" w:val="la Hacienda P￺blica  Canaria"/>
        </w:smartTagPr>
        <w:r w:rsidRPr="002419A9">
          <w:rPr>
            <w:rFonts w:ascii="Times New Roman" w:eastAsia="Times New Roman" w:hAnsi="Times New Roman" w:cs="Times New Roman"/>
            <w:snapToGrid w:val="0"/>
            <w:sz w:val="28"/>
            <w:szCs w:val="28"/>
            <w:lang w:eastAsia="es-ES"/>
          </w:rPr>
          <w:t xml:space="preserve">la Hacienda Pública </w:t>
        </w:r>
        <w:r w:rsidRPr="002419A9">
          <w:rPr>
            <w:rFonts w:ascii="Times New Roman" w:eastAsia="Times New Roman" w:hAnsi="Times New Roman" w:cs="Times New Roman"/>
            <w:snapToGrid w:val="0"/>
            <w:sz w:val="28"/>
            <w:szCs w:val="28"/>
            <w:lang w:eastAsia="es-ES"/>
          </w:rPr>
          <w:tab/>
          <w:t>Canaria</w:t>
        </w:r>
      </w:smartTag>
      <w:r w:rsidRPr="002419A9">
        <w:rPr>
          <w:rFonts w:ascii="Times New Roman" w:eastAsia="Times New Roman" w:hAnsi="Times New Roman" w:cs="Times New Roman"/>
          <w:snapToGrid w:val="0"/>
          <w:sz w:val="28"/>
          <w:szCs w:val="28"/>
          <w:lang w:eastAsia="es-ES"/>
        </w:rPr>
        <w:t xml:space="preserve">, que establece en su artículo 116.3 que: </w:t>
      </w:r>
      <w:r w:rsidRPr="002419A9">
        <w:rPr>
          <w:rFonts w:ascii="Times New Roman" w:eastAsia="Times New Roman" w:hAnsi="Times New Roman" w:cs="Times New Roman"/>
          <w:i/>
          <w:snapToGrid w:val="0"/>
          <w:sz w:val="28"/>
          <w:szCs w:val="28"/>
          <w:lang w:eastAsia="es-ES"/>
        </w:rPr>
        <w:t xml:space="preserve">“Las </w:t>
      </w:r>
      <w:r w:rsidRPr="002419A9">
        <w:rPr>
          <w:rFonts w:ascii="Times New Roman" w:eastAsia="Times New Roman" w:hAnsi="Times New Roman" w:cs="Times New Roman"/>
          <w:i/>
          <w:snapToGrid w:val="0"/>
          <w:sz w:val="28"/>
          <w:szCs w:val="28"/>
          <w:lang w:eastAsia="es-ES"/>
        </w:rPr>
        <w:tab/>
        <w:t xml:space="preserve">sociedades </w:t>
      </w:r>
      <w:r w:rsidRPr="002419A9">
        <w:rPr>
          <w:rFonts w:ascii="Times New Roman" w:eastAsia="Times New Roman" w:hAnsi="Times New Roman" w:cs="Times New Roman"/>
          <w:i/>
          <w:snapToGrid w:val="0"/>
          <w:sz w:val="28"/>
          <w:szCs w:val="28"/>
          <w:lang w:eastAsia="es-ES"/>
        </w:rPr>
        <w:tab/>
        <w:t xml:space="preserve">mercantiles públicas, las entidades públicas </w:t>
      </w:r>
      <w:r w:rsidRPr="002419A9">
        <w:rPr>
          <w:rFonts w:ascii="Times New Roman" w:eastAsia="Times New Roman" w:hAnsi="Times New Roman" w:cs="Times New Roman"/>
          <w:i/>
          <w:snapToGrid w:val="0"/>
          <w:sz w:val="28"/>
          <w:szCs w:val="28"/>
          <w:lang w:eastAsia="es-ES"/>
        </w:rPr>
        <w:tab/>
        <w:t xml:space="preserve">empresariales y el </w:t>
      </w:r>
      <w:r w:rsidRPr="002419A9">
        <w:rPr>
          <w:rFonts w:ascii="Times New Roman" w:eastAsia="Times New Roman" w:hAnsi="Times New Roman" w:cs="Times New Roman"/>
          <w:i/>
          <w:snapToGrid w:val="0"/>
          <w:sz w:val="28"/>
          <w:szCs w:val="28"/>
          <w:lang w:eastAsia="es-ES"/>
        </w:rPr>
        <w:tab/>
        <w:t xml:space="preserve">resto de entes del sector público sometidos a </w:t>
      </w:r>
      <w:r w:rsidRPr="002419A9">
        <w:rPr>
          <w:rFonts w:ascii="Times New Roman" w:eastAsia="Times New Roman" w:hAnsi="Times New Roman" w:cs="Times New Roman"/>
          <w:i/>
          <w:snapToGrid w:val="0"/>
          <w:sz w:val="28"/>
          <w:szCs w:val="28"/>
          <w:lang w:eastAsia="es-ES"/>
        </w:rPr>
        <w:tab/>
        <w:t xml:space="preserve">los principios y </w:t>
      </w:r>
      <w:r w:rsidRPr="002419A9">
        <w:rPr>
          <w:rFonts w:ascii="Times New Roman" w:eastAsia="Times New Roman" w:hAnsi="Times New Roman" w:cs="Times New Roman"/>
          <w:i/>
          <w:snapToGrid w:val="0"/>
          <w:sz w:val="28"/>
          <w:szCs w:val="28"/>
          <w:lang w:eastAsia="es-ES"/>
        </w:rPr>
        <w:tab/>
        <w:t xml:space="preserve">normas de contabilidad recogidos en el Plan </w:t>
      </w:r>
      <w:r w:rsidRPr="002419A9">
        <w:rPr>
          <w:rFonts w:ascii="Times New Roman" w:eastAsia="Times New Roman" w:hAnsi="Times New Roman" w:cs="Times New Roman"/>
          <w:i/>
          <w:snapToGrid w:val="0"/>
          <w:sz w:val="28"/>
          <w:szCs w:val="28"/>
          <w:lang w:eastAsia="es-ES"/>
        </w:rPr>
        <w:tab/>
        <w:t xml:space="preserve">General de </w:t>
      </w:r>
      <w:r w:rsidRPr="002419A9">
        <w:rPr>
          <w:rFonts w:ascii="Times New Roman" w:eastAsia="Times New Roman" w:hAnsi="Times New Roman" w:cs="Times New Roman"/>
          <w:i/>
          <w:snapToGrid w:val="0"/>
          <w:sz w:val="28"/>
          <w:szCs w:val="28"/>
          <w:lang w:eastAsia="es-ES"/>
        </w:rPr>
        <w:tab/>
        <w:t xml:space="preserve">Contabilidad de la empresa española y las </w:t>
      </w:r>
      <w:r w:rsidRPr="002419A9">
        <w:rPr>
          <w:rFonts w:ascii="Times New Roman" w:eastAsia="Times New Roman" w:hAnsi="Times New Roman" w:cs="Times New Roman"/>
          <w:i/>
          <w:snapToGrid w:val="0"/>
          <w:sz w:val="28"/>
          <w:szCs w:val="28"/>
          <w:lang w:eastAsia="es-ES"/>
        </w:rPr>
        <w:tab/>
        <w:t xml:space="preserve">fundaciones del </w:t>
      </w:r>
      <w:r w:rsidRPr="002419A9">
        <w:rPr>
          <w:rFonts w:ascii="Times New Roman" w:eastAsia="Times New Roman" w:hAnsi="Times New Roman" w:cs="Times New Roman"/>
          <w:i/>
          <w:snapToGrid w:val="0"/>
          <w:sz w:val="28"/>
          <w:szCs w:val="28"/>
          <w:lang w:eastAsia="es-ES"/>
        </w:rPr>
        <w:tab/>
        <w:t xml:space="preserve">sector público autonómico, presentarán, </w:t>
      </w:r>
      <w:r w:rsidRPr="002419A9">
        <w:rPr>
          <w:rFonts w:ascii="Times New Roman" w:eastAsia="Times New Roman" w:hAnsi="Times New Roman" w:cs="Times New Roman"/>
          <w:i/>
          <w:snapToGrid w:val="0"/>
          <w:sz w:val="28"/>
          <w:szCs w:val="28"/>
          <w:lang w:eastAsia="es-ES"/>
        </w:rPr>
        <w:tab/>
        <w:t xml:space="preserve">junto con las cuentas </w:t>
      </w:r>
      <w:r w:rsidRPr="002419A9">
        <w:rPr>
          <w:rFonts w:ascii="Times New Roman" w:eastAsia="Times New Roman" w:hAnsi="Times New Roman" w:cs="Times New Roman"/>
          <w:i/>
          <w:snapToGrid w:val="0"/>
          <w:sz w:val="28"/>
          <w:szCs w:val="28"/>
          <w:lang w:eastAsia="es-ES"/>
        </w:rPr>
        <w:tab/>
        <w:t xml:space="preserve">anuales, un informe relativo al </w:t>
      </w:r>
      <w:r w:rsidRPr="002419A9">
        <w:rPr>
          <w:rFonts w:ascii="Times New Roman" w:eastAsia="Times New Roman" w:hAnsi="Times New Roman" w:cs="Times New Roman"/>
          <w:i/>
          <w:snapToGrid w:val="0"/>
          <w:sz w:val="28"/>
          <w:szCs w:val="28"/>
          <w:lang w:eastAsia="es-ES"/>
        </w:rPr>
        <w:tab/>
        <w:t xml:space="preserve">cumplimiento de las </w:t>
      </w:r>
      <w:r w:rsidRPr="002419A9">
        <w:rPr>
          <w:rFonts w:ascii="Times New Roman" w:eastAsia="Times New Roman" w:hAnsi="Times New Roman" w:cs="Times New Roman"/>
          <w:i/>
          <w:snapToGrid w:val="0"/>
          <w:sz w:val="28"/>
          <w:szCs w:val="28"/>
          <w:lang w:eastAsia="es-ES"/>
        </w:rPr>
        <w:tab/>
        <w:t>obligaciones de carácter económico-</w:t>
      </w:r>
      <w:r w:rsidRPr="002419A9">
        <w:rPr>
          <w:rFonts w:ascii="Times New Roman" w:eastAsia="Times New Roman" w:hAnsi="Times New Roman" w:cs="Times New Roman"/>
          <w:i/>
          <w:snapToGrid w:val="0"/>
          <w:sz w:val="28"/>
          <w:szCs w:val="28"/>
          <w:lang w:eastAsia="es-ES"/>
        </w:rPr>
        <w:tab/>
        <w:t xml:space="preserve">financiero que asumen </w:t>
      </w:r>
      <w:r w:rsidRPr="002419A9">
        <w:rPr>
          <w:rFonts w:ascii="Times New Roman" w:eastAsia="Times New Roman" w:hAnsi="Times New Roman" w:cs="Times New Roman"/>
          <w:i/>
          <w:snapToGrid w:val="0"/>
          <w:sz w:val="28"/>
          <w:szCs w:val="28"/>
          <w:lang w:eastAsia="es-ES"/>
        </w:rPr>
        <w:tab/>
        <w:t xml:space="preserve">dichas entidades como consecuencia </w:t>
      </w:r>
      <w:r w:rsidRPr="002419A9">
        <w:rPr>
          <w:rFonts w:ascii="Times New Roman" w:eastAsia="Times New Roman" w:hAnsi="Times New Roman" w:cs="Times New Roman"/>
          <w:i/>
          <w:snapToGrid w:val="0"/>
          <w:sz w:val="28"/>
          <w:szCs w:val="28"/>
          <w:lang w:eastAsia="es-ES"/>
        </w:rPr>
        <w:tab/>
        <w:t>de su pertenencia al sector público”.</w:t>
      </w:r>
      <w:r w:rsidRPr="002419A9">
        <w:rPr>
          <w:rFonts w:ascii="Times New Roman" w:eastAsia="Times New Roman" w:hAnsi="Times New Roman" w:cs="Times New Roman"/>
          <w:snapToGrid w:val="0"/>
          <w:sz w:val="28"/>
          <w:szCs w:val="28"/>
          <w:lang w:eastAsia="es-ES"/>
        </w:rPr>
        <w:t xml:space="preserve"> Este informe está </w:t>
      </w:r>
      <w:r w:rsidRPr="002419A9">
        <w:rPr>
          <w:rFonts w:ascii="Times New Roman" w:eastAsia="Times New Roman" w:hAnsi="Times New Roman" w:cs="Times New Roman"/>
          <w:snapToGrid w:val="0"/>
          <w:sz w:val="28"/>
          <w:szCs w:val="28"/>
          <w:lang w:eastAsia="es-ES"/>
        </w:rPr>
        <w:tab/>
        <w:t>referido al ejercicio 201</w:t>
      </w:r>
      <w:r w:rsidR="000864AC">
        <w:rPr>
          <w:rFonts w:ascii="Times New Roman" w:eastAsia="Times New Roman" w:hAnsi="Times New Roman" w:cs="Times New Roman"/>
          <w:snapToGrid w:val="0"/>
          <w:sz w:val="28"/>
          <w:szCs w:val="28"/>
          <w:lang w:eastAsia="es-ES"/>
        </w:rPr>
        <w:t>8</w:t>
      </w:r>
      <w:r w:rsidRPr="002419A9">
        <w:rPr>
          <w:rFonts w:ascii="Times New Roman" w:eastAsia="Times New Roman" w:hAnsi="Times New Roman" w:cs="Times New Roman"/>
          <w:snapToGrid w:val="0"/>
          <w:sz w:val="28"/>
          <w:szCs w:val="28"/>
          <w:lang w:eastAsia="es-ES"/>
        </w:rPr>
        <w:t xml:space="preserve">. </w:t>
      </w:r>
    </w:p>
    <w:p w:rsidR="002419A9" w:rsidRPr="002419A9" w:rsidRDefault="002419A9" w:rsidP="002419A9">
      <w:pPr>
        <w:jc w:val="both"/>
        <w:rPr>
          <w:rFonts w:ascii="Times" w:eastAsia="Times" w:hAnsi="Times" w:cs="Times New Roman"/>
          <w:sz w:val="28"/>
          <w:szCs w:val="28"/>
          <w:lang w:eastAsia="es-ES"/>
        </w:rPr>
      </w:pPr>
    </w:p>
    <w:p w:rsidR="002419A9" w:rsidRPr="002419A9" w:rsidRDefault="002419A9" w:rsidP="002419A9">
      <w:pPr>
        <w:overflowPunct w:val="0"/>
        <w:autoSpaceDE w:val="0"/>
        <w:autoSpaceDN w:val="0"/>
        <w:adjustRightInd w:val="0"/>
        <w:spacing w:before="100" w:after="100"/>
        <w:jc w:val="both"/>
        <w:textAlignment w:val="baseline"/>
        <w:rPr>
          <w:rFonts w:ascii="Times New Roman" w:eastAsia="Times New Roman" w:hAnsi="Times New Roman" w:cs="Times New Roman"/>
          <w:sz w:val="28"/>
          <w:szCs w:val="28"/>
          <w:lang w:val="es-ES"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jc w:val="both"/>
        <w:rPr>
          <w:rFonts w:ascii="Times" w:eastAsia="Times" w:hAnsi="Times" w:cs="Times New Roman"/>
          <w:sz w:val="28"/>
          <w:szCs w:val="28"/>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rPr>
          <w:rFonts w:ascii="Times" w:eastAsia="Times" w:hAnsi="Times" w:cs="Times New Roman"/>
          <w:szCs w:val="20"/>
          <w:lang w:eastAsia="es-ES"/>
        </w:rPr>
      </w:pPr>
    </w:p>
    <w:p w:rsidR="002419A9" w:rsidRPr="002419A9" w:rsidRDefault="002419A9" w:rsidP="002419A9">
      <w:pPr>
        <w:tabs>
          <w:tab w:val="right" w:pos="-5940"/>
        </w:tabs>
        <w:ind w:right="44"/>
        <w:rPr>
          <w:rFonts w:ascii="Times" w:eastAsia="Times" w:hAnsi="Times" w:cs="Times New Roman"/>
          <w:b/>
          <w:sz w:val="28"/>
          <w:szCs w:val="28"/>
          <w:lang w:eastAsia="es-ES"/>
        </w:rPr>
      </w:pPr>
      <w:r w:rsidRPr="002419A9">
        <w:rPr>
          <w:rFonts w:ascii="Times" w:eastAsia="Times" w:hAnsi="Times" w:cs="Times New Roman"/>
          <w:b/>
          <w:sz w:val="28"/>
          <w:szCs w:val="28"/>
          <w:lang w:eastAsia="es-ES"/>
        </w:rPr>
        <w:lastRenderedPageBreak/>
        <w:t>A) Información de carácter presupuestario</w:t>
      </w:r>
    </w:p>
    <w:p w:rsidR="002419A9" w:rsidRPr="002419A9" w:rsidRDefault="002419A9" w:rsidP="002419A9">
      <w:pPr>
        <w:tabs>
          <w:tab w:val="right" w:pos="-5940"/>
        </w:tabs>
        <w:ind w:right="44"/>
        <w:rPr>
          <w:rFonts w:ascii="Times" w:eastAsia="Times" w:hAnsi="Times" w:cs="Times New Roman"/>
          <w:b/>
          <w:sz w:val="28"/>
          <w:szCs w:val="28"/>
          <w:lang w:eastAsia="es-ES"/>
        </w:rPr>
      </w:pPr>
    </w:p>
    <w:p w:rsidR="002419A9" w:rsidRPr="002419A9" w:rsidRDefault="002419A9" w:rsidP="002419A9">
      <w:pPr>
        <w:numPr>
          <w:ilvl w:val="0"/>
          <w:numId w:val="32"/>
        </w:numPr>
        <w:tabs>
          <w:tab w:val="right" w:pos="-5940"/>
        </w:tabs>
        <w:ind w:right="44"/>
        <w:rPr>
          <w:rFonts w:ascii="Times" w:eastAsia="Times" w:hAnsi="Times" w:cs="Times New Roman"/>
          <w:b/>
          <w:sz w:val="28"/>
          <w:szCs w:val="28"/>
          <w:lang w:eastAsia="es-ES"/>
        </w:rPr>
      </w:pPr>
      <w:r w:rsidRPr="002419A9">
        <w:rPr>
          <w:rFonts w:ascii="Times" w:eastAsia="Times" w:hAnsi="Times" w:cs="Times New Roman"/>
          <w:b/>
          <w:sz w:val="28"/>
          <w:szCs w:val="28"/>
          <w:lang w:eastAsia="es-ES"/>
        </w:rPr>
        <w:t>Información relativa al programa de actuación plurianual</w:t>
      </w:r>
    </w:p>
    <w:p w:rsidR="002419A9" w:rsidRPr="002419A9" w:rsidRDefault="002419A9" w:rsidP="002419A9">
      <w:pPr>
        <w:tabs>
          <w:tab w:val="right" w:pos="-5940"/>
        </w:tabs>
        <w:ind w:left="720" w:right="44"/>
        <w:rPr>
          <w:rFonts w:ascii="Times" w:eastAsia="Times" w:hAnsi="Times" w:cs="Times New Roman"/>
          <w:sz w:val="28"/>
          <w:szCs w:val="28"/>
          <w:lang w:eastAsia="es-ES"/>
        </w:rPr>
      </w:pPr>
    </w:p>
    <w:p w:rsidR="002419A9" w:rsidRPr="002419A9" w:rsidRDefault="002419A9" w:rsidP="002419A9">
      <w:pPr>
        <w:tabs>
          <w:tab w:val="right" w:pos="-5940"/>
        </w:tabs>
        <w:ind w:left="720"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 xml:space="preserve">Esta empresa no está obligada a realizar los programas de actuación plurianual, de acuerdo con lo previsto en el artículo 29 de la Ley 11/2006, de 11 de diciembre, de la Hacienda Pública Canaria. </w:t>
      </w:r>
    </w:p>
    <w:p w:rsidR="002419A9" w:rsidRPr="002419A9" w:rsidRDefault="002419A9" w:rsidP="002419A9">
      <w:pPr>
        <w:tabs>
          <w:tab w:val="right" w:pos="-5940"/>
        </w:tabs>
        <w:ind w:left="720" w:right="44"/>
        <w:rPr>
          <w:rFonts w:ascii="Times" w:eastAsia="Times" w:hAnsi="Times" w:cs="Times New Roman"/>
          <w:sz w:val="28"/>
          <w:szCs w:val="28"/>
          <w:lang w:eastAsia="es-ES"/>
        </w:rPr>
      </w:pPr>
    </w:p>
    <w:p w:rsidR="002419A9" w:rsidRPr="002419A9" w:rsidRDefault="002419A9" w:rsidP="002419A9">
      <w:pPr>
        <w:numPr>
          <w:ilvl w:val="0"/>
          <w:numId w:val="32"/>
        </w:numPr>
        <w:tabs>
          <w:tab w:val="right" w:pos="-5940"/>
        </w:tabs>
        <w:ind w:right="44"/>
        <w:rPr>
          <w:rFonts w:ascii="Times" w:eastAsia="Times" w:hAnsi="Times" w:cs="Times New Roman"/>
          <w:b/>
          <w:sz w:val="28"/>
          <w:szCs w:val="28"/>
          <w:lang w:eastAsia="es-ES"/>
        </w:rPr>
      </w:pPr>
      <w:r w:rsidRPr="002419A9">
        <w:rPr>
          <w:rFonts w:ascii="Times" w:eastAsia="Times" w:hAnsi="Times" w:cs="Times New Roman"/>
          <w:b/>
          <w:sz w:val="28"/>
          <w:szCs w:val="28"/>
          <w:lang w:eastAsia="es-ES"/>
        </w:rPr>
        <w:t xml:space="preserve">Información sobre la liquidación de los presupuestos de explotación y capital </w:t>
      </w:r>
    </w:p>
    <w:p w:rsidR="002419A9" w:rsidRPr="002419A9" w:rsidRDefault="002419A9" w:rsidP="002419A9">
      <w:pPr>
        <w:pBdr>
          <w:top w:val="nil"/>
          <w:left w:val="nil"/>
          <w:bottom w:val="nil"/>
          <w:right w:val="nil"/>
          <w:between w:val="nil"/>
          <w:bar w:val="nil"/>
        </w:pBdr>
        <w:rPr>
          <w:rFonts w:ascii="Cambria" w:eastAsia="Cambria" w:hAnsi="Cambria" w:cs="Cambria"/>
          <w:color w:val="000000"/>
          <w:sz w:val="28"/>
          <w:szCs w:val="28"/>
          <w:u w:color="000000"/>
          <w:bdr w:val="nil"/>
          <w:lang w:eastAsia="es-ES_tradnl"/>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r>
      <w:r w:rsidRPr="0067587F">
        <w:rPr>
          <w:rFonts w:ascii="Times" w:eastAsia="Times" w:hAnsi="Times" w:cs="Times New Roman"/>
          <w:sz w:val="28"/>
          <w:szCs w:val="28"/>
          <w:lang w:eastAsia="es-ES"/>
        </w:rPr>
        <w:t>PRESUPUESTO DE EXPLOTACIÓN</w:t>
      </w:r>
      <w:r w:rsidRPr="002419A9">
        <w:rPr>
          <w:rFonts w:ascii="Times" w:eastAsia="Times" w:hAnsi="Times" w:cs="Times New Roman"/>
          <w:sz w:val="28"/>
          <w:szCs w:val="28"/>
          <w:lang w:eastAsia="es-ES"/>
        </w:rPr>
        <w:t xml:space="preserve"> (Anexo I.A)</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EA0622" w:rsidRPr="00EA0622" w:rsidRDefault="00EA0622" w:rsidP="00EA0622">
      <w:pPr>
        <w:tabs>
          <w:tab w:val="right" w:pos="-5940"/>
        </w:tabs>
        <w:ind w:right="44"/>
        <w:jc w:val="both"/>
        <w:rPr>
          <w:rFonts w:ascii="Times New Roman" w:eastAsia="Times New Roman" w:hAnsi="Times New Roman" w:cs="Times New Roman"/>
          <w:sz w:val="28"/>
          <w:szCs w:val="28"/>
          <w:lang w:eastAsia="es-ES_tradnl"/>
        </w:rPr>
      </w:pPr>
      <w:r w:rsidRPr="00EA0622">
        <w:rPr>
          <w:rFonts w:ascii="Times New Roman" w:eastAsia="Times New Roman" w:hAnsi="Times New Roman" w:cs="Times New Roman"/>
          <w:sz w:val="28"/>
          <w:szCs w:val="28"/>
          <w:lang w:eastAsia="es-ES_tradnl"/>
        </w:rPr>
        <w:t xml:space="preserve">El mayor importe en la partida de Aprovisionamientos se debe a que se han ejecutado más acciones promocionales básicamente por el incremento de Otros ingresos de explotación, tanto en Ingresos accesorios y otros de gestión corriente como en Subvenciones de explotación incorporadas al resultado del ejercicio. </w:t>
      </w:r>
    </w:p>
    <w:p w:rsidR="00EA0622" w:rsidRPr="00EA0622" w:rsidRDefault="00EA0622" w:rsidP="00EA0622">
      <w:pPr>
        <w:tabs>
          <w:tab w:val="right" w:pos="-5940"/>
        </w:tabs>
        <w:ind w:right="44"/>
        <w:jc w:val="both"/>
        <w:rPr>
          <w:rFonts w:ascii="Times New Roman" w:eastAsia="Times New Roman" w:hAnsi="Times New Roman" w:cs="Times New Roman"/>
          <w:sz w:val="28"/>
          <w:szCs w:val="28"/>
          <w:lang w:eastAsia="es-ES_tradnl"/>
        </w:rPr>
      </w:pPr>
    </w:p>
    <w:p w:rsidR="00EA0622" w:rsidRPr="00EA0622" w:rsidRDefault="00EA0622" w:rsidP="00EA0622">
      <w:pPr>
        <w:tabs>
          <w:tab w:val="right" w:pos="-5940"/>
        </w:tabs>
        <w:ind w:right="44"/>
        <w:jc w:val="both"/>
        <w:rPr>
          <w:rFonts w:ascii="Times New Roman" w:eastAsia="Times New Roman" w:hAnsi="Times New Roman" w:cs="Times New Roman"/>
          <w:sz w:val="28"/>
          <w:szCs w:val="28"/>
          <w:lang w:eastAsia="es-ES_tradnl"/>
        </w:rPr>
      </w:pPr>
      <w:r w:rsidRPr="00EA0622">
        <w:rPr>
          <w:rFonts w:ascii="Times New Roman" w:eastAsia="Times New Roman" w:hAnsi="Times New Roman" w:cs="Times New Roman"/>
          <w:sz w:val="28"/>
          <w:szCs w:val="28"/>
          <w:lang w:eastAsia="es-ES_tradnl"/>
        </w:rPr>
        <w:t>El mayor importe de Ingresos accesorios es debido a la facturación realizada a terceros con motivo de algunas Ferias.</w:t>
      </w:r>
    </w:p>
    <w:p w:rsidR="00EA0622" w:rsidRPr="00EA0622" w:rsidRDefault="00EA0622" w:rsidP="00EA0622">
      <w:pPr>
        <w:tabs>
          <w:tab w:val="right" w:pos="-5940"/>
        </w:tabs>
        <w:ind w:right="44"/>
        <w:jc w:val="both"/>
        <w:rPr>
          <w:rFonts w:ascii="Times New Roman" w:eastAsia="Times New Roman" w:hAnsi="Times New Roman" w:cs="Times New Roman"/>
          <w:sz w:val="28"/>
          <w:szCs w:val="28"/>
          <w:lang w:eastAsia="es-ES_tradnl"/>
        </w:rPr>
      </w:pPr>
    </w:p>
    <w:p w:rsidR="00EA0622" w:rsidRPr="00EA0622" w:rsidRDefault="00EA0622" w:rsidP="00EA0622">
      <w:pPr>
        <w:tabs>
          <w:tab w:val="right" w:pos="-5940"/>
        </w:tabs>
        <w:ind w:right="44"/>
        <w:jc w:val="both"/>
        <w:rPr>
          <w:rFonts w:ascii="Times New Roman" w:eastAsia="Times New Roman" w:hAnsi="Times New Roman" w:cs="Times New Roman"/>
          <w:sz w:val="28"/>
          <w:szCs w:val="28"/>
          <w:lang w:eastAsia="es-ES_tradnl"/>
        </w:rPr>
      </w:pPr>
      <w:r w:rsidRPr="00EA0622">
        <w:rPr>
          <w:rFonts w:ascii="Times New Roman" w:eastAsia="Times New Roman" w:hAnsi="Times New Roman" w:cs="Times New Roman"/>
          <w:sz w:val="28"/>
          <w:szCs w:val="28"/>
          <w:lang w:eastAsia="es-ES_tradnl"/>
        </w:rPr>
        <w:t xml:space="preserve">En cuanto a la cifra de Subvenciones de explotación incorporadas al resultado del ejercicio, el mayor importe registrado se debe a un incremento de la aportación dineraria para el desarrollo de la promoción turística por 500.000,00 euros más unas nuevas aportaciones para la promoción turística de las artes y la cultura canaria por 400.000,00 euros, para la promoción de la gastronomía canaria por 190.000,00 euros y para la promoción turística de el Hierro por 300.000,00 euros. Esta última fue incorporada a través de una enmienda parlamentaria del presupuesto. </w:t>
      </w:r>
    </w:p>
    <w:p w:rsidR="00EA0622" w:rsidRPr="00EA0622" w:rsidRDefault="00EA0622" w:rsidP="00EA0622">
      <w:pPr>
        <w:tabs>
          <w:tab w:val="right" w:pos="-5940"/>
        </w:tabs>
        <w:ind w:right="44"/>
        <w:jc w:val="both"/>
        <w:rPr>
          <w:rFonts w:ascii="Times New Roman" w:eastAsia="Times New Roman" w:hAnsi="Times New Roman" w:cs="Times New Roman"/>
          <w:sz w:val="28"/>
          <w:szCs w:val="28"/>
          <w:lang w:eastAsia="es-ES_tradnl"/>
        </w:rPr>
      </w:pPr>
      <w:r w:rsidRPr="00EA0622">
        <w:rPr>
          <w:rFonts w:ascii="Times New Roman" w:eastAsia="Times New Roman" w:hAnsi="Times New Roman" w:cs="Times New Roman"/>
          <w:sz w:val="28"/>
          <w:szCs w:val="28"/>
          <w:lang w:eastAsia="es-ES_tradnl"/>
        </w:rPr>
        <w:t xml:space="preserve">Por otro lado, hubo una aportación dineraria prevista inicialmente en el </w:t>
      </w:r>
      <w:proofErr w:type="spellStart"/>
      <w:r w:rsidRPr="00EA0622">
        <w:rPr>
          <w:rFonts w:ascii="Times New Roman" w:eastAsia="Times New Roman" w:hAnsi="Times New Roman" w:cs="Times New Roman"/>
          <w:sz w:val="28"/>
          <w:szCs w:val="28"/>
          <w:lang w:eastAsia="es-ES_tradnl"/>
        </w:rPr>
        <w:t>paif</w:t>
      </w:r>
      <w:proofErr w:type="spellEnd"/>
      <w:r w:rsidRPr="00EA0622">
        <w:rPr>
          <w:rFonts w:ascii="Times New Roman" w:eastAsia="Times New Roman" w:hAnsi="Times New Roman" w:cs="Times New Roman"/>
          <w:sz w:val="28"/>
          <w:szCs w:val="28"/>
          <w:lang w:eastAsia="es-ES_tradnl"/>
        </w:rPr>
        <w:t xml:space="preserve"> para patrocinios deportivos que fue cancelada mediante enmienda parlamentaria del presupuesto por importe de 1.200.000,00 euros.</w:t>
      </w:r>
    </w:p>
    <w:p w:rsidR="00EA0622" w:rsidRPr="00EA0622" w:rsidRDefault="00EA0622" w:rsidP="00EA0622">
      <w:pPr>
        <w:tabs>
          <w:tab w:val="right" w:pos="-5940"/>
        </w:tabs>
        <w:ind w:right="44"/>
        <w:jc w:val="both"/>
        <w:rPr>
          <w:rFonts w:ascii="Times New Roman" w:eastAsia="Times New Roman" w:hAnsi="Times New Roman" w:cs="Times New Roman"/>
          <w:sz w:val="28"/>
          <w:szCs w:val="28"/>
          <w:lang w:eastAsia="es-ES_tradnl"/>
        </w:rPr>
      </w:pPr>
      <w:r w:rsidRPr="00EA0622">
        <w:rPr>
          <w:rFonts w:ascii="Times New Roman" w:eastAsia="Times New Roman" w:hAnsi="Times New Roman" w:cs="Times New Roman"/>
          <w:sz w:val="28"/>
          <w:szCs w:val="28"/>
          <w:lang w:eastAsia="es-ES_tradnl"/>
        </w:rPr>
        <w:t xml:space="preserve">Todas las aportaciones dinerarias se ejecutaron en su totalidad, excepto la de promoción turística de las artes y la cultura canaria, de la que se reintegró 19.692,96 euros y la ampliación para el desarrollo de la promoción turística, de la que se reintegró 9.709,58 euros. Estos importes no aplicados se restaron de la partida de Subvenciones de explotación y fueron reintegrados en 2019.    </w:t>
      </w:r>
    </w:p>
    <w:p w:rsidR="00EA0622" w:rsidRPr="00EA0622" w:rsidRDefault="00EA0622" w:rsidP="00EA0622">
      <w:pPr>
        <w:tabs>
          <w:tab w:val="right" w:pos="-5940"/>
        </w:tabs>
        <w:ind w:right="44"/>
        <w:jc w:val="both"/>
        <w:rPr>
          <w:rFonts w:ascii="Times New Roman" w:eastAsia="Times New Roman" w:hAnsi="Times New Roman" w:cs="Times New Roman"/>
          <w:sz w:val="28"/>
          <w:szCs w:val="28"/>
          <w:lang w:eastAsia="es-ES_tradnl"/>
        </w:rPr>
      </w:pPr>
    </w:p>
    <w:p w:rsidR="00EA0622" w:rsidRPr="00EA0622" w:rsidRDefault="00EA0622" w:rsidP="00EA0622">
      <w:pPr>
        <w:tabs>
          <w:tab w:val="right" w:pos="-5940"/>
        </w:tabs>
        <w:ind w:right="44"/>
        <w:jc w:val="both"/>
        <w:rPr>
          <w:rFonts w:ascii="Times New Roman" w:eastAsia="Times New Roman" w:hAnsi="Times New Roman" w:cs="Times New Roman"/>
          <w:sz w:val="28"/>
          <w:szCs w:val="28"/>
          <w:lang w:eastAsia="es-ES_tradnl"/>
        </w:rPr>
      </w:pPr>
      <w:r w:rsidRPr="00EA0622">
        <w:rPr>
          <w:rFonts w:ascii="Times New Roman" w:eastAsia="Times New Roman" w:hAnsi="Times New Roman" w:cs="Times New Roman"/>
          <w:sz w:val="28"/>
          <w:szCs w:val="28"/>
          <w:lang w:eastAsia="es-ES_tradnl"/>
        </w:rPr>
        <w:lastRenderedPageBreak/>
        <w:t>El Gasto de Personal es inferior al previsto en el PAIF debido básicamente al menor coste de salario y seguridad social por un trabajador en situación de excedencia hasta que se cubrió su plaza y por algunas bajas temporales por IT durante el año.</w:t>
      </w:r>
    </w:p>
    <w:p w:rsidR="00EA0622" w:rsidRPr="00EA0622" w:rsidRDefault="00EA0622" w:rsidP="00EA0622">
      <w:pPr>
        <w:tabs>
          <w:tab w:val="right" w:pos="-5940"/>
        </w:tabs>
        <w:ind w:right="44"/>
        <w:jc w:val="both"/>
        <w:rPr>
          <w:rFonts w:ascii="Times New Roman" w:eastAsia="Times New Roman" w:hAnsi="Times New Roman" w:cs="Times New Roman"/>
          <w:sz w:val="28"/>
          <w:szCs w:val="28"/>
          <w:lang w:eastAsia="es-ES_tradnl"/>
        </w:rPr>
      </w:pPr>
      <w:r w:rsidRPr="00EA0622">
        <w:rPr>
          <w:rFonts w:ascii="Times New Roman" w:eastAsia="Times New Roman" w:hAnsi="Times New Roman" w:cs="Times New Roman"/>
          <w:sz w:val="28"/>
          <w:szCs w:val="28"/>
          <w:lang w:eastAsia="es-ES_tradnl"/>
        </w:rPr>
        <w:t xml:space="preserve"> </w:t>
      </w:r>
    </w:p>
    <w:p w:rsidR="00EA0622" w:rsidRPr="00EA0622" w:rsidRDefault="00EA0622" w:rsidP="00EA0622">
      <w:pPr>
        <w:tabs>
          <w:tab w:val="right" w:pos="-5940"/>
        </w:tabs>
        <w:ind w:right="44"/>
        <w:jc w:val="both"/>
        <w:rPr>
          <w:rFonts w:ascii="Times New Roman" w:eastAsia="Times New Roman" w:hAnsi="Times New Roman" w:cs="Times New Roman"/>
          <w:sz w:val="28"/>
          <w:szCs w:val="28"/>
          <w:lang w:eastAsia="es-ES_tradnl"/>
        </w:rPr>
      </w:pPr>
      <w:r w:rsidRPr="00EA0622">
        <w:rPr>
          <w:rFonts w:ascii="Times New Roman" w:eastAsia="Times New Roman" w:hAnsi="Times New Roman" w:cs="Times New Roman"/>
          <w:sz w:val="28"/>
          <w:szCs w:val="28"/>
          <w:lang w:eastAsia="es-ES_tradnl"/>
        </w:rPr>
        <w:t>La partida de Otros Gastos de Explotación también es inferior a la prevista en el PAIF por un importe inferior en Servicios exteriores.</w:t>
      </w:r>
    </w:p>
    <w:p w:rsidR="00760FBF" w:rsidRPr="002419A9" w:rsidRDefault="00760FBF"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r>
      <w:r w:rsidRPr="0067587F">
        <w:rPr>
          <w:rFonts w:ascii="Times" w:eastAsia="Times" w:hAnsi="Times" w:cs="Times New Roman"/>
          <w:sz w:val="28"/>
          <w:szCs w:val="28"/>
          <w:lang w:eastAsia="es-ES"/>
        </w:rPr>
        <w:t xml:space="preserve">Las desviaciones del Presupuesto de explotación, comentadas y </w:t>
      </w:r>
      <w:r w:rsidRPr="0067587F">
        <w:rPr>
          <w:rFonts w:ascii="Times" w:eastAsia="Times" w:hAnsi="Times" w:cs="Times New Roman"/>
          <w:sz w:val="28"/>
          <w:szCs w:val="28"/>
          <w:lang w:eastAsia="es-ES"/>
        </w:rPr>
        <w:tab/>
        <w:t xml:space="preserve">reflejadas en el Anexo I.A., cumplen con la normativa </w:t>
      </w:r>
      <w:r w:rsidRPr="0067587F">
        <w:rPr>
          <w:rFonts w:ascii="Times" w:eastAsia="Times" w:hAnsi="Times" w:cs="Times New Roman"/>
          <w:sz w:val="28"/>
          <w:szCs w:val="28"/>
          <w:lang w:eastAsia="es-ES"/>
        </w:rPr>
        <w:tab/>
        <w:t>vigente</w:t>
      </w:r>
      <w:r w:rsidR="001925B4" w:rsidRPr="0067587F">
        <w:rPr>
          <w:rFonts w:ascii="Times" w:eastAsia="Times" w:hAnsi="Times" w:cs="Times New Roman"/>
          <w:sz w:val="28"/>
          <w:szCs w:val="28"/>
          <w:lang w:eastAsia="es-ES"/>
        </w:rPr>
        <w:t>. Por un lado, el gasto de personal</w:t>
      </w:r>
      <w:r w:rsidR="0067587F" w:rsidRPr="0067587F">
        <w:rPr>
          <w:rFonts w:ascii="Times" w:eastAsia="Times" w:hAnsi="Times" w:cs="Times New Roman"/>
          <w:sz w:val="28"/>
          <w:szCs w:val="28"/>
          <w:lang w:eastAsia="es-ES"/>
        </w:rPr>
        <w:t xml:space="preserve"> y de explotación es inferior al previsto en el </w:t>
      </w:r>
      <w:proofErr w:type="spellStart"/>
      <w:r w:rsidR="0067587F" w:rsidRPr="0067587F">
        <w:rPr>
          <w:rFonts w:ascii="Times" w:eastAsia="Times" w:hAnsi="Times" w:cs="Times New Roman"/>
          <w:sz w:val="28"/>
          <w:szCs w:val="28"/>
          <w:lang w:eastAsia="es-ES"/>
        </w:rPr>
        <w:t>paif</w:t>
      </w:r>
      <w:proofErr w:type="spellEnd"/>
      <w:r w:rsidR="0067587F" w:rsidRPr="0067587F">
        <w:rPr>
          <w:rFonts w:ascii="Times" w:eastAsia="Times" w:hAnsi="Times" w:cs="Times New Roman"/>
          <w:sz w:val="28"/>
          <w:szCs w:val="28"/>
          <w:lang w:eastAsia="es-ES"/>
        </w:rPr>
        <w:t xml:space="preserve">, </w:t>
      </w:r>
      <w:proofErr w:type="gramStart"/>
      <w:r w:rsidR="0067587F" w:rsidRPr="0067587F">
        <w:rPr>
          <w:rFonts w:ascii="Times" w:eastAsia="Times" w:hAnsi="Times" w:cs="Times New Roman"/>
          <w:sz w:val="28"/>
          <w:szCs w:val="28"/>
          <w:lang w:eastAsia="es-ES"/>
        </w:rPr>
        <w:t>y</w:t>
      </w:r>
      <w:proofErr w:type="gramEnd"/>
      <w:r w:rsidR="0067587F" w:rsidRPr="0067587F">
        <w:rPr>
          <w:rFonts w:ascii="Times" w:eastAsia="Times" w:hAnsi="Times" w:cs="Times New Roman"/>
          <w:sz w:val="28"/>
          <w:szCs w:val="28"/>
          <w:lang w:eastAsia="es-ES"/>
        </w:rPr>
        <w:t xml:space="preserve"> por otro lado, el mayor gasto en la actividad promocional viene derivada de una mayor financiación a través de ingresos accesorios y subvenciones, algunas de las cuáles fueron incorporadas al presupuesto de la empresa mediante enmienda parlamentaria. </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t>PRESUPUESTO DE CAPITAL (Anexo I.B)</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0E2BFF" w:rsidRDefault="002419A9" w:rsidP="000E2BFF">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r>
      <w:r w:rsidRPr="002419A9">
        <w:rPr>
          <w:rFonts w:ascii="Times" w:eastAsia="Times" w:hAnsi="Times" w:cs="Times New Roman"/>
          <w:sz w:val="28"/>
          <w:szCs w:val="28"/>
          <w:lang w:eastAsia="es-ES"/>
        </w:rPr>
        <w:tab/>
      </w:r>
      <w:r w:rsidRPr="002419A9">
        <w:rPr>
          <w:rFonts w:ascii="Times" w:eastAsia="Times" w:hAnsi="Times" w:cs="Times New Roman"/>
          <w:sz w:val="28"/>
          <w:szCs w:val="28"/>
          <w:lang w:eastAsia="es-ES"/>
        </w:rPr>
        <w:tab/>
      </w:r>
      <w:r w:rsidRPr="002419A9">
        <w:rPr>
          <w:rFonts w:ascii="Times" w:eastAsia="Times" w:hAnsi="Times" w:cs="Times New Roman"/>
          <w:sz w:val="28"/>
          <w:szCs w:val="28"/>
          <w:lang w:eastAsia="es-ES"/>
        </w:rPr>
        <w:tab/>
      </w:r>
      <w:r w:rsidRPr="002419A9">
        <w:rPr>
          <w:rFonts w:ascii="Times" w:eastAsia="Times" w:hAnsi="Times" w:cs="Times New Roman"/>
          <w:sz w:val="28"/>
          <w:szCs w:val="28"/>
          <w:lang w:eastAsia="es-ES"/>
        </w:rPr>
        <w:tab/>
      </w:r>
      <w:r w:rsidRPr="000E2BFF">
        <w:rPr>
          <w:rFonts w:ascii="Times" w:eastAsia="Times" w:hAnsi="Times" w:cs="Times New Roman"/>
          <w:sz w:val="28"/>
          <w:szCs w:val="28"/>
          <w:lang w:eastAsia="es-ES"/>
        </w:rPr>
        <w:t xml:space="preserve">Las desviaciones producidas en el presupuesto de capital se han </w:t>
      </w:r>
      <w:r w:rsidRPr="000E2BFF">
        <w:rPr>
          <w:rFonts w:ascii="Times" w:eastAsia="Times" w:hAnsi="Times" w:cs="Times New Roman"/>
          <w:sz w:val="28"/>
          <w:szCs w:val="28"/>
          <w:lang w:eastAsia="es-ES"/>
        </w:rPr>
        <w:tab/>
        <w:t xml:space="preserve">materializado básicamente en el capital corriente. Se trata por </w:t>
      </w:r>
      <w:r w:rsidRPr="000E2BFF">
        <w:rPr>
          <w:rFonts w:ascii="Times" w:eastAsia="Times" w:hAnsi="Times" w:cs="Times New Roman"/>
          <w:sz w:val="28"/>
          <w:szCs w:val="28"/>
          <w:lang w:eastAsia="es-ES"/>
        </w:rPr>
        <w:tab/>
        <w:t xml:space="preserve">tanto de  importes </w:t>
      </w:r>
      <w:r w:rsidRPr="000E2BFF">
        <w:rPr>
          <w:rFonts w:ascii="Times" w:eastAsia="Times" w:hAnsi="Times" w:cs="Times New Roman"/>
          <w:sz w:val="28"/>
          <w:szCs w:val="28"/>
          <w:lang w:eastAsia="es-ES"/>
        </w:rPr>
        <w:tab/>
        <w:t xml:space="preserve">que varían mucho de un trimestre a otro y no </w:t>
      </w:r>
      <w:r w:rsidRPr="000E2BFF">
        <w:rPr>
          <w:rFonts w:ascii="Times" w:eastAsia="Times" w:hAnsi="Times" w:cs="Times New Roman"/>
          <w:sz w:val="28"/>
          <w:szCs w:val="28"/>
          <w:lang w:eastAsia="es-ES"/>
        </w:rPr>
        <w:tab/>
        <w:t>son muy significativos para ver la evolución de la empresa.</w:t>
      </w:r>
    </w:p>
    <w:p w:rsidR="002419A9" w:rsidRPr="00C402EF" w:rsidRDefault="002419A9" w:rsidP="002419A9">
      <w:pPr>
        <w:tabs>
          <w:tab w:val="right" w:pos="-5940"/>
        </w:tabs>
        <w:ind w:right="44"/>
        <w:jc w:val="both"/>
        <w:rPr>
          <w:rFonts w:ascii="Times" w:eastAsia="Times" w:hAnsi="Times" w:cs="Times New Roman"/>
          <w:sz w:val="28"/>
          <w:szCs w:val="28"/>
          <w:highlight w:val="yellow"/>
          <w:lang w:eastAsia="es-ES"/>
        </w:rPr>
      </w:pPr>
    </w:p>
    <w:p w:rsidR="002419A9" w:rsidRPr="000E2BFF" w:rsidRDefault="002419A9" w:rsidP="002419A9">
      <w:pPr>
        <w:tabs>
          <w:tab w:val="right" w:pos="-5940"/>
        </w:tabs>
        <w:ind w:right="44"/>
        <w:jc w:val="both"/>
        <w:rPr>
          <w:rFonts w:ascii="Times" w:eastAsia="Times" w:hAnsi="Times" w:cs="Times New Roman"/>
          <w:sz w:val="28"/>
          <w:szCs w:val="28"/>
          <w:lang w:eastAsia="es-ES"/>
        </w:rPr>
      </w:pPr>
      <w:r w:rsidRPr="000E2BFF">
        <w:rPr>
          <w:rFonts w:ascii="Times" w:eastAsia="Times" w:hAnsi="Times" w:cs="Times New Roman"/>
          <w:sz w:val="28"/>
          <w:szCs w:val="28"/>
          <w:lang w:eastAsia="es-ES"/>
        </w:rPr>
        <w:tab/>
        <w:t xml:space="preserve">La desviación en Deudores y otras cuentas a cobrar viene </w:t>
      </w:r>
      <w:r w:rsidRPr="000E2BFF">
        <w:rPr>
          <w:rFonts w:ascii="Times" w:eastAsia="Times" w:hAnsi="Times" w:cs="Times New Roman"/>
          <w:sz w:val="28"/>
          <w:szCs w:val="28"/>
          <w:lang w:eastAsia="es-ES"/>
        </w:rPr>
        <w:tab/>
        <w:t xml:space="preserve">motivada sobre todo por los importes de las transferencias para </w:t>
      </w:r>
      <w:r w:rsidRPr="000E2BFF">
        <w:rPr>
          <w:rFonts w:ascii="Times" w:eastAsia="Times" w:hAnsi="Times" w:cs="Times New Roman"/>
          <w:sz w:val="28"/>
          <w:szCs w:val="28"/>
          <w:lang w:eastAsia="es-ES"/>
        </w:rPr>
        <w:tab/>
        <w:t xml:space="preserve">el desarrollo de la actividad promocional  pendientes de cobro </w:t>
      </w:r>
      <w:r w:rsidRPr="000E2BFF">
        <w:rPr>
          <w:rFonts w:ascii="Times" w:eastAsia="Times" w:hAnsi="Times" w:cs="Times New Roman"/>
          <w:sz w:val="28"/>
          <w:szCs w:val="28"/>
          <w:lang w:eastAsia="es-ES"/>
        </w:rPr>
        <w:tab/>
        <w:t>del Tesoro Canario. En 201</w:t>
      </w:r>
      <w:r w:rsidR="000E2BFF" w:rsidRPr="000E2BFF">
        <w:rPr>
          <w:rFonts w:ascii="Times" w:eastAsia="Times" w:hAnsi="Times" w:cs="Times New Roman"/>
          <w:sz w:val="28"/>
          <w:szCs w:val="28"/>
          <w:lang w:eastAsia="es-ES"/>
        </w:rPr>
        <w:t>8</w:t>
      </w:r>
      <w:r w:rsidRPr="000E2BFF">
        <w:rPr>
          <w:rFonts w:ascii="Times" w:eastAsia="Times" w:hAnsi="Times" w:cs="Times New Roman"/>
          <w:sz w:val="28"/>
          <w:szCs w:val="28"/>
          <w:lang w:eastAsia="es-ES"/>
        </w:rPr>
        <w:t xml:space="preserve"> estas cantidades pendientes de </w:t>
      </w:r>
      <w:r w:rsidRPr="000E2BFF">
        <w:rPr>
          <w:rFonts w:ascii="Times" w:eastAsia="Times" w:hAnsi="Times" w:cs="Times New Roman"/>
          <w:sz w:val="28"/>
          <w:szCs w:val="28"/>
          <w:lang w:eastAsia="es-ES"/>
        </w:rPr>
        <w:tab/>
        <w:t xml:space="preserve">cobro eran </w:t>
      </w:r>
      <w:r w:rsidR="000E2BFF" w:rsidRPr="000E2BFF">
        <w:rPr>
          <w:rFonts w:ascii="Times" w:eastAsia="Times" w:hAnsi="Times" w:cs="Times New Roman"/>
          <w:sz w:val="28"/>
          <w:szCs w:val="28"/>
          <w:lang w:eastAsia="es-ES"/>
        </w:rPr>
        <w:t>inferiores</w:t>
      </w:r>
      <w:r w:rsidRPr="000E2BFF">
        <w:rPr>
          <w:rFonts w:ascii="Times" w:eastAsia="Times" w:hAnsi="Times" w:cs="Times New Roman"/>
          <w:sz w:val="28"/>
          <w:szCs w:val="28"/>
          <w:lang w:eastAsia="es-ES"/>
        </w:rPr>
        <w:t xml:space="preserve"> a las del ejercicio 201</w:t>
      </w:r>
      <w:r w:rsidR="000E2BFF" w:rsidRPr="000E2BFF">
        <w:rPr>
          <w:rFonts w:ascii="Times" w:eastAsia="Times" w:hAnsi="Times" w:cs="Times New Roman"/>
          <w:sz w:val="28"/>
          <w:szCs w:val="28"/>
          <w:lang w:eastAsia="es-ES"/>
        </w:rPr>
        <w:t>7</w:t>
      </w:r>
      <w:r w:rsidRPr="000E2BFF">
        <w:rPr>
          <w:rFonts w:ascii="Times" w:eastAsia="Times" w:hAnsi="Times" w:cs="Times New Roman"/>
          <w:sz w:val="28"/>
          <w:szCs w:val="28"/>
          <w:lang w:eastAsia="es-ES"/>
        </w:rPr>
        <w:t>.</w:t>
      </w:r>
      <w:r w:rsidRPr="000E2BFF">
        <w:rPr>
          <w:rFonts w:ascii="Times" w:eastAsia="Times" w:hAnsi="Times" w:cs="Times New Roman"/>
          <w:sz w:val="28"/>
          <w:szCs w:val="28"/>
          <w:lang w:eastAsia="es-ES"/>
        </w:rPr>
        <w:tab/>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A051C2" w:rsidRDefault="002419A9" w:rsidP="002419A9">
      <w:pPr>
        <w:tabs>
          <w:tab w:val="right" w:pos="-5940"/>
        </w:tabs>
        <w:ind w:right="45"/>
        <w:jc w:val="both"/>
        <w:rPr>
          <w:rFonts w:ascii="Times" w:eastAsia="Times" w:hAnsi="Times" w:cs="Times New Roman"/>
          <w:sz w:val="28"/>
          <w:szCs w:val="28"/>
          <w:lang w:eastAsia="es-ES"/>
        </w:rPr>
      </w:pPr>
      <w:r w:rsidRPr="00A051C2">
        <w:rPr>
          <w:rFonts w:ascii="Times" w:eastAsia="Times" w:hAnsi="Times" w:cs="Times New Roman"/>
          <w:sz w:val="28"/>
          <w:szCs w:val="28"/>
          <w:lang w:eastAsia="es-ES"/>
        </w:rPr>
        <w:t>La desviación del importe realizado de Acreedores y otras cuentas a pagar se debe</w:t>
      </w:r>
      <w:r w:rsidRPr="00A051C2">
        <w:rPr>
          <w:rFonts w:ascii="Times" w:eastAsia="Times" w:hAnsi="Times" w:cs="Times New Roman"/>
          <w:sz w:val="28"/>
          <w:szCs w:val="28"/>
          <w:lang w:eastAsia="es-ES"/>
        </w:rPr>
        <w:tab/>
        <w:t>principalmente a que se quedó pendiente de pago, a 31 de diciembre, m</w:t>
      </w:r>
      <w:r w:rsidR="000E2BFF" w:rsidRPr="00A051C2">
        <w:rPr>
          <w:rFonts w:ascii="Times" w:eastAsia="Times" w:hAnsi="Times" w:cs="Times New Roman"/>
          <w:sz w:val="28"/>
          <w:szCs w:val="28"/>
          <w:lang w:eastAsia="es-ES"/>
        </w:rPr>
        <w:t>eno</w:t>
      </w:r>
      <w:r w:rsidRPr="00A051C2">
        <w:rPr>
          <w:rFonts w:ascii="Times" w:eastAsia="Times" w:hAnsi="Times" w:cs="Times New Roman"/>
          <w:sz w:val="28"/>
          <w:szCs w:val="28"/>
          <w:lang w:eastAsia="es-ES"/>
        </w:rPr>
        <w:t xml:space="preserve">s acreedores de los inicialmente previstos, </w:t>
      </w:r>
      <w:r w:rsidRPr="00A051C2">
        <w:rPr>
          <w:rFonts w:ascii="Times" w:eastAsia="Times" w:hAnsi="Times" w:cs="Times New Roman"/>
          <w:sz w:val="28"/>
          <w:szCs w:val="28"/>
          <w:lang w:eastAsia="es-ES"/>
        </w:rPr>
        <w:tab/>
        <w:t xml:space="preserve">motivado </w:t>
      </w:r>
      <w:r w:rsidRPr="00A051C2">
        <w:rPr>
          <w:rFonts w:ascii="Times" w:eastAsia="Times" w:hAnsi="Times" w:cs="Times New Roman"/>
          <w:sz w:val="28"/>
          <w:szCs w:val="28"/>
          <w:lang w:eastAsia="es-ES"/>
        </w:rPr>
        <w:tab/>
        <w:t>principalmente por</w:t>
      </w:r>
      <w:r w:rsidR="00A051C2" w:rsidRPr="00A051C2">
        <w:rPr>
          <w:rFonts w:ascii="Times" w:eastAsia="Times" w:hAnsi="Times" w:cs="Times New Roman"/>
          <w:sz w:val="28"/>
          <w:szCs w:val="28"/>
          <w:lang w:eastAsia="es-ES"/>
        </w:rPr>
        <w:t xml:space="preserve"> menor volumen de</w:t>
      </w:r>
      <w:r w:rsidRPr="00A051C2">
        <w:rPr>
          <w:rFonts w:ascii="Times" w:eastAsia="Times" w:hAnsi="Times" w:cs="Times New Roman"/>
          <w:sz w:val="28"/>
          <w:szCs w:val="28"/>
          <w:lang w:eastAsia="es-ES"/>
        </w:rPr>
        <w:t xml:space="preserve"> facturas recibidas en el ejercicio siguiente.  </w:t>
      </w:r>
    </w:p>
    <w:p w:rsidR="002419A9" w:rsidRPr="00A051C2" w:rsidRDefault="002419A9" w:rsidP="002419A9">
      <w:pPr>
        <w:tabs>
          <w:tab w:val="right" w:pos="-5940"/>
        </w:tabs>
        <w:ind w:left="708" w:right="44" w:hanging="708"/>
        <w:jc w:val="both"/>
        <w:rPr>
          <w:rFonts w:ascii="Times" w:eastAsia="Times" w:hAnsi="Times" w:cs="Times New Roman"/>
          <w:sz w:val="28"/>
          <w:szCs w:val="28"/>
          <w:lang w:eastAsia="es-ES"/>
        </w:rPr>
      </w:pPr>
    </w:p>
    <w:p w:rsidR="002419A9" w:rsidRPr="002419A9" w:rsidRDefault="002419A9" w:rsidP="002419A9">
      <w:pPr>
        <w:tabs>
          <w:tab w:val="right" w:pos="-5940"/>
        </w:tabs>
        <w:ind w:right="45"/>
        <w:jc w:val="both"/>
        <w:rPr>
          <w:rFonts w:ascii="Times" w:eastAsia="Times" w:hAnsi="Times" w:cs="Times New Roman"/>
          <w:sz w:val="28"/>
          <w:szCs w:val="28"/>
          <w:lang w:eastAsia="es-ES"/>
        </w:rPr>
      </w:pPr>
      <w:r w:rsidRPr="00A051C2">
        <w:rPr>
          <w:rFonts w:ascii="Times" w:eastAsia="Times" w:hAnsi="Times" w:cs="Times New Roman"/>
          <w:sz w:val="28"/>
          <w:szCs w:val="28"/>
          <w:lang w:eastAsia="es-ES"/>
        </w:rPr>
        <w:t>La diferencia del importe realizado de Otros pasivos corrientes, se debe a las periodificaciones a corto plazo de pasivo por la facturación anticipada a terceros por la asistencia a ferias del ejercicio siguiente, que fue superior a la prevista.</w:t>
      </w:r>
      <w:r w:rsidRPr="002419A9">
        <w:rPr>
          <w:rFonts w:ascii="Times" w:eastAsia="Times" w:hAnsi="Times" w:cs="Times New Roman"/>
          <w:sz w:val="28"/>
          <w:szCs w:val="28"/>
          <w:lang w:eastAsia="es-ES"/>
        </w:rPr>
        <w:t xml:space="preserve"> </w:t>
      </w:r>
    </w:p>
    <w:p w:rsidR="00A051C2" w:rsidRDefault="00A051C2" w:rsidP="002419A9">
      <w:pPr>
        <w:tabs>
          <w:tab w:val="right" w:pos="-5940"/>
        </w:tabs>
        <w:ind w:left="708" w:right="44" w:hanging="708"/>
        <w:jc w:val="both"/>
        <w:rPr>
          <w:rFonts w:ascii="Times" w:eastAsia="Times" w:hAnsi="Times" w:cs="Times New Roman"/>
          <w:sz w:val="28"/>
          <w:szCs w:val="28"/>
          <w:lang w:eastAsia="es-ES"/>
        </w:rPr>
      </w:pPr>
    </w:p>
    <w:p w:rsidR="00A051C2" w:rsidRDefault="00A051C2" w:rsidP="00A051C2">
      <w:pPr>
        <w:tabs>
          <w:tab w:val="right" w:pos="-5940"/>
        </w:tabs>
        <w:ind w:right="44"/>
        <w:jc w:val="both"/>
        <w:rPr>
          <w:rFonts w:ascii="Times New Roman" w:eastAsia="Times New Roman" w:hAnsi="Times New Roman" w:cs="Times New Roman"/>
          <w:sz w:val="28"/>
          <w:szCs w:val="28"/>
          <w:lang w:eastAsia="es-ES_tradnl"/>
        </w:rPr>
      </w:pPr>
      <w:r w:rsidRPr="00A051C2">
        <w:rPr>
          <w:rFonts w:ascii="Times New Roman" w:eastAsia="Times New Roman" w:hAnsi="Times New Roman" w:cs="Times New Roman"/>
          <w:sz w:val="28"/>
          <w:szCs w:val="28"/>
          <w:lang w:eastAsia="es-ES_tradnl"/>
        </w:rPr>
        <w:lastRenderedPageBreak/>
        <w:t>La desviación producida dentro del</w:t>
      </w:r>
      <w:r>
        <w:rPr>
          <w:rFonts w:ascii="Times New Roman" w:eastAsia="Times New Roman" w:hAnsi="Times New Roman" w:cs="Times New Roman"/>
          <w:sz w:val="28"/>
          <w:szCs w:val="28"/>
          <w:lang w:eastAsia="es-ES_tradnl"/>
        </w:rPr>
        <w:t xml:space="preserve"> Pago por inversiones de</w:t>
      </w:r>
      <w:r w:rsidRPr="00A051C2">
        <w:rPr>
          <w:rFonts w:ascii="Times New Roman" w:eastAsia="Times New Roman" w:hAnsi="Times New Roman" w:cs="Times New Roman"/>
          <w:sz w:val="28"/>
          <w:szCs w:val="28"/>
          <w:lang w:eastAsia="es-ES_tradnl"/>
        </w:rPr>
        <w:t xml:space="preserve"> Inmovilizado Intangible es debido a que </w:t>
      </w:r>
      <w:proofErr w:type="gramStart"/>
      <w:r w:rsidRPr="00A051C2">
        <w:rPr>
          <w:rFonts w:ascii="Times New Roman" w:eastAsia="Times New Roman" w:hAnsi="Times New Roman" w:cs="Times New Roman"/>
          <w:sz w:val="28"/>
          <w:szCs w:val="28"/>
          <w:lang w:eastAsia="es-ES_tradnl"/>
        </w:rPr>
        <w:t>la  nueva</w:t>
      </w:r>
      <w:proofErr w:type="gramEnd"/>
      <w:r w:rsidRPr="00A051C2">
        <w:rPr>
          <w:rFonts w:ascii="Times New Roman" w:eastAsia="Times New Roman" w:hAnsi="Times New Roman" w:cs="Times New Roman"/>
          <w:sz w:val="28"/>
          <w:szCs w:val="28"/>
          <w:lang w:eastAsia="es-ES_tradnl"/>
        </w:rPr>
        <w:t xml:space="preserve"> plataforma de licitación y contratación electrónica se encuentra todavía en proceso de implantación. </w:t>
      </w:r>
    </w:p>
    <w:p w:rsidR="00A051C2" w:rsidRDefault="00A051C2" w:rsidP="00A051C2">
      <w:pPr>
        <w:tabs>
          <w:tab w:val="right" w:pos="-5940"/>
        </w:tabs>
        <w:ind w:right="44"/>
        <w:jc w:val="both"/>
        <w:rPr>
          <w:rFonts w:ascii="Times New Roman" w:eastAsia="Times New Roman" w:hAnsi="Times New Roman" w:cs="Times New Roman"/>
          <w:sz w:val="28"/>
          <w:szCs w:val="28"/>
          <w:lang w:eastAsia="es-ES_tradnl"/>
        </w:rPr>
      </w:pPr>
    </w:p>
    <w:p w:rsidR="00A051C2" w:rsidRPr="00A051C2" w:rsidRDefault="00A051C2" w:rsidP="00A051C2">
      <w:pPr>
        <w:tabs>
          <w:tab w:val="right" w:pos="-5940"/>
        </w:tabs>
        <w:ind w:right="44"/>
        <w:jc w:val="both"/>
        <w:rPr>
          <w:rFonts w:ascii="Times New Roman" w:eastAsia="Times New Roman" w:hAnsi="Times New Roman" w:cs="Times New Roman"/>
          <w:sz w:val="28"/>
          <w:szCs w:val="28"/>
          <w:lang w:eastAsia="es-ES_tradnl"/>
        </w:rPr>
      </w:pPr>
      <w:r w:rsidRPr="00A051C2">
        <w:rPr>
          <w:rFonts w:ascii="Times New Roman" w:eastAsia="Times New Roman" w:hAnsi="Times New Roman" w:cs="Times New Roman"/>
          <w:sz w:val="28"/>
          <w:szCs w:val="28"/>
          <w:lang w:eastAsia="es-ES_tradnl"/>
        </w:rPr>
        <w:t xml:space="preserve">La desviación </w:t>
      </w:r>
      <w:r>
        <w:rPr>
          <w:rFonts w:ascii="Times New Roman" w:eastAsia="Times New Roman" w:hAnsi="Times New Roman" w:cs="Times New Roman"/>
          <w:sz w:val="28"/>
          <w:szCs w:val="28"/>
          <w:lang w:eastAsia="es-ES_tradnl"/>
        </w:rPr>
        <w:t>en el Pago por inversiones de Inmovilizado Material</w:t>
      </w:r>
      <w:r w:rsidRPr="00A051C2">
        <w:rPr>
          <w:rFonts w:ascii="Times New Roman" w:eastAsia="Times New Roman" w:hAnsi="Times New Roman" w:cs="Times New Roman"/>
          <w:sz w:val="28"/>
          <w:szCs w:val="28"/>
          <w:lang w:eastAsia="es-ES_tradnl"/>
        </w:rPr>
        <w:t xml:space="preserve"> se debe básicamente a </w:t>
      </w:r>
      <w:r w:rsidR="00760FBF">
        <w:rPr>
          <w:rFonts w:ascii="Times New Roman" w:eastAsia="Times New Roman" w:hAnsi="Times New Roman" w:cs="Times New Roman"/>
          <w:sz w:val="28"/>
          <w:szCs w:val="28"/>
          <w:lang w:eastAsia="es-ES_tradnl"/>
        </w:rPr>
        <w:t xml:space="preserve">que </w:t>
      </w:r>
      <w:proofErr w:type="gramStart"/>
      <w:r w:rsidR="00760FBF">
        <w:rPr>
          <w:rFonts w:ascii="Times New Roman" w:eastAsia="Times New Roman" w:hAnsi="Times New Roman" w:cs="Times New Roman"/>
          <w:sz w:val="28"/>
          <w:szCs w:val="28"/>
          <w:lang w:eastAsia="es-ES_tradnl"/>
        </w:rPr>
        <w:t>la</w:t>
      </w:r>
      <w:r w:rsidRPr="00A051C2">
        <w:rPr>
          <w:rFonts w:ascii="Times New Roman" w:eastAsia="Times New Roman" w:hAnsi="Times New Roman" w:cs="Times New Roman"/>
          <w:sz w:val="28"/>
          <w:szCs w:val="28"/>
          <w:lang w:eastAsia="es-ES_tradnl"/>
        </w:rPr>
        <w:t xml:space="preserve"> compra de alg</w:t>
      </w:r>
      <w:r w:rsidR="00760FBF">
        <w:rPr>
          <w:rFonts w:ascii="Times New Roman" w:eastAsia="Times New Roman" w:hAnsi="Times New Roman" w:cs="Times New Roman"/>
          <w:sz w:val="28"/>
          <w:szCs w:val="28"/>
          <w:lang w:eastAsia="es-ES_tradnl"/>
        </w:rPr>
        <w:t>uno</w:t>
      </w:r>
      <w:r w:rsidRPr="00A051C2">
        <w:rPr>
          <w:rFonts w:ascii="Times New Roman" w:eastAsia="Times New Roman" w:hAnsi="Times New Roman" w:cs="Times New Roman"/>
          <w:sz w:val="28"/>
          <w:szCs w:val="28"/>
          <w:lang w:eastAsia="es-ES_tradnl"/>
        </w:rPr>
        <w:t xml:space="preserve"> </w:t>
      </w:r>
      <w:r w:rsidR="00760FBF">
        <w:rPr>
          <w:rFonts w:ascii="Times New Roman" w:eastAsia="Times New Roman" w:hAnsi="Times New Roman" w:cs="Times New Roman"/>
          <w:sz w:val="28"/>
          <w:szCs w:val="28"/>
          <w:lang w:eastAsia="es-ES_tradnl"/>
        </w:rPr>
        <w:t>de los activos previstos no fueron</w:t>
      </w:r>
      <w:proofErr w:type="gramEnd"/>
      <w:r w:rsidR="00760FBF">
        <w:rPr>
          <w:rFonts w:ascii="Times New Roman" w:eastAsia="Times New Roman" w:hAnsi="Times New Roman" w:cs="Times New Roman"/>
          <w:sz w:val="28"/>
          <w:szCs w:val="28"/>
          <w:lang w:eastAsia="es-ES_tradnl"/>
        </w:rPr>
        <w:t xml:space="preserve"> adquiridos en el ejercicio</w:t>
      </w:r>
      <w:r w:rsidRPr="00A051C2">
        <w:rPr>
          <w:rFonts w:ascii="Times New Roman" w:eastAsia="Times New Roman" w:hAnsi="Times New Roman" w:cs="Times New Roman"/>
          <w:sz w:val="28"/>
          <w:szCs w:val="28"/>
          <w:lang w:eastAsia="es-ES_tradnl"/>
        </w:rPr>
        <w:t>.</w:t>
      </w:r>
    </w:p>
    <w:p w:rsidR="002419A9" w:rsidRPr="00760FBF" w:rsidRDefault="002419A9" w:rsidP="00760FBF">
      <w:pPr>
        <w:tabs>
          <w:tab w:val="right" w:pos="-5940"/>
        </w:tabs>
        <w:ind w:left="708" w:right="44" w:hanging="708"/>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r>
    </w:p>
    <w:p w:rsidR="002419A9" w:rsidRPr="002419A9" w:rsidRDefault="002419A9" w:rsidP="002419A9">
      <w:pPr>
        <w:tabs>
          <w:tab w:val="right" w:pos="-5940"/>
        </w:tabs>
        <w:ind w:right="44"/>
        <w:jc w:val="both"/>
        <w:rPr>
          <w:rFonts w:ascii="Times New Roman" w:eastAsia="Times New Roman" w:hAnsi="Times New Roman" w:cs="Times New Roman"/>
          <w:sz w:val="28"/>
          <w:szCs w:val="28"/>
          <w:lang w:eastAsia="es-ES_tradnl"/>
        </w:rPr>
      </w:pPr>
      <w:r w:rsidRPr="00760FBF">
        <w:rPr>
          <w:rFonts w:ascii="Times New Roman" w:eastAsia="Times New Roman" w:hAnsi="Times New Roman" w:cs="Times New Roman"/>
          <w:sz w:val="28"/>
          <w:szCs w:val="28"/>
          <w:lang w:eastAsia="es-ES_tradnl"/>
        </w:rPr>
        <w:t xml:space="preserve">Por último, la desviación en Cobros y Pagos por instrumentos de Pasivo financiero es debida al saldo de la visa de diciembre, </w:t>
      </w:r>
      <w:r w:rsidR="00760FBF" w:rsidRPr="00760FBF">
        <w:rPr>
          <w:rFonts w:ascii="Times New Roman" w:eastAsia="Times New Roman" w:hAnsi="Times New Roman" w:cs="Times New Roman"/>
          <w:sz w:val="28"/>
          <w:szCs w:val="28"/>
          <w:lang w:eastAsia="es-ES_tradnl"/>
        </w:rPr>
        <w:t>inferior</w:t>
      </w:r>
      <w:r w:rsidRPr="00760FBF">
        <w:rPr>
          <w:rFonts w:ascii="Times New Roman" w:eastAsia="Times New Roman" w:hAnsi="Times New Roman" w:cs="Times New Roman"/>
          <w:sz w:val="28"/>
          <w:szCs w:val="28"/>
          <w:lang w:eastAsia="es-ES_tradnl"/>
        </w:rPr>
        <w:t xml:space="preserve"> al del ejercicio anterior, que se cancela al mes siguiente y a</w:t>
      </w:r>
      <w:r w:rsidR="00760FBF" w:rsidRPr="00760FBF">
        <w:rPr>
          <w:rFonts w:ascii="Times New Roman" w:eastAsia="Times New Roman" w:hAnsi="Times New Roman" w:cs="Times New Roman"/>
          <w:sz w:val="28"/>
          <w:szCs w:val="28"/>
          <w:lang w:eastAsia="es-ES_tradnl"/>
        </w:rPr>
        <w:t>l saldo 0 de</w:t>
      </w:r>
      <w:r w:rsidRPr="00760FBF">
        <w:rPr>
          <w:rFonts w:ascii="Times New Roman" w:eastAsia="Times New Roman" w:hAnsi="Times New Roman" w:cs="Times New Roman"/>
          <w:sz w:val="28"/>
          <w:szCs w:val="28"/>
          <w:lang w:eastAsia="es-ES_tradnl"/>
        </w:rPr>
        <w:t xml:space="preserve"> los proveedores de </w:t>
      </w:r>
      <w:proofErr w:type="gramStart"/>
      <w:r w:rsidRPr="00760FBF">
        <w:rPr>
          <w:rFonts w:ascii="Times New Roman" w:eastAsia="Times New Roman" w:hAnsi="Times New Roman" w:cs="Times New Roman"/>
          <w:sz w:val="28"/>
          <w:szCs w:val="28"/>
          <w:lang w:eastAsia="es-ES_tradnl"/>
        </w:rPr>
        <w:t>inmovilizado pendientes</w:t>
      </w:r>
      <w:proofErr w:type="gramEnd"/>
      <w:r w:rsidRPr="00760FBF">
        <w:rPr>
          <w:rFonts w:ascii="Times New Roman" w:eastAsia="Times New Roman" w:hAnsi="Times New Roman" w:cs="Times New Roman"/>
          <w:sz w:val="28"/>
          <w:szCs w:val="28"/>
          <w:lang w:eastAsia="es-ES_tradnl"/>
        </w:rPr>
        <w:t xml:space="preserve"> de pago al final del ejercicio</w:t>
      </w:r>
      <w:r w:rsidR="00760FBF" w:rsidRPr="00760FBF">
        <w:rPr>
          <w:rFonts w:ascii="Times New Roman" w:eastAsia="Times New Roman" w:hAnsi="Times New Roman" w:cs="Times New Roman"/>
          <w:sz w:val="28"/>
          <w:szCs w:val="28"/>
          <w:lang w:eastAsia="es-ES_tradnl"/>
        </w:rPr>
        <w:t xml:space="preserve"> con respecto al de ejercicios anteriores</w:t>
      </w:r>
      <w:r w:rsidRPr="00760FBF">
        <w:rPr>
          <w:rFonts w:ascii="Times New Roman" w:eastAsia="Times New Roman" w:hAnsi="Times New Roman" w:cs="Times New Roman"/>
          <w:sz w:val="28"/>
          <w:szCs w:val="28"/>
          <w:lang w:eastAsia="es-ES_tradnl"/>
        </w:rPr>
        <w:t>.</w:t>
      </w:r>
    </w:p>
    <w:p w:rsidR="002419A9" w:rsidRPr="002419A9" w:rsidRDefault="002419A9" w:rsidP="00760FBF">
      <w:pPr>
        <w:tabs>
          <w:tab w:val="right" w:pos="-5940"/>
        </w:tabs>
        <w:ind w:left="708" w:right="44" w:hanging="708"/>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r>
      <w:r w:rsidRPr="00760FBF">
        <w:rPr>
          <w:rFonts w:ascii="Times" w:eastAsia="Times" w:hAnsi="Times" w:cs="Times New Roman"/>
          <w:sz w:val="28"/>
          <w:szCs w:val="28"/>
          <w:lang w:eastAsia="es-ES"/>
        </w:rPr>
        <w:t xml:space="preserve">Las desviaciones del Presupuesto de capital, comentadas y </w:t>
      </w:r>
      <w:r w:rsidRPr="00760FBF">
        <w:rPr>
          <w:rFonts w:ascii="Times" w:eastAsia="Times" w:hAnsi="Times" w:cs="Times New Roman"/>
          <w:sz w:val="28"/>
          <w:szCs w:val="28"/>
          <w:lang w:eastAsia="es-ES"/>
        </w:rPr>
        <w:tab/>
        <w:t xml:space="preserve">reflejadas en el Anexo I.B, cumplen con la normativa </w:t>
      </w:r>
      <w:r w:rsidRPr="00760FBF">
        <w:rPr>
          <w:rFonts w:ascii="Times" w:eastAsia="Times" w:hAnsi="Times" w:cs="Times New Roman"/>
          <w:sz w:val="28"/>
          <w:szCs w:val="28"/>
          <w:lang w:eastAsia="es-ES"/>
        </w:rPr>
        <w:tab/>
        <w:t xml:space="preserve">vigente, puesto que se trata básicamente de modificaciones </w:t>
      </w:r>
      <w:r w:rsidRPr="00760FBF">
        <w:rPr>
          <w:rFonts w:ascii="Times" w:eastAsia="Times" w:hAnsi="Times" w:cs="Times New Roman"/>
          <w:sz w:val="28"/>
          <w:szCs w:val="28"/>
          <w:lang w:eastAsia="es-ES"/>
        </w:rPr>
        <w:tab/>
        <w:t xml:space="preserve">de capital circulante, que en ningún caso suponen mayor gasto </w:t>
      </w:r>
      <w:r w:rsidRPr="00760FBF">
        <w:rPr>
          <w:rFonts w:ascii="Times" w:eastAsia="Times" w:hAnsi="Times" w:cs="Times New Roman"/>
          <w:sz w:val="28"/>
          <w:szCs w:val="28"/>
          <w:lang w:eastAsia="es-ES"/>
        </w:rPr>
        <w:tab/>
        <w:t xml:space="preserve">o inversión </w:t>
      </w:r>
      <w:r w:rsidRPr="00760FBF">
        <w:rPr>
          <w:rFonts w:ascii="Times" w:eastAsia="Times" w:hAnsi="Times" w:cs="Times New Roman"/>
          <w:sz w:val="28"/>
          <w:szCs w:val="28"/>
          <w:lang w:eastAsia="es-ES"/>
        </w:rPr>
        <w:tab/>
        <w:t>realizada por la empresa.</w:t>
      </w:r>
      <w:r w:rsidRPr="002419A9">
        <w:rPr>
          <w:rFonts w:ascii="Times" w:eastAsia="Times" w:hAnsi="Times" w:cs="Times New Roman"/>
          <w:sz w:val="28"/>
          <w:szCs w:val="28"/>
          <w:lang w:eastAsia="es-ES"/>
        </w:rPr>
        <w:t xml:space="preserve"> </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left="720" w:right="44"/>
        <w:rPr>
          <w:rFonts w:ascii="Times" w:eastAsia="Times" w:hAnsi="Times" w:cs="Times New Roman"/>
          <w:b/>
          <w:sz w:val="28"/>
          <w:szCs w:val="28"/>
          <w:lang w:eastAsia="es-ES"/>
        </w:rPr>
      </w:pPr>
    </w:p>
    <w:p w:rsidR="002419A9" w:rsidRPr="002419A9" w:rsidRDefault="002419A9" w:rsidP="002419A9">
      <w:pPr>
        <w:numPr>
          <w:ilvl w:val="0"/>
          <w:numId w:val="32"/>
        </w:numPr>
        <w:tabs>
          <w:tab w:val="right" w:pos="-5940"/>
        </w:tabs>
        <w:ind w:right="44"/>
        <w:rPr>
          <w:rFonts w:ascii="Times" w:eastAsia="Times" w:hAnsi="Times" w:cs="Times New Roman"/>
          <w:b/>
          <w:sz w:val="28"/>
          <w:szCs w:val="28"/>
          <w:lang w:eastAsia="es-ES"/>
        </w:rPr>
      </w:pPr>
      <w:r w:rsidRPr="00722722">
        <w:rPr>
          <w:rFonts w:ascii="Times" w:eastAsia="Times" w:hAnsi="Times" w:cs="Times New Roman"/>
          <w:b/>
          <w:sz w:val="28"/>
          <w:szCs w:val="28"/>
          <w:lang w:eastAsia="es-ES"/>
        </w:rPr>
        <w:t>Información por islas de las inversiones</w:t>
      </w:r>
      <w:r w:rsidRPr="002419A9">
        <w:rPr>
          <w:rFonts w:ascii="Times" w:eastAsia="Times" w:hAnsi="Times" w:cs="Times New Roman"/>
          <w:b/>
          <w:sz w:val="28"/>
          <w:szCs w:val="28"/>
          <w:lang w:eastAsia="es-ES"/>
        </w:rPr>
        <w:t xml:space="preserve"> (Anexo II)</w:t>
      </w:r>
    </w:p>
    <w:p w:rsidR="002419A9" w:rsidRPr="002419A9" w:rsidRDefault="002419A9" w:rsidP="002419A9">
      <w:pPr>
        <w:tabs>
          <w:tab w:val="right" w:pos="-5940"/>
        </w:tabs>
        <w:ind w:left="720" w:right="44"/>
        <w:rPr>
          <w:rFonts w:ascii="Times" w:eastAsia="Times" w:hAnsi="Times" w:cs="Times New Roman"/>
          <w:b/>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ab/>
        <w:t xml:space="preserve">La empresa no tiene inversiones importantes, sólo dispone del </w:t>
      </w:r>
      <w:r w:rsidRPr="002419A9">
        <w:rPr>
          <w:rFonts w:ascii="Times" w:eastAsia="Times" w:hAnsi="Times" w:cs="Times New Roman"/>
          <w:sz w:val="28"/>
          <w:szCs w:val="28"/>
          <w:lang w:eastAsia="es-ES"/>
        </w:rPr>
        <w:tab/>
        <w:t xml:space="preserve">inmovilizado material (mobiliario, equipos informáticos, etc.) e </w:t>
      </w:r>
      <w:r w:rsidRPr="002419A9">
        <w:rPr>
          <w:rFonts w:ascii="Times" w:eastAsia="Times" w:hAnsi="Times" w:cs="Times New Roman"/>
          <w:sz w:val="28"/>
          <w:szCs w:val="28"/>
          <w:lang w:eastAsia="es-ES"/>
        </w:rPr>
        <w:tab/>
        <w:t xml:space="preserve">intangible (aplicaciones informáticas, etc.) necesario para el </w:t>
      </w:r>
      <w:r w:rsidRPr="002419A9">
        <w:rPr>
          <w:rFonts w:ascii="Times" w:eastAsia="Times" w:hAnsi="Times" w:cs="Times New Roman"/>
          <w:sz w:val="28"/>
          <w:szCs w:val="28"/>
          <w:lang w:eastAsia="es-ES"/>
        </w:rPr>
        <w:tab/>
        <w:t xml:space="preserve">desarrollo de la actividad, para las oficinas de Gran Canaria y </w:t>
      </w:r>
      <w:r w:rsidRPr="002419A9">
        <w:rPr>
          <w:rFonts w:ascii="Times" w:eastAsia="Times" w:hAnsi="Times" w:cs="Times New Roman"/>
          <w:sz w:val="28"/>
          <w:szCs w:val="28"/>
          <w:lang w:eastAsia="es-ES"/>
        </w:rPr>
        <w:tab/>
        <w:t xml:space="preserve">Tenerife. </w:t>
      </w:r>
      <w:r w:rsidR="00722722">
        <w:rPr>
          <w:rFonts w:ascii="Times" w:eastAsia="Times" w:hAnsi="Times" w:cs="Times New Roman"/>
          <w:sz w:val="28"/>
          <w:szCs w:val="28"/>
          <w:lang w:eastAsia="es-ES"/>
        </w:rPr>
        <w:t xml:space="preserve">La desviación en el Inmovilizado Intangible es debido a que la nueva plataforma de licitación y contratación electrónica se encuentra todavía en proceso de implantación. La desviación en Inmovilizado Material se debe a que </w:t>
      </w:r>
      <w:proofErr w:type="gramStart"/>
      <w:r w:rsidR="00722722">
        <w:rPr>
          <w:rFonts w:ascii="Times" w:eastAsia="Times" w:hAnsi="Times" w:cs="Times New Roman"/>
          <w:sz w:val="28"/>
          <w:szCs w:val="28"/>
          <w:lang w:eastAsia="es-ES"/>
        </w:rPr>
        <w:t>la compra de alguno</w:t>
      </w:r>
      <w:r w:rsidR="00B729AF">
        <w:rPr>
          <w:rFonts w:ascii="Times" w:eastAsia="Times" w:hAnsi="Times" w:cs="Times New Roman"/>
          <w:sz w:val="28"/>
          <w:szCs w:val="28"/>
          <w:lang w:eastAsia="es-ES"/>
        </w:rPr>
        <w:t>s</w:t>
      </w:r>
      <w:r w:rsidR="00722722">
        <w:rPr>
          <w:rFonts w:ascii="Times" w:eastAsia="Times" w:hAnsi="Times" w:cs="Times New Roman"/>
          <w:sz w:val="28"/>
          <w:szCs w:val="28"/>
          <w:lang w:eastAsia="es-ES"/>
        </w:rPr>
        <w:t xml:space="preserve"> de los activos previstos no fueron</w:t>
      </w:r>
      <w:proofErr w:type="gramEnd"/>
      <w:r w:rsidR="00722722">
        <w:rPr>
          <w:rFonts w:ascii="Times" w:eastAsia="Times" w:hAnsi="Times" w:cs="Times New Roman"/>
          <w:sz w:val="28"/>
          <w:szCs w:val="28"/>
          <w:lang w:eastAsia="es-ES"/>
        </w:rPr>
        <w:t xml:space="preserve"> adquiridos en el ejercicio. </w:t>
      </w:r>
      <w:bookmarkStart w:id="0" w:name="_GoBack"/>
      <w:bookmarkEnd w:id="0"/>
      <w:r w:rsidR="00722722">
        <w:rPr>
          <w:rFonts w:ascii="Times" w:eastAsia="Times" w:hAnsi="Times" w:cs="Times New Roman"/>
          <w:sz w:val="28"/>
          <w:szCs w:val="28"/>
          <w:lang w:eastAsia="es-ES"/>
        </w:rPr>
        <w:t>E</w:t>
      </w:r>
      <w:r w:rsidRPr="002419A9">
        <w:rPr>
          <w:rFonts w:ascii="Times" w:eastAsia="Times" w:hAnsi="Times" w:cs="Times New Roman"/>
          <w:sz w:val="28"/>
          <w:szCs w:val="28"/>
          <w:lang w:eastAsia="es-ES"/>
        </w:rPr>
        <w:t xml:space="preserve">n las Cuentas Anuales que acompañan a este </w:t>
      </w:r>
      <w:r w:rsidRPr="002419A9">
        <w:rPr>
          <w:rFonts w:ascii="Times" w:eastAsia="Times" w:hAnsi="Times" w:cs="Times New Roman"/>
          <w:sz w:val="28"/>
          <w:szCs w:val="28"/>
          <w:lang w:eastAsia="es-ES"/>
        </w:rPr>
        <w:tab/>
        <w:t xml:space="preserve">informe se refleja bastante información al respecto. Cabe </w:t>
      </w:r>
      <w:r w:rsidRPr="002419A9">
        <w:rPr>
          <w:rFonts w:ascii="Times" w:eastAsia="Times" w:hAnsi="Times" w:cs="Times New Roman"/>
          <w:sz w:val="28"/>
          <w:szCs w:val="28"/>
          <w:lang w:eastAsia="es-ES"/>
        </w:rPr>
        <w:tab/>
        <w:t xml:space="preserve">destacar que la empresa cumple con lo presupuestado, tal </w:t>
      </w:r>
      <w:r w:rsidRPr="002419A9">
        <w:rPr>
          <w:rFonts w:ascii="Times" w:eastAsia="Times" w:hAnsi="Times" w:cs="Times New Roman"/>
          <w:sz w:val="28"/>
          <w:szCs w:val="28"/>
          <w:lang w:eastAsia="es-ES"/>
        </w:rPr>
        <w:tab/>
        <w:t xml:space="preserve">como se refleja en el epígrafe de Pagos por inversiones de </w:t>
      </w:r>
      <w:r w:rsidRPr="002419A9">
        <w:rPr>
          <w:rFonts w:ascii="Times" w:eastAsia="Times" w:hAnsi="Times" w:cs="Times New Roman"/>
          <w:sz w:val="28"/>
          <w:szCs w:val="28"/>
          <w:lang w:eastAsia="es-ES"/>
        </w:rPr>
        <w:tab/>
        <w:t xml:space="preserve">inmovilizado que </w:t>
      </w:r>
      <w:r w:rsidRPr="002419A9">
        <w:rPr>
          <w:rFonts w:ascii="Times" w:eastAsia="Times" w:hAnsi="Times" w:cs="Times New Roman"/>
          <w:sz w:val="28"/>
          <w:szCs w:val="28"/>
          <w:lang w:eastAsia="es-ES"/>
        </w:rPr>
        <w:tab/>
        <w:t xml:space="preserve">figura en el </w:t>
      </w:r>
      <w:r w:rsidRPr="002419A9">
        <w:rPr>
          <w:rFonts w:ascii="Times" w:eastAsia="Times" w:hAnsi="Times" w:cs="Times New Roman"/>
          <w:sz w:val="28"/>
          <w:szCs w:val="28"/>
          <w:lang w:eastAsia="es-ES"/>
        </w:rPr>
        <w:tab/>
        <w:t>Estado de Flujo de Efectivos.</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Default="002419A9" w:rsidP="002419A9">
      <w:pPr>
        <w:tabs>
          <w:tab w:val="right" w:pos="-5940"/>
        </w:tabs>
        <w:ind w:right="44"/>
        <w:rPr>
          <w:rFonts w:ascii="Times" w:eastAsia="Times" w:hAnsi="Times" w:cs="Times New Roman"/>
          <w:b/>
          <w:sz w:val="28"/>
          <w:szCs w:val="28"/>
          <w:lang w:eastAsia="es-ES"/>
        </w:rPr>
      </w:pPr>
    </w:p>
    <w:p w:rsidR="000F067E" w:rsidRDefault="000F067E" w:rsidP="002419A9">
      <w:pPr>
        <w:tabs>
          <w:tab w:val="right" w:pos="-5940"/>
        </w:tabs>
        <w:ind w:right="44"/>
        <w:rPr>
          <w:rFonts w:ascii="Times" w:eastAsia="Times" w:hAnsi="Times" w:cs="Times New Roman"/>
          <w:b/>
          <w:sz w:val="28"/>
          <w:szCs w:val="28"/>
          <w:lang w:eastAsia="es-ES"/>
        </w:rPr>
      </w:pPr>
    </w:p>
    <w:p w:rsidR="000F067E" w:rsidRPr="002419A9" w:rsidRDefault="000F067E" w:rsidP="002419A9">
      <w:pPr>
        <w:tabs>
          <w:tab w:val="right" w:pos="-5940"/>
        </w:tabs>
        <w:ind w:right="44"/>
        <w:rPr>
          <w:rFonts w:ascii="Times" w:eastAsia="Times" w:hAnsi="Times" w:cs="Times New Roman"/>
          <w:b/>
          <w:sz w:val="28"/>
          <w:szCs w:val="28"/>
          <w:lang w:eastAsia="es-ES"/>
        </w:rPr>
      </w:pPr>
    </w:p>
    <w:p w:rsidR="002419A9" w:rsidRPr="002419A9" w:rsidRDefault="002419A9" w:rsidP="002419A9">
      <w:pPr>
        <w:tabs>
          <w:tab w:val="right" w:pos="-5940"/>
        </w:tabs>
        <w:ind w:right="44"/>
        <w:rPr>
          <w:rFonts w:ascii="Times" w:eastAsia="Times" w:hAnsi="Times" w:cs="Times New Roman"/>
          <w:b/>
          <w:sz w:val="28"/>
          <w:szCs w:val="28"/>
          <w:lang w:eastAsia="es-ES"/>
        </w:rPr>
      </w:pPr>
      <w:r w:rsidRPr="002419A9">
        <w:rPr>
          <w:rFonts w:ascii="Times" w:eastAsia="Times" w:hAnsi="Times" w:cs="Times New Roman"/>
          <w:b/>
          <w:sz w:val="28"/>
          <w:szCs w:val="28"/>
          <w:lang w:eastAsia="es-ES"/>
        </w:rPr>
        <w:lastRenderedPageBreak/>
        <w:t>B) Información relativa a la ejecución de los contratos-programa, convenios, encomiendas, aportaciones dinerarias y subvenciones y su grado de cumplimiento (Anexo III)</w:t>
      </w:r>
    </w:p>
    <w:p w:rsidR="002419A9" w:rsidRPr="002419A9" w:rsidRDefault="002419A9" w:rsidP="002419A9">
      <w:pPr>
        <w:tabs>
          <w:tab w:val="right" w:pos="-5940"/>
        </w:tabs>
        <w:ind w:right="44"/>
        <w:rPr>
          <w:rFonts w:ascii="Times" w:eastAsia="Times" w:hAnsi="Times" w:cs="Times New Roman"/>
          <w:b/>
          <w:sz w:val="28"/>
          <w:szCs w:val="28"/>
          <w:lang w:eastAsia="es-ES"/>
        </w:rPr>
      </w:pPr>
    </w:p>
    <w:p w:rsidR="002419A9" w:rsidRPr="002419A9" w:rsidRDefault="002419A9" w:rsidP="002419A9">
      <w:pPr>
        <w:tabs>
          <w:tab w:val="right" w:pos="-5940"/>
        </w:tabs>
        <w:ind w:right="44"/>
        <w:rPr>
          <w:rFonts w:ascii="Times" w:eastAsia="Times" w:hAnsi="Times" w:cs="Times New Roman"/>
          <w:sz w:val="28"/>
          <w:szCs w:val="28"/>
          <w:lang w:eastAsia="es-ES"/>
        </w:rPr>
      </w:pPr>
      <w:r w:rsidRPr="002419A9">
        <w:rPr>
          <w:rFonts w:ascii="Times" w:eastAsia="Times" w:hAnsi="Times" w:cs="Times New Roman"/>
          <w:sz w:val="28"/>
          <w:szCs w:val="28"/>
          <w:lang w:eastAsia="es-ES"/>
        </w:rPr>
        <w:t>Esta información viene reflejada en los Anexos III.A y III.B.</w:t>
      </w:r>
    </w:p>
    <w:p w:rsidR="002419A9" w:rsidRDefault="002419A9" w:rsidP="002419A9">
      <w:pPr>
        <w:tabs>
          <w:tab w:val="right" w:pos="-5940"/>
        </w:tabs>
        <w:ind w:right="44"/>
        <w:jc w:val="both"/>
        <w:rPr>
          <w:rFonts w:ascii="Times" w:eastAsia="Times" w:hAnsi="Times" w:cs="Times New Roman"/>
          <w:sz w:val="28"/>
          <w:szCs w:val="28"/>
          <w:lang w:eastAsia="es-ES"/>
        </w:rPr>
      </w:pPr>
    </w:p>
    <w:p w:rsidR="000F067E" w:rsidRPr="002419A9" w:rsidRDefault="000F067E"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b/>
          <w:sz w:val="28"/>
          <w:szCs w:val="28"/>
          <w:lang w:eastAsia="es-ES"/>
        </w:rPr>
      </w:pPr>
      <w:r w:rsidRPr="002419A9">
        <w:rPr>
          <w:rFonts w:ascii="Times" w:eastAsia="Times" w:hAnsi="Times" w:cs="Times New Roman"/>
          <w:b/>
          <w:sz w:val="28"/>
          <w:szCs w:val="28"/>
          <w:lang w:eastAsia="es-ES"/>
        </w:rPr>
        <w:t xml:space="preserve">C) </w:t>
      </w:r>
      <w:r w:rsidRPr="00F2586D">
        <w:rPr>
          <w:rFonts w:ascii="Times" w:eastAsia="Times" w:hAnsi="Times" w:cs="Times New Roman"/>
          <w:b/>
          <w:sz w:val="28"/>
          <w:szCs w:val="28"/>
          <w:lang w:eastAsia="es-ES"/>
        </w:rPr>
        <w:t>Información relativa al cumplimiento de la normativa en materia de contratación que han de cumplir las entidades del sector público</w:t>
      </w:r>
      <w:r w:rsidRPr="002419A9">
        <w:rPr>
          <w:rFonts w:ascii="Times" w:eastAsia="Times" w:hAnsi="Times" w:cs="Times New Roman"/>
          <w:b/>
          <w:sz w:val="28"/>
          <w:szCs w:val="28"/>
          <w:lang w:eastAsia="es-ES"/>
        </w:rPr>
        <w:tab/>
      </w:r>
    </w:p>
    <w:p w:rsidR="002419A9" w:rsidRDefault="002419A9" w:rsidP="002419A9">
      <w:pPr>
        <w:rPr>
          <w:rFonts w:ascii="Times" w:eastAsia="Times" w:hAnsi="Times" w:cs="Times New Roman"/>
          <w:sz w:val="28"/>
          <w:szCs w:val="28"/>
          <w:lang w:eastAsia="es-ES"/>
        </w:rPr>
      </w:pPr>
    </w:p>
    <w:p w:rsidR="00F2586D" w:rsidRPr="00F2586D" w:rsidRDefault="00F2586D" w:rsidP="00F2586D">
      <w:pPr>
        <w:ind w:left="1" w:hanging="1"/>
        <w:jc w:val="both"/>
        <w:rPr>
          <w:rFonts w:ascii="Arial" w:eastAsia="Times" w:hAnsi="Arial" w:cs="Arial"/>
          <w:sz w:val="22"/>
          <w:szCs w:val="22"/>
          <w:lang w:val="es-ES" w:eastAsia="es-ES"/>
        </w:rPr>
      </w:pPr>
      <w:r w:rsidRPr="00F2586D">
        <w:rPr>
          <w:rFonts w:ascii="Arial" w:eastAsia="Times" w:hAnsi="Arial" w:cs="Arial"/>
          <w:sz w:val="22"/>
          <w:szCs w:val="22"/>
          <w:lang w:val="es-ES" w:eastAsia="es-ES"/>
        </w:rPr>
        <w:t xml:space="preserve">Conforme al artículo 5 de la Orden de 24 de febrero de 2011, la presente información se detalla teniendo en cuenta la consideración de </w:t>
      </w:r>
      <w:r w:rsidRPr="00F2586D">
        <w:rPr>
          <w:rFonts w:ascii="Arial" w:eastAsia="Times" w:hAnsi="Arial" w:cs="Arial"/>
          <w:b/>
          <w:sz w:val="22"/>
          <w:szCs w:val="22"/>
          <w:lang w:val="es-ES" w:eastAsia="es-ES"/>
        </w:rPr>
        <w:t>PROMOTUR TURISMO CANARIAS, S.A.</w:t>
      </w:r>
      <w:r w:rsidRPr="00F2586D">
        <w:rPr>
          <w:rFonts w:ascii="Arial" w:eastAsia="Times" w:hAnsi="Arial" w:cs="Arial"/>
          <w:sz w:val="22"/>
          <w:szCs w:val="22"/>
          <w:lang w:val="es-ES" w:eastAsia="es-ES"/>
        </w:rPr>
        <w:t xml:space="preserve"> como </w:t>
      </w:r>
      <w:r w:rsidRPr="00F2586D">
        <w:rPr>
          <w:rFonts w:ascii="Arial" w:eastAsia="Times" w:hAnsi="Arial" w:cs="Arial"/>
          <w:b/>
          <w:sz w:val="22"/>
          <w:szCs w:val="22"/>
          <w:u w:val="single"/>
          <w:lang w:val="es-ES" w:eastAsia="es-ES"/>
        </w:rPr>
        <w:t>poder adjudicador</w:t>
      </w:r>
      <w:r w:rsidRPr="00F2586D">
        <w:rPr>
          <w:rFonts w:ascii="Arial" w:eastAsia="Times" w:hAnsi="Arial" w:cs="Arial"/>
          <w:sz w:val="22"/>
          <w:szCs w:val="22"/>
          <w:lang w:val="es-ES" w:eastAsia="es-ES"/>
        </w:rPr>
        <w:t xml:space="preserve"> no administración pública (</w:t>
      </w:r>
      <w:r w:rsidRPr="00F2586D">
        <w:rPr>
          <w:rFonts w:ascii="Arial" w:eastAsia="Times" w:hAnsi="Arial" w:cs="Arial"/>
          <w:b/>
          <w:sz w:val="22"/>
          <w:szCs w:val="22"/>
          <w:lang w:val="es-ES" w:eastAsia="es-ES"/>
        </w:rPr>
        <w:t>PANAP</w:t>
      </w:r>
      <w:r w:rsidRPr="00F2586D">
        <w:rPr>
          <w:rFonts w:ascii="Arial" w:eastAsia="Times" w:hAnsi="Arial" w:cs="Arial"/>
          <w:sz w:val="22"/>
          <w:szCs w:val="22"/>
          <w:lang w:val="es-ES" w:eastAsia="es-ES"/>
        </w:rPr>
        <w:t>).</w:t>
      </w:r>
    </w:p>
    <w:p w:rsidR="00F2586D" w:rsidRPr="00F2586D" w:rsidRDefault="00F2586D" w:rsidP="00F2586D">
      <w:pPr>
        <w:ind w:left="1" w:hanging="1"/>
        <w:jc w:val="both"/>
        <w:rPr>
          <w:rFonts w:ascii="Arial" w:eastAsia="Times" w:hAnsi="Arial" w:cs="Arial"/>
          <w:sz w:val="22"/>
          <w:szCs w:val="22"/>
          <w:lang w:val="es-ES" w:eastAsia="es-ES"/>
        </w:rPr>
      </w:pPr>
    </w:p>
    <w:p w:rsidR="00F2586D" w:rsidRPr="00F2586D" w:rsidRDefault="00F2586D" w:rsidP="00F2586D">
      <w:pPr>
        <w:ind w:left="1" w:hanging="1"/>
        <w:jc w:val="both"/>
        <w:rPr>
          <w:rFonts w:ascii="Arial" w:eastAsia="Times" w:hAnsi="Arial" w:cs="Arial"/>
          <w:sz w:val="22"/>
          <w:szCs w:val="22"/>
          <w:lang w:val="es-ES" w:eastAsia="es-ES"/>
        </w:rPr>
      </w:pPr>
      <w:r w:rsidRPr="00F2586D">
        <w:rPr>
          <w:rFonts w:ascii="Arial" w:eastAsia="Times" w:hAnsi="Arial" w:cs="Arial"/>
          <w:sz w:val="22"/>
          <w:szCs w:val="22"/>
          <w:lang w:val="es-ES" w:eastAsia="es-ES"/>
        </w:rPr>
        <w:t xml:space="preserve">En el año </w:t>
      </w:r>
      <w:r w:rsidRPr="00F2586D">
        <w:rPr>
          <w:rFonts w:ascii="Arial" w:eastAsia="Times" w:hAnsi="Arial" w:cs="Arial"/>
          <w:b/>
          <w:sz w:val="22"/>
          <w:szCs w:val="22"/>
          <w:lang w:val="es-ES" w:eastAsia="es-ES"/>
        </w:rPr>
        <w:t>2018</w:t>
      </w:r>
      <w:r w:rsidRPr="00F2586D">
        <w:rPr>
          <w:rFonts w:ascii="Arial" w:eastAsia="Times" w:hAnsi="Arial" w:cs="Arial"/>
          <w:sz w:val="22"/>
          <w:szCs w:val="22"/>
          <w:lang w:val="es-ES" w:eastAsia="es-ES"/>
        </w:rPr>
        <w:t xml:space="preserve">, entra en vigor la Ley 9/2017, de 8 de noviembre, de Contratos del Sector Público por lo que la contratación pública de </w:t>
      </w:r>
      <w:r w:rsidRPr="00F2586D">
        <w:rPr>
          <w:rFonts w:ascii="Arial" w:eastAsia="Times" w:hAnsi="Arial" w:cs="Arial"/>
          <w:b/>
          <w:sz w:val="22"/>
          <w:szCs w:val="22"/>
          <w:lang w:val="es-ES" w:eastAsia="es-ES"/>
        </w:rPr>
        <w:t>PROMOTUR</w:t>
      </w:r>
      <w:r w:rsidRPr="00F2586D">
        <w:rPr>
          <w:rFonts w:ascii="Arial" w:eastAsia="Times" w:hAnsi="Arial" w:cs="Arial"/>
          <w:sz w:val="22"/>
          <w:szCs w:val="22"/>
          <w:lang w:val="es-ES" w:eastAsia="es-ES"/>
        </w:rPr>
        <w:t>, se realizan con base a:</w:t>
      </w:r>
    </w:p>
    <w:p w:rsidR="00F2586D" w:rsidRPr="00F2586D" w:rsidRDefault="00F2586D" w:rsidP="00F2586D">
      <w:pPr>
        <w:ind w:left="1" w:hanging="1"/>
        <w:jc w:val="both"/>
        <w:rPr>
          <w:rFonts w:ascii="Arial" w:eastAsia="Times" w:hAnsi="Arial" w:cs="Arial"/>
          <w:sz w:val="22"/>
          <w:szCs w:val="22"/>
          <w:lang w:val="es-ES" w:eastAsia="es-ES"/>
        </w:rPr>
      </w:pPr>
    </w:p>
    <w:p w:rsidR="00F2586D" w:rsidRPr="00F2586D" w:rsidRDefault="00F2586D" w:rsidP="00F2586D">
      <w:pPr>
        <w:ind w:left="1" w:hanging="1"/>
        <w:jc w:val="both"/>
        <w:rPr>
          <w:rFonts w:ascii="Arial" w:eastAsia="Times" w:hAnsi="Arial" w:cs="Arial"/>
          <w:sz w:val="22"/>
          <w:szCs w:val="22"/>
          <w:u w:val="single"/>
          <w:lang w:val="es-ES" w:eastAsia="es-ES"/>
        </w:rPr>
      </w:pPr>
      <w:r w:rsidRPr="00F2586D">
        <w:rPr>
          <w:rFonts w:ascii="Arial" w:eastAsia="Times" w:hAnsi="Arial" w:cs="Arial"/>
          <w:sz w:val="22"/>
          <w:szCs w:val="22"/>
          <w:u w:val="single"/>
          <w:lang w:val="es-ES" w:eastAsia="es-ES"/>
        </w:rPr>
        <w:t xml:space="preserve">(i) Conforme al </w:t>
      </w:r>
      <w:r w:rsidRPr="00F2586D">
        <w:rPr>
          <w:rFonts w:ascii="Arial" w:eastAsia="Times" w:hAnsi="Arial" w:cs="Arial"/>
          <w:b/>
          <w:sz w:val="22"/>
          <w:szCs w:val="22"/>
          <w:u w:val="single"/>
          <w:lang w:val="es-ES" w:eastAsia="es-ES"/>
        </w:rPr>
        <w:t>TRLCSP</w:t>
      </w:r>
      <w:r w:rsidRPr="00F2586D">
        <w:rPr>
          <w:rFonts w:ascii="Arial" w:eastAsia="Times" w:hAnsi="Arial" w:cs="Arial"/>
          <w:sz w:val="22"/>
          <w:szCs w:val="22"/>
          <w:u w:val="single"/>
          <w:lang w:val="es-ES" w:eastAsia="es-ES"/>
        </w:rPr>
        <w:t xml:space="preserve"> (Real Decreto Legislativo 3/2011, de 14 de noviembre) hasta el 8 de marzo de 2018 teniendo </w:t>
      </w:r>
      <w:r w:rsidRPr="00F2586D">
        <w:rPr>
          <w:rFonts w:ascii="Arial" w:eastAsia="Times" w:hAnsi="Arial" w:cs="Arial"/>
          <w:b/>
          <w:sz w:val="22"/>
          <w:szCs w:val="22"/>
          <w:u w:val="single"/>
          <w:lang w:val="es-ES" w:eastAsia="es-ES"/>
        </w:rPr>
        <w:t>PROMOTUR</w:t>
      </w:r>
      <w:r w:rsidRPr="00F2586D">
        <w:rPr>
          <w:rFonts w:ascii="Arial" w:eastAsia="Times" w:hAnsi="Arial" w:cs="Arial"/>
          <w:sz w:val="22"/>
          <w:szCs w:val="22"/>
          <w:u w:val="single"/>
          <w:lang w:val="es-ES" w:eastAsia="es-ES"/>
        </w:rPr>
        <w:t xml:space="preserve"> la consideración de </w:t>
      </w:r>
      <w:r w:rsidRPr="00F2586D">
        <w:rPr>
          <w:rFonts w:ascii="Arial" w:eastAsia="Times" w:hAnsi="Arial" w:cs="Arial"/>
          <w:b/>
          <w:sz w:val="22"/>
          <w:szCs w:val="22"/>
          <w:u w:val="single"/>
          <w:lang w:val="es-ES" w:eastAsia="es-ES"/>
        </w:rPr>
        <w:t>PANAP</w:t>
      </w:r>
      <w:r w:rsidRPr="00F2586D">
        <w:rPr>
          <w:rFonts w:ascii="Arial" w:eastAsia="Times" w:hAnsi="Arial" w:cs="Arial"/>
          <w:sz w:val="22"/>
          <w:szCs w:val="22"/>
          <w:u w:val="single"/>
          <w:lang w:val="es-ES" w:eastAsia="es-ES"/>
        </w:rPr>
        <w:t xml:space="preserve"> del artículo 3.3.b).</w:t>
      </w:r>
    </w:p>
    <w:p w:rsidR="00F2586D" w:rsidRPr="00F2586D" w:rsidRDefault="00F2586D" w:rsidP="00F2586D">
      <w:pPr>
        <w:jc w:val="both"/>
        <w:rPr>
          <w:rFonts w:ascii="Arial" w:eastAsia="Times" w:hAnsi="Arial" w:cs="Arial"/>
          <w:sz w:val="22"/>
          <w:szCs w:val="22"/>
          <w:lang w:val="es-ES" w:eastAsia="es-ES"/>
        </w:rPr>
      </w:pPr>
    </w:p>
    <w:p w:rsidR="00F2586D" w:rsidRPr="00F2586D" w:rsidRDefault="00F2586D" w:rsidP="00F2586D">
      <w:pPr>
        <w:jc w:val="both"/>
        <w:rPr>
          <w:rFonts w:ascii="Arial" w:eastAsia="Times New Roman" w:hAnsi="Arial" w:cs="Arial"/>
          <w:sz w:val="22"/>
          <w:szCs w:val="22"/>
          <w:lang w:val="es-ES" w:eastAsia="es-ES_tradnl"/>
        </w:rPr>
      </w:pPr>
      <w:r w:rsidRPr="00F2586D">
        <w:rPr>
          <w:rFonts w:ascii="Arial" w:eastAsia="Times New Roman" w:hAnsi="Arial" w:cs="Arial"/>
          <w:sz w:val="22"/>
          <w:szCs w:val="22"/>
          <w:lang w:val="es-ES" w:eastAsia="es-ES_tradnl"/>
        </w:rPr>
        <w:t xml:space="preserve">La contratación efectuada se realiza teniendo en cuenta lo dispuesto en las </w:t>
      </w:r>
      <w:r w:rsidRPr="00F2586D">
        <w:rPr>
          <w:rFonts w:ascii="Arial" w:eastAsia="Times New Roman" w:hAnsi="Arial" w:cs="Arial"/>
          <w:b/>
          <w:i/>
          <w:sz w:val="22"/>
          <w:szCs w:val="22"/>
          <w:lang w:val="es-ES" w:eastAsia="es-ES_tradnl"/>
        </w:rPr>
        <w:t>Instrucciones Internas de Contratación</w:t>
      </w:r>
      <w:r w:rsidRPr="00F2586D">
        <w:rPr>
          <w:rFonts w:ascii="Arial" w:eastAsia="Times New Roman" w:hAnsi="Arial" w:cs="Arial"/>
          <w:sz w:val="22"/>
          <w:szCs w:val="22"/>
          <w:lang w:val="es-ES" w:eastAsia="es-ES_tradnl"/>
        </w:rPr>
        <w:t xml:space="preserve"> de </w:t>
      </w:r>
      <w:r w:rsidRPr="00F2586D">
        <w:rPr>
          <w:rFonts w:ascii="Arial" w:eastAsia="Times New Roman" w:hAnsi="Arial" w:cs="Arial"/>
          <w:b/>
          <w:sz w:val="22"/>
          <w:szCs w:val="22"/>
          <w:lang w:val="es-ES" w:eastAsia="es-ES_tradnl"/>
        </w:rPr>
        <w:t>PROMOTUR TURISMO CANARIAS, S.A.</w:t>
      </w:r>
      <w:r w:rsidRPr="00F2586D">
        <w:rPr>
          <w:rFonts w:ascii="Arial" w:eastAsia="Times New Roman" w:hAnsi="Arial" w:cs="Arial"/>
          <w:sz w:val="22"/>
          <w:szCs w:val="22"/>
          <w:lang w:val="es-ES" w:eastAsia="es-ES_tradnl"/>
        </w:rPr>
        <w:t xml:space="preserve"> aprobadas el </w:t>
      </w:r>
      <w:r w:rsidRPr="00F2586D">
        <w:rPr>
          <w:rFonts w:ascii="Arial" w:eastAsia="Times New Roman" w:hAnsi="Arial" w:cs="Arial"/>
          <w:b/>
          <w:sz w:val="22"/>
          <w:szCs w:val="22"/>
          <w:lang w:val="es-ES" w:eastAsia="es-ES_tradnl"/>
        </w:rPr>
        <w:t>30 de julio de 2009</w:t>
      </w:r>
      <w:r w:rsidRPr="00F2586D">
        <w:rPr>
          <w:rFonts w:ascii="Arial" w:eastAsia="Times New Roman" w:hAnsi="Arial" w:cs="Arial"/>
          <w:sz w:val="22"/>
          <w:szCs w:val="22"/>
          <w:lang w:val="es-ES" w:eastAsia="es-ES_tradnl"/>
        </w:rPr>
        <w:t xml:space="preserve"> e informadas, posteriormente, de manera favorable por el </w:t>
      </w:r>
      <w:r w:rsidRPr="00F2586D">
        <w:rPr>
          <w:rFonts w:ascii="Arial" w:eastAsia="Times New Roman" w:hAnsi="Arial" w:cs="Arial"/>
          <w:i/>
          <w:sz w:val="22"/>
          <w:szCs w:val="22"/>
          <w:lang w:val="es-ES" w:eastAsia="es-ES_tradnl"/>
        </w:rPr>
        <w:t>Informe agregado de Auditoría Operativa de Instrucciones Internas de Contratación de las Sociedades Mercantiles Públicas</w:t>
      </w:r>
      <w:r w:rsidRPr="00F2586D">
        <w:rPr>
          <w:rFonts w:ascii="Arial" w:eastAsia="Times New Roman" w:hAnsi="Arial" w:cs="Arial"/>
          <w:sz w:val="22"/>
          <w:szCs w:val="22"/>
          <w:lang w:val="es-ES" w:eastAsia="es-ES_tradnl"/>
        </w:rPr>
        <w:t xml:space="preserve"> evacuado por la Intervención General, Consejería de Economía y Hacienda del Gobierno de Canarias, de fecha </w:t>
      </w:r>
      <w:r w:rsidRPr="00F2586D">
        <w:rPr>
          <w:rFonts w:ascii="Arial" w:eastAsia="Times New Roman" w:hAnsi="Arial" w:cs="Arial"/>
          <w:b/>
          <w:sz w:val="22"/>
          <w:szCs w:val="22"/>
          <w:lang w:val="es-ES" w:eastAsia="es-ES_tradnl"/>
        </w:rPr>
        <w:t>8 de octubre de 2010</w:t>
      </w:r>
      <w:r w:rsidRPr="00F2586D">
        <w:rPr>
          <w:rFonts w:ascii="Arial" w:eastAsia="Times New Roman" w:hAnsi="Arial" w:cs="Arial"/>
          <w:sz w:val="22"/>
          <w:szCs w:val="22"/>
          <w:lang w:val="es-ES" w:eastAsia="es-ES_tradnl"/>
        </w:rPr>
        <w:t xml:space="preserve">, y modificadas, en consecuencia, por Acuerdo del Consejo de Administración de </w:t>
      </w:r>
      <w:r w:rsidRPr="00F2586D">
        <w:rPr>
          <w:rFonts w:ascii="Arial" w:eastAsia="Times New Roman" w:hAnsi="Arial" w:cs="Arial"/>
          <w:b/>
          <w:sz w:val="22"/>
          <w:szCs w:val="22"/>
          <w:lang w:val="es-ES" w:eastAsia="es-ES_tradnl"/>
        </w:rPr>
        <w:t xml:space="preserve">PROMOTUR TURISMO CANARIAS, S.A. </w:t>
      </w:r>
      <w:r w:rsidRPr="00F2586D">
        <w:rPr>
          <w:rFonts w:ascii="Arial" w:eastAsia="Times New Roman" w:hAnsi="Arial" w:cs="Arial"/>
          <w:sz w:val="22"/>
          <w:szCs w:val="22"/>
          <w:lang w:val="es-ES" w:eastAsia="es-ES_tradnl"/>
        </w:rPr>
        <w:t xml:space="preserve">de fecha </w:t>
      </w:r>
      <w:r w:rsidRPr="00F2586D">
        <w:rPr>
          <w:rFonts w:ascii="Arial" w:eastAsia="Times New Roman" w:hAnsi="Arial" w:cs="Arial"/>
          <w:b/>
          <w:sz w:val="22"/>
          <w:szCs w:val="22"/>
          <w:lang w:val="es-ES" w:eastAsia="es-ES_tradnl"/>
        </w:rPr>
        <w:t xml:space="preserve">29 de marzo de 2011 </w:t>
      </w:r>
      <w:r w:rsidRPr="00F2586D">
        <w:rPr>
          <w:rFonts w:ascii="Arial" w:eastAsia="Times New Roman" w:hAnsi="Arial" w:cs="Arial"/>
          <w:sz w:val="22"/>
          <w:szCs w:val="22"/>
          <w:lang w:val="es-ES" w:eastAsia="es-ES_tradnl"/>
        </w:rPr>
        <w:t>y publicadas en el Perfil del Contratante del Gobierno de Canarias.</w:t>
      </w:r>
    </w:p>
    <w:p w:rsidR="00F2586D" w:rsidRPr="00F2586D" w:rsidRDefault="00F2586D" w:rsidP="00F2586D">
      <w:pPr>
        <w:jc w:val="both"/>
        <w:rPr>
          <w:rFonts w:ascii="Arial" w:eastAsia="Times New Roman" w:hAnsi="Arial" w:cs="Arial"/>
          <w:sz w:val="22"/>
          <w:szCs w:val="22"/>
          <w:lang w:val="es-ES" w:eastAsia="es-ES_tradnl"/>
        </w:rPr>
      </w:pPr>
    </w:p>
    <w:p w:rsidR="00F2586D" w:rsidRPr="00F2586D" w:rsidRDefault="00F2586D" w:rsidP="00F2586D">
      <w:pPr>
        <w:jc w:val="both"/>
        <w:rPr>
          <w:rFonts w:ascii="Arial" w:eastAsia="Times New Roman" w:hAnsi="Arial" w:cs="Arial"/>
          <w:sz w:val="22"/>
          <w:szCs w:val="22"/>
          <w:lang w:val="es-ES" w:eastAsia="es-ES_tradnl"/>
        </w:rPr>
      </w:pPr>
      <w:r w:rsidRPr="00F2586D">
        <w:rPr>
          <w:rFonts w:ascii="Arial" w:eastAsia="Times New Roman" w:hAnsi="Arial" w:cs="Arial"/>
          <w:sz w:val="22"/>
          <w:szCs w:val="22"/>
          <w:lang w:val="es-ES" w:eastAsia="es-ES_tradnl"/>
        </w:rPr>
        <w:t xml:space="preserve">Dentro de dicho periodo y la normativa antes citada, se relacionan los distintos contratos licitados, adjudicados y/o formalizados por </w:t>
      </w:r>
      <w:r w:rsidRPr="00F2586D">
        <w:rPr>
          <w:rFonts w:ascii="Arial" w:eastAsia="Times New Roman" w:hAnsi="Arial" w:cs="Arial"/>
          <w:b/>
          <w:sz w:val="22"/>
          <w:szCs w:val="22"/>
          <w:lang w:val="es-ES" w:eastAsia="es-ES_tradnl"/>
        </w:rPr>
        <w:t>PROMOTUR TURISMO CANARIAS, S.A.</w:t>
      </w:r>
      <w:r w:rsidRPr="00F2586D">
        <w:rPr>
          <w:rFonts w:ascii="Arial" w:eastAsia="Times New Roman" w:hAnsi="Arial" w:cs="Arial"/>
          <w:sz w:val="22"/>
          <w:szCs w:val="22"/>
          <w:lang w:val="es-ES" w:eastAsia="es-ES_tradnl"/>
        </w:rPr>
        <w:t xml:space="preserve"> desde el </w:t>
      </w:r>
      <w:r w:rsidRPr="00F2586D">
        <w:rPr>
          <w:rFonts w:ascii="Arial" w:eastAsia="Times New Roman" w:hAnsi="Arial" w:cs="Arial"/>
          <w:b/>
          <w:sz w:val="22"/>
          <w:szCs w:val="22"/>
          <w:u w:val="single"/>
          <w:lang w:val="es-ES" w:eastAsia="es-ES_tradnl"/>
        </w:rPr>
        <w:t>1 de enero de 2018 hasta el 8 de marzo de 2018</w:t>
      </w:r>
      <w:r w:rsidRPr="00F2586D">
        <w:rPr>
          <w:rFonts w:ascii="Arial" w:eastAsia="Times New Roman" w:hAnsi="Arial" w:cs="Arial"/>
          <w:sz w:val="22"/>
          <w:szCs w:val="22"/>
          <w:lang w:val="es-ES" w:eastAsia="es-ES_tradnl"/>
        </w:rPr>
        <w:t>:</w:t>
      </w:r>
    </w:p>
    <w:p w:rsidR="00F2586D" w:rsidRPr="00F2586D" w:rsidRDefault="00F2586D" w:rsidP="00F2586D">
      <w:pPr>
        <w:jc w:val="both"/>
        <w:rPr>
          <w:rFonts w:ascii="Arial" w:eastAsia="Times" w:hAnsi="Arial" w:cs="Arial"/>
          <w:sz w:val="22"/>
          <w:szCs w:val="22"/>
          <w:lang w:val="es-ES" w:eastAsia="es-ES"/>
        </w:rPr>
      </w:pPr>
    </w:p>
    <w:tbl>
      <w:tblPr>
        <w:tblW w:w="5000" w:type="pct"/>
        <w:tblCellMar>
          <w:left w:w="70" w:type="dxa"/>
          <w:right w:w="70" w:type="dxa"/>
        </w:tblCellMar>
        <w:tblLook w:val="04A0" w:firstRow="1" w:lastRow="0" w:firstColumn="1" w:lastColumn="0" w:noHBand="0" w:noVBand="1"/>
      </w:tblPr>
      <w:tblGrid>
        <w:gridCol w:w="2761"/>
        <w:gridCol w:w="871"/>
        <w:gridCol w:w="586"/>
        <w:gridCol w:w="1591"/>
        <w:gridCol w:w="367"/>
        <w:gridCol w:w="1288"/>
        <w:gridCol w:w="1591"/>
      </w:tblGrid>
      <w:tr w:rsidR="00F2586D" w:rsidRPr="00F2586D" w:rsidTr="00986E07">
        <w:trPr>
          <w:trHeight w:val="468"/>
          <w:tblHeader/>
        </w:trPr>
        <w:tc>
          <w:tcPr>
            <w:tcW w:w="1525"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rsidR="00F2586D" w:rsidRPr="00F2586D" w:rsidRDefault="00F2586D" w:rsidP="00F2586D">
            <w:pPr>
              <w:jc w:val="center"/>
              <w:rPr>
                <w:rFonts w:ascii="Times New Roman" w:eastAsia="Times New Roman" w:hAnsi="Times New Roman" w:cs="Times New Roman"/>
                <w:sz w:val="20"/>
                <w:szCs w:val="20"/>
                <w:lang w:val="es-ES" w:eastAsia="es-ES"/>
              </w:rPr>
            </w:pPr>
            <w:r w:rsidRPr="00F2586D">
              <w:rPr>
                <w:rFonts w:ascii="Calibri" w:eastAsia="Times New Roman" w:hAnsi="Calibri" w:cs="Calibri"/>
                <w:b/>
                <w:bCs/>
                <w:color w:val="000000"/>
                <w:sz w:val="20"/>
                <w:szCs w:val="20"/>
                <w:lang w:val="es-ES" w:eastAsia="es-ES"/>
              </w:rPr>
              <w:t>Tipo de Contratación</w:t>
            </w:r>
          </w:p>
        </w:tc>
        <w:tc>
          <w:tcPr>
            <w:tcW w:w="481" w:type="pct"/>
            <w:vMerge w:val="restart"/>
            <w:tcBorders>
              <w:top w:val="single" w:sz="4" w:space="0" w:color="auto"/>
              <w:left w:val="single" w:sz="4" w:space="0" w:color="auto"/>
              <w:bottom w:val="single" w:sz="4" w:space="0" w:color="auto"/>
              <w:right w:val="nil"/>
            </w:tcBorders>
            <w:shd w:val="clear" w:color="auto" w:fill="B4C6E7" w:themeFill="accent1" w:themeFillTint="66"/>
            <w:noWrap/>
            <w:vAlign w:val="center"/>
            <w:hideMark/>
          </w:tcPr>
          <w:p w:rsidR="00F2586D" w:rsidRPr="00F2586D" w:rsidRDefault="00F2586D" w:rsidP="00F2586D">
            <w:pPr>
              <w:jc w:val="center"/>
              <w:rPr>
                <w:rFonts w:ascii="Calibri" w:eastAsia="Times New Roman" w:hAnsi="Calibri" w:cs="Calibri"/>
                <w:b/>
                <w:bCs/>
                <w:color w:val="000000"/>
                <w:sz w:val="20"/>
                <w:szCs w:val="20"/>
                <w:lang w:val="es-ES" w:eastAsia="es-ES"/>
              </w:rPr>
            </w:pPr>
            <w:proofErr w:type="spellStart"/>
            <w:r w:rsidRPr="00F2586D">
              <w:rPr>
                <w:rFonts w:ascii="Calibri" w:eastAsia="Times New Roman" w:hAnsi="Calibri" w:cs="Calibri"/>
                <w:b/>
                <w:bCs/>
                <w:color w:val="000000"/>
                <w:sz w:val="20"/>
                <w:szCs w:val="20"/>
                <w:lang w:val="es-ES" w:eastAsia="es-ES"/>
              </w:rPr>
              <w:t>Nº</w:t>
            </w:r>
            <w:proofErr w:type="spellEnd"/>
            <w:r w:rsidRPr="00F2586D">
              <w:rPr>
                <w:rFonts w:ascii="Calibri" w:eastAsia="Times New Roman" w:hAnsi="Calibri" w:cs="Calibri"/>
                <w:b/>
                <w:bCs/>
                <w:color w:val="000000"/>
                <w:sz w:val="20"/>
                <w:szCs w:val="20"/>
                <w:lang w:val="es-ES" w:eastAsia="es-ES"/>
              </w:rPr>
              <w:t xml:space="preserve"> </w:t>
            </w:r>
            <w:proofErr w:type="spellStart"/>
            <w:r w:rsidRPr="00F2586D">
              <w:rPr>
                <w:rFonts w:ascii="Calibri" w:eastAsia="Times New Roman" w:hAnsi="Calibri" w:cs="Calibri"/>
                <w:b/>
                <w:bCs/>
                <w:color w:val="000000"/>
                <w:sz w:val="20"/>
                <w:szCs w:val="20"/>
                <w:lang w:val="es-ES" w:eastAsia="es-ES"/>
              </w:rPr>
              <w:t>Expte</w:t>
            </w:r>
            <w:proofErr w:type="spellEnd"/>
          </w:p>
          <w:p w:rsidR="00F2586D" w:rsidRPr="00F2586D" w:rsidRDefault="00F2586D" w:rsidP="00F2586D">
            <w:pPr>
              <w:jc w:val="center"/>
              <w:rPr>
                <w:rFonts w:ascii="Times New Roman" w:eastAsia="Times New Roman" w:hAnsi="Times New Roman" w:cs="Times New Roman"/>
                <w:sz w:val="20"/>
                <w:szCs w:val="20"/>
                <w:lang w:val="es-ES" w:eastAsia="es-ES"/>
              </w:rPr>
            </w:pPr>
            <w:r w:rsidRPr="00F2586D">
              <w:rPr>
                <w:rFonts w:ascii="Calibri" w:eastAsia="Times New Roman" w:hAnsi="Calibri" w:cs="Calibri"/>
                <w:b/>
                <w:bCs/>
                <w:color w:val="000000"/>
                <w:sz w:val="20"/>
                <w:szCs w:val="20"/>
                <w:lang w:val="es-ES" w:eastAsia="es-ES"/>
              </w:rPr>
              <w:t>(AJ)</w:t>
            </w:r>
          </w:p>
        </w:tc>
        <w:tc>
          <w:tcPr>
            <w:tcW w:w="1202" w:type="pct"/>
            <w:gridSpan w:val="2"/>
            <w:tcBorders>
              <w:top w:val="single" w:sz="4" w:space="0" w:color="auto"/>
              <w:left w:val="single" w:sz="4" w:space="0" w:color="auto"/>
              <w:bottom w:val="single" w:sz="4" w:space="0" w:color="auto"/>
              <w:right w:val="single" w:sz="4" w:space="0" w:color="000000"/>
            </w:tcBorders>
            <w:shd w:val="clear" w:color="auto" w:fill="B4C6E7" w:themeFill="accent1" w:themeFillTint="66"/>
            <w:noWrap/>
            <w:vAlign w:val="center"/>
            <w:hideMark/>
          </w:tcPr>
          <w:p w:rsidR="00F2586D" w:rsidRPr="00F2586D" w:rsidRDefault="00F2586D" w:rsidP="00F2586D">
            <w:pPr>
              <w:jc w:val="center"/>
              <w:rPr>
                <w:rFonts w:ascii="Calibri" w:eastAsia="Times New Roman" w:hAnsi="Calibri" w:cs="Calibri"/>
                <w:b/>
                <w:bCs/>
                <w:color w:val="000000"/>
                <w:sz w:val="20"/>
                <w:szCs w:val="20"/>
                <w:lang w:val="es-ES" w:eastAsia="es-ES"/>
              </w:rPr>
            </w:pPr>
            <w:r w:rsidRPr="00F2586D">
              <w:rPr>
                <w:rFonts w:ascii="Calibri" w:eastAsia="Times New Roman" w:hAnsi="Calibri" w:cs="Calibri"/>
                <w:b/>
                <w:bCs/>
                <w:color w:val="000000"/>
                <w:sz w:val="20"/>
                <w:szCs w:val="20"/>
                <w:lang w:val="es-ES" w:eastAsia="es-ES"/>
              </w:rPr>
              <w:t>Propuestas/Contratos</w:t>
            </w:r>
          </w:p>
        </w:tc>
        <w:tc>
          <w:tcPr>
            <w:tcW w:w="914" w:type="pct"/>
            <w:gridSpan w:val="2"/>
            <w:tcBorders>
              <w:top w:val="single" w:sz="4" w:space="0" w:color="auto"/>
              <w:left w:val="nil"/>
              <w:bottom w:val="single" w:sz="4" w:space="0" w:color="auto"/>
              <w:right w:val="single" w:sz="4" w:space="0" w:color="000000"/>
            </w:tcBorders>
            <w:shd w:val="clear" w:color="auto" w:fill="B4C6E7" w:themeFill="accent1" w:themeFillTint="66"/>
            <w:noWrap/>
            <w:vAlign w:val="center"/>
            <w:hideMark/>
          </w:tcPr>
          <w:p w:rsidR="00F2586D" w:rsidRPr="00F2586D" w:rsidRDefault="00F2586D" w:rsidP="00F2586D">
            <w:pPr>
              <w:jc w:val="center"/>
              <w:rPr>
                <w:rFonts w:ascii="Calibri" w:eastAsia="Times New Roman" w:hAnsi="Calibri" w:cs="Calibri"/>
                <w:b/>
                <w:bCs/>
                <w:color w:val="000000"/>
                <w:sz w:val="20"/>
                <w:szCs w:val="20"/>
                <w:lang w:val="es-ES" w:eastAsia="es-ES"/>
              </w:rPr>
            </w:pPr>
            <w:r w:rsidRPr="00F2586D">
              <w:rPr>
                <w:rFonts w:ascii="Calibri" w:eastAsia="Times New Roman" w:hAnsi="Calibri" w:cs="Calibri"/>
                <w:b/>
                <w:bCs/>
                <w:color w:val="000000"/>
                <w:sz w:val="20"/>
                <w:szCs w:val="20"/>
                <w:lang w:val="es-ES" w:eastAsia="es-ES"/>
              </w:rPr>
              <w:t>Facturas</w:t>
            </w:r>
          </w:p>
        </w:tc>
        <w:tc>
          <w:tcPr>
            <w:tcW w:w="879" w:type="pct"/>
            <w:vMerge w:val="restart"/>
            <w:tcBorders>
              <w:top w:val="single" w:sz="4" w:space="0" w:color="auto"/>
              <w:left w:val="nil"/>
              <w:right w:val="single" w:sz="4" w:space="0" w:color="auto"/>
            </w:tcBorders>
            <w:shd w:val="clear" w:color="auto" w:fill="B4C6E7" w:themeFill="accent1" w:themeFillTint="66"/>
            <w:noWrap/>
            <w:vAlign w:val="center"/>
            <w:hideMark/>
          </w:tcPr>
          <w:p w:rsidR="00F2586D" w:rsidRPr="00F2586D" w:rsidRDefault="00F2586D" w:rsidP="00F2586D">
            <w:pPr>
              <w:jc w:val="center"/>
              <w:rPr>
                <w:rFonts w:ascii="Calibri" w:eastAsia="Times New Roman" w:hAnsi="Calibri" w:cs="Calibri"/>
                <w:b/>
                <w:bCs/>
                <w:color w:val="000000"/>
                <w:sz w:val="20"/>
                <w:szCs w:val="20"/>
                <w:lang w:val="es-ES" w:eastAsia="es-ES"/>
              </w:rPr>
            </w:pPr>
            <w:r w:rsidRPr="00F2586D">
              <w:rPr>
                <w:rFonts w:ascii="Calibri" w:eastAsia="Times New Roman" w:hAnsi="Calibri" w:cs="Calibri"/>
                <w:b/>
                <w:bCs/>
                <w:color w:val="000000"/>
                <w:sz w:val="20"/>
                <w:szCs w:val="20"/>
                <w:lang w:val="es-ES" w:eastAsia="es-ES"/>
              </w:rPr>
              <w:t>Total</w:t>
            </w:r>
          </w:p>
          <w:p w:rsidR="00F2586D" w:rsidRPr="00F2586D" w:rsidRDefault="00F2586D" w:rsidP="00F2586D">
            <w:pPr>
              <w:jc w:val="center"/>
              <w:rPr>
                <w:rFonts w:ascii="Calibri" w:eastAsia="Times New Roman" w:hAnsi="Calibri" w:cs="Calibri"/>
                <w:b/>
                <w:bCs/>
                <w:color w:val="000000"/>
                <w:sz w:val="20"/>
                <w:szCs w:val="20"/>
                <w:lang w:val="es-ES" w:eastAsia="es-ES"/>
              </w:rPr>
            </w:pPr>
            <w:r w:rsidRPr="00F2586D">
              <w:rPr>
                <w:rFonts w:ascii="Calibri" w:eastAsia="Times New Roman" w:hAnsi="Calibri" w:cs="Calibri"/>
                <w:b/>
                <w:bCs/>
                <w:color w:val="000000"/>
                <w:sz w:val="20"/>
                <w:szCs w:val="20"/>
                <w:lang w:val="es-ES" w:eastAsia="es-ES"/>
              </w:rPr>
              <w:t>Importes</w:t>
            </w:r>
          </w:p>
        </w:tc>
      </w:tr>
      <w:tr w:rsidR="00F2586D" w:rsidRPr="00F2586D" w:rsidTr="00986E07">
        <w:trPr>
          <w:trHeight w:val="468"/>
          <w:tblHeader/>
        </w:trPr>
        <w:tc>
          <w:tcPr>
            <w:tcW w:w="1525" w:type="pct"/>
            <w:vMerge/>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rsidR="00F2586D" w:rsidRPr="00F2586D" w:rsidRDefault="00F2586D" w:rsidP="00F2586D">
            <w:pPr>
              <w:jc w:val="center"/>
              <w:rPr>
                <w:rFonts w:ascii="Calibri" w:eastAsia="Times New Roman" w:hAnsi="Calibri" w:cs="Calibri"/>
                <w:b/>
                <w:bCs/>
                <w:color w:val="000000"/>
                <w:sz w:val="20"/>
                <w:szCs w:val="20"/>
                <w:lang w:val="es-ES" w:eastAsia="es-ES"/>
              </w:rPr>
            </w:pPr>
          </w:p>
        </w:tc>
        <w:tc>
          <w:tcPr>
            <w:tcW w:w="481" w:type="pct"/>
            <w:vMerge/>
            <w:tcBorders>
              <w:left w:val="single" w:sz="4" w:space="0" w:color="auto"/>
              <w:bottom w:val="single" w:sz="4" w:space="0" w:color="auto"/>
              <w:right w:val="single" w:sz="4" w:space="0" w:color="auto"/>
            </w:tcBorders>
            <w:shd w:val="clear" w:color="auto" w:fill="B4C6E7" w:themeFill="accent1" w:themeFillTint="66"/>
            <w:noWrap/>
            <w:vAlign w:val="center"/>
            <w:hideMark/>
          </w:tcPr>
          <w:p w:rsidR="00F2586D" w:rsidRPr="00F2586D" w:rsidRDefault="00F2586D" w:rsidP="00F2586D">
            <w:pPr>
              <w:jc w:val="center"/>
              <w:rPr>
                <w:rFonts w:ascii="Calibri" w:eastAsia="Times New Roman" w:hAnsi="Calibri" w:cs="Calibri"/>
                <w:b/>
                <w:bCs/>
                <w:color w:val="000000"/>
                <w:sz w:val="20"/>
                <w:szCs w:val="20"/>
                <w:lang w:val="es-ES" w:eastAsia="es-ES"/>
              </w:rPr>
            </w:pPr>
          </w:p>
        </w:tc>
        <w:tc>
          <w:tcPr>
            <w:tcW w:w="324" w:type="pct"/>
            <w:tcBorders>
              <w:top w:val="nil"/>
              <w:left w:val="nil"/>
              <w:bottom w:val="single" w:sz="4" w:space="0" w:color="auto"/>
              <w:right w:val="single" w:sz="4" w:space="0" w:color="auto"/>
            </w:tcBorders>
            <w:shd w:val="clear" w:color="auto" w:fill="B4C6E7" w:themeFill="accent1" w:themeFillTint="66"/>
            <w:noWrap/>
            <w:vAlign w:val="center"/>
            <w:hideMark/>
          </w:tcPr>
          <w:p w:rsidR="00F2586D" w:rsidRPr="00F2586D" w:rsidRDefault="00F2586D" w:rsidP="00F2586D">
            <w:pPr>
              <w:jc w:val="center"/>
              <w:rPr>
                <w:rFonts w:ascii="Calibri" w:eastAsia="Times New Roman" w:hAnsi="Calibri" w:cs="Calibri"/>
                <w:b/>
                <w:bCs/>
                <w:color w:val="000000"/>
                <w:sz w:val="20"/>
                <w:szCs w:val="20"/>
                <w:lang w:val="es-ES" w:eastAsia="es-ES"/>
              </w:rPr>
            </w:pPr>
            <w:proofErr w:type="spellStart"/>
            <w:r w:rsidRPr="00F2586D">
              <w:rPr>
                <w:rFonts w:ascii="Calibri" w:eastAsia="Times New Roman" w:hAnsi="Calibri" w:cs="Calibri"/>
                <w:b/>
                <w:bCs/>
                <w:color w:val="000000"/>
                <w:sz w:val="20"/>
                <w:szCs w:val="20"/>
                <w:lang w:val="es-ES" w:eastAsia="es-ES"/>
              </w:rPr>
              <w:t>Nº</w:t>
            </w:r>
            <w:proofErr w:type="spellEnd"/>
          </w:p>
        </w:tc>
        <w:tc>
          <w:tcPr>
            <w:tcW w:w="879" w:type="pct"/>
            <w:tcBorders>
              <w:top w:val="nil"/>
              <w:left w:val="nil"/>
              <w:bottom w:val="single" w:sz="4" w:space="0" w:color="auto"/>
              <w:right w:val="single" w:sz="4" w:space="0" w:color="auto"/>
            </w:tcBorders>
            <w:shd w:val="clear" w:color="auto" w:fill="B4C6E7" w:themeFill="accent1" w:themeFillTint="66"/>
            <w:noWrap/>
            <w:vAlign w:val="center"/>
            <w:hideMark/>
          </w:tcPr>
          <w:p w:rsidR="00F2586D" w:rsidRPr="00F2586D" w:rsidRDefault="00F2586D" w:rsidP="00F2586D">
            <w:pPr>
              <w:jc w:val="center"/>
              <w:rPr>
                <w:rFonts w:ascii="Calibri" w:eastAsia="Times New Roman" w:hAnsi="Calibri" w:cs="Calibri"/>
                <w:b/>
                <w:bCs/>
                <w:color w:val="000000"/>
                <w:sz w:val="20"/>
                <w:szCs w:val="20"/>
                <w:lang w:val="es-ES" w:eastAsia="es-ES"/>
              </w:rPr>
            </w:pPr>
            <w:r w:rsidRPr="00F2586D">
              <w:rPr>
                <w:rFonts w:ascii="Calibri" w:eastAsia="Times New Roman" w:hAnsi="Calibri" w:cs="Calibri"/>
                <w:b/>
                <w:bCs/>
                <w:color w:val="000000"/>
                <w:sz w:val="20"/>
                <w:szCs w:val="20"/>
                <w:lang w:val="es-ES" w:eastAsia="es-ES"/>
              </w:rPr>
              <w:t>Importes</w:t>
            </w:r>
          </w:p>
        </w:tc>
        <w:tc>
          <w:tcPr>
            <w:tcW w:w="203" w:type="pct"/>
            <w:tcBorders>
              <w:top w:val="nil"/>
              <w:left w:val="nil"/>
              <w:bottom w:val="single" w:sz="4" w:space="0" w:color="auto"/>
              <w:right w:val="single" w:sz="4" w:space="0" w:color="auto"/>
            </w:tcBorders>
            <w:shd w:val="clear" w:color="auto" w:fill="B4C6E7" w:themeFill="accent1" w:themeFillTint="66"/>
            <w:noWrap/>
            <w:vAlign w:val="center"/>
            <w:hideMark/>
          </w:tcPr>
          <w:p w:rsidR="00F2586D" w:rsidRPr="00F2586D" w:rsidRDefault="00F2586D" w:rsidP="00F2586D">
            <w:pPr>
              <w:jc w:val="center"/>
              <w:rPr>
                <w:rFonts w:ascii="Calibri" w:eastAsia="Times New Roman" w:hAnsi="Calibri" w:cs="Calibri"/>
                <w:b/>
                <w:bCs/>
                <w:color w:val="000000"/>
                <w:sz w:val="20"/>
                <w:szCs w:val="20"/>
                <w:lang w:val="es-ES" w:eastAsia="es-ES"/>
              </w:rPr>
            </w:pPr>
            <w:proofErr w:type="spellStart"/>
            <w:r w:rsidRPr="00F2586D">
              <w:rPr>
                <w:rFonts w:ascii="Calibri" w:eastAsia="Times New Roman" w:hAnsi="Calibri" w:cs="Calibri"/>
                <w:b/>
                <w:bCs/>
                <w:color w:val="000000"/>
                <w:sz w:val="20"/>
                <w:szCs w:val="20"/>
                <w:lang w:val="es-ES" w:eastAsia="es-ES"/>
              </w:rPr>
              <w:t>Nº</w:t>
            </w:r>
            <w:proofErr w:type="spellEnd"/>
          </w:p>
        </w:tc>
        <w:tc>
          <w:tcPr>
            <w:tcW w:w="711" w:type="pct"/>
            <w:tcBorders>
              <w:top w:val="nil"/>
              <w:left w:val="nil"/>
              <w:bottom w:val="single" w:sz="4" w:space="0" w:color="auto"/>
              <w:right w:val="single" w:sz="4" w:space="0" w:color="auto"/>
            </w:tcBorders>
            <w:shd w:val="clear" w:color="auto" w:fill="B4C6E7" w:themeFill="accent1" w:themeFillTint="66"/>
            <w:noWrap/>
            <w:vAlign w:val="center"/>
            <w:hideMark/>
          </w:tcPr>
          <w:p w:rsidR="00F2586D" w:rsidRPr="00F2586D" w:rsidRDefault="00F2586D" w:rsidP="00F2586D">
            <w:pPr>
              <w:jc w:val="center"/>
              <w:rPr>
                <w:rFonts w:ascii="Calibri" w:eastAsia="Times New Roman" w:hAnsi="Calibri" w:cs="Calibri"/>
                <w:b/>
                <w:bCs/>
                <w:color w:val="000000"/>
                <w:sz w:val="20"/>
                <w:szCs w:val="20"/>
                <w:lang w:val="es-ES" w:eastAsia="es-ES"/>
              </w:rPr>
            </w:pPr>
            <w:r w:rsidRPr="00F2586D">
              <w:rPr>
                <w:rFonts w:ascii="Calibri" w:eastAsia="Times New Roman" w:hAnsi="Calibri" w:cs="Calibri"/>
                <w:b/>
                <w:bCs/>
                <w:color w:val="000000"/>
                <w:sz w:val="20"/>
                <w:szCs w:val="20"/>
                <w:lang w:val="es-ES" w:eastAsia="es-ES"/>
              </w:rPr>
              <w:t>Importes</w:t>
            </w:r>
          </w:p>
        </w:tc>
        <w:tc>
          <w:tcPr>
            <w:tcW w:w="879" w:type="pct"/>
            <w:vMerge/>
            <w:tcBorders>
              <w:left w:val="nil"/>
              <w:bottom w:val="single" w:sz="4" w:space="0" w:color="auto"/>
              <w:right w:val="single" w:sz="4" w:space="0" w:color="auto"/>
            </w:tcBorders>
            <w:shd w:val="clear" w:color="auto" w:fill="B4C6E7" w:themeFill="accent1" w:themeFillTint="66"/>
            <w:noWrap/>
            <w:vAlign w:val="center"/>
            <w:hideMark/>
          </w:tcPr>
          <w:p w:rsidR="00F2586D" w:rsidRPr="00F2586D" w:rsidRDefault="00F2586D" w:rsidP="00F2586D">
            <w:pPr>
              <w:jc w:val="center"/>
              <w:rPr>
                <w:rFonts w:ascii="Calibri" w:eastAsia="Times New Roman" w:hAnsi="Calibri" w:cs="Calibri"/>
                <w:b/>
                <w:bCs/>
                <w:color w:val="000000"/>
                <w:sz w:val="20"/>
                <w:szCs w:val="20"/>
                <w:lang w:val="es-ES" w:eastAsia="es-ES"/>
              </w:rPr>
            </w:pPr>
          </w:p>
        </w:tc>
      </w:tr>
      <w:tr w:rsidR="00F2586D" w:rsidRPr="00F2586D" w:rsidTr="00986E07">
        <w:trPr>
          <w:trHeight w:val="288"/>
        </w:trPr>
        <w:tc>
          <w:tcPr>
            <w:tcW w:w="1525" w:type="pct"/>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rsidR="00F2586D" w:rsidRPr="00F2586D" w:rsidRDefault="00F2586D" w:rsidP="00F2586D">
            <w:pPr>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LCSP - Contratos Servicios</w:t>
            </w:r>
          </w:p>
        </w:tc>
        <w:tc>
          <w:tcPr>
            <w:tcW w:w="481" w:type="pct"/>
            <w:tcBorders>
              <w:top w:val="nil"/>
              <w:left w:val="nil"/>
              <w:bottom w:val="single" w:sz="4" w:space="0" w:color="auto"/>
              <w:right w:val="single" w:sz="4" w:space="0" w:color="auto"/>
            </w:tcBorders>
            <w:shd w:val="clear" w:color="auto" w:fill="D9E2F3" w:themeFill="accent1" w:themeFillTint="33"/>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12</w:t>
            </w:r>
          </w:p>
        </w:tc>
        <w:tc>
          <w:tcPr>
            <w:tcW w:w="324" w:type="pct"/>
            <w:tcBorders>
              <w:top w:val="nil"/>
              <w:left w:val="nil"/>
              <w:bottom w:val="single" w:sz="4" w:space="0" w:color="auto"/>
              <w:right w:val="single" w:sz="4" w:space="0" w:color="auto"/>
            </w:tcBorders>
            <w:shd w:val="clear" w:color="auto" w:fill="D9E2F3" w:themeFill="accent1" w:themeFillTint="33"/>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146</w:t>
            </w:r>
          </w:p>
        </w:tc>
        <w:tc>
          <w:tcPr>
            <w:tcW w:w="879" w:type="pct"/>
            <w:tcBorders>
              <w:top w:val="nil"/>
              <w:left w:val="nil"/>
              <w:bottom w:val="single" w:sz="4" w:space="0" w:color="auto"/>
              <w:right w:val="single" w:sz="4" w:space="0" w:color="auto"/>
            </w:tcBorders>
            <w:shd w:val="clear" w:color="auto" w:fill="D9E2F3" w:themeFill="accent1" w:themeFillTint="33"/>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39.114.764,79 €</w:t>
            </w:r>
          </w:p>
        </w:tc>
        <w:tc>
          <w:tcPr>
            <w:tcW w:w="203" w:type="pct"/>
            <w:tcBorders>
              <w:top w:val="nil"/>
              <w:left w:val="nil"/>
              <w:bottom w:val="single" w:sz="4" w:space="0" w:color="auto"/>
              <w:right w:val="single" w:sz="4" w:space="0" w:color="auto"/>
            </w:tcBorders>
            <w:shd w:val="clear" w:color="auto" w:fill="D9E2F3" w:themeFill="accent1" w:themeFillTint="33"/>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46</w:t>
            </w:r>
          </w:p>
        </w:tc>
        <w:tc>
          <w:tcPr>
            <w:tcW w:w="711" w:type="pct"/>
            <w:tcBorders>
              <w:top w:val="nil"/>
              <w:left w:val="nil"/>
              <w:bottom w:val="single" w:sz="4" w:space="0" w:color="auto"/>
              <w:right w:val="single" w:sz="4" w:space="0" w:color="auto"/>
            </w:tcBorders>
            <w:shd w:val="clear" w:color="auto" w:fill="D9E2F3" w:themeFill="accent1" w:themeFillTint="33"/>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21.225,49 €</w:t>
            </w:r>
          </w:p>
        </w:tc>
        <w:tc>
          <w:tcPr>
            <w:tcW w:w="879" w:type="pct"/>
            <w:tcBorders>
              <w:top w:val="nil"/>
              <w:left w:val="nil"/>
              <w:bottom w:val="single" w:sz="4" w:space="0" w:color="auto"/>
              <w:right w:val="single" w:sz="4" w:space="0" w:color="auto"/>
            </w:tcBorders>
            <w:shd w:val="clear" w:color="auto" w:fill="D9E2F3" w:themeFill="accent1" w:themeFillTint="33"/>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39.161.829,88 €</w:t>
            </w:r>
          </w:p>
        </w:tc>
      </w:tr>
      <w:tr w:rsidR="00F2586D" w:rsidRPr="00F2586D" w:rsidTr="00986E07">
        <w:trPr>
          <w:trHeight w:val="288"/>
        </w:trPr>
        <w:tc>
          <w:tcPr>
            <w:tcW w:w="1525" w:type="pct"/>
            <w:tcBorders>
              <w:top w:val="nil"/>
              <w:left w:val="single" w:sz="4" w:space="0" w:color="auto"/>
              <w:bottom w:val="single" w:sz="4" w:space="0" w:color="auto"/>
              <w:right w:val="single" w:sz="4" w:space="0" w:color="auto"/>
            </w:tcBorders>
            <w:shd w:val="clear" w:color="auto" w:fill="auto"/>
            <w:noWrap/>
            <w:vAlign w:val="bottom"/>
            <w:hideMark/>
          </w:tcPr>
          <w:p w:rsidR="00F2586D" w:rsidRPr="00F2586D" w:rsidRDefault="00F2586D" w:rsidP="00F2586D">
            <w:pPr>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AA</w:t>
            </w:r>
          </w:p>
        </w:tc>
        <w:tc>
          <w:tcPr>
            <w:tcW w:w="48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1</w:t>
            </w:r>
          </w:p>
        </w:tc>
        <w:tc>
          <w:tcPr>
            <w:tcW w:w="324"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4</w:t>
            </w:r>
          </w:p>
        </w:tc>
        <w:tc>
          <w:tcPr>
            <w:tcW w:w="879"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38.000.000,00 €</w:t>
            </w:r>
          </w:p>
        </w:tc>
        <w:tc>
          <w:tcPr>
            <w:tcW w:w="203"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w:t>
            </w:r>
          </w:p>
        </w:tc>
        <w:tc>
          <w:tcPr>
            <w:tcW w:w="71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w:t>
            </w:r>
          </w:p>
        </w:tc>
        <w:tc>
          <w:tcPr>
            <w:tcW w:w="879" w:type="pct"/>
            <w:tcBorders>
              <w:top w:val="nil"/>
              <w:left w:val="nil"/>
              <w:bottom w:val="single" w:sz="4" w:space="0" w:color="auto"/>
              <w:right w:val="single" w:sz="4" w:space="0" w:color="auto"/>
            </w:tcBorders>
            <w:shd w:val="clear" w:color="auto" w:fill="D9D9D9" w:themeFill="background1" w:themeFillShade="D9"/>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38.000.000,00 €</w:t>
            </w:r>
          </w:p>
        </w:tc>
      </w:tr>
      <w:tr w:rsidR="00F2586D" w:rsidRPr="00F2586D" w:rsidTr="00986E07">
        <w:trPr>
          <w:trHeight w:val="288"/>
        </w:trPr>
        <w:tc>
          <w:tcPr>
            <w:tcW w:w="1525" w:type="pct"/>
            <w:tcBorders>
              <w:top w:val="nil"/>
              <w:left w:val="single" w:sz="4" w:space="0" w:color="auto"/>
              <w:bottom w:val="single" w:sz="4" w:space="0" w:color="auto"/>
              <w:right w:val="single" w:sz="4" w:space="0" w:color="auto"/>
            </w:tcBorders>
            <w:shd w:val="clear" w:color="auto" w:fill="auto"/>
            <w:noWrap/>
            <w:vAlign w:val="bottom"/>
            <w:hideMark/>
          </w:tcPr>
          <w:p w:rsidR="00F2586D" w:rsidRPr="00F2586D" w:rsidRDefault="00F2586D" w:rsidP="00F2586D">
            <w:pPr>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AN</w:t>
            </w:r>
          </w:p>
        </w:tc>
        <w:tc>
          <w:tcPr>
            <w:tcW w:w="48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1</w:t>
            </w:r>
          </w:p>
        </w:tc>
        <w:tc>
          <w:tcPr>
            <w:tcW w:w="324"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2</w:t>
            </w:r>
          </w:p>
        </w:tc>
        <w:tc>
          <w:tcPr>
            <w:tcW w:w="879"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119.500,00 €</w:t>
            </w:r>
          </w:p>
        </w:tc>
        <w:tc>
          <w:tcPr>
            <w:tcW w:w="203"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w:t>
            </w:r>
          </w:p>
        </w:tc>
        <w:tc>
          <w:tcPr>
            <w:tcW w:w="71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w:t>
            </w:r>
          </w:p>
        </w:tc>
        <w:tc>
          <w:tcPr>
            <w:tcW w:w="879" w:type="pct"/>
            <w:tcBorders>
              <w:top w:val="nil"/>
              <w:left w:val="nil"/>
              <w:bottom w:val="single" w:sz="4" w:space="0" w:color="auto"/>
              <w:right w:val="single" w:sz="4" w:space="0" w:color="auto"/>
            </w:tcBorders>
            <w:shd w:val="clear" w:color="auto" w:fill="D9D9D9" w:themeFill="background1" w:themeFillShade="D9"/>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119.500,00 €</w:t>
            </w:r>
          </w:p>
        </w:tc>
      </w:tr>
      <w:tr w:rsidR="00F2586D" w:rsidRPr="00F2586D" w:rsidTr="00986E07">
        <w:trPr>
          <w:trHeight w:val="288"/>
        </w:trPr>
        <w:tc>
          <w:tcPr>
            <w:tcW w:w="1525" w:type="pct"/>
            <w:tcBorders>
              <w:top w:val="nil"/>
              <w:left w:val="single" w:sz="4" w:space="0" w:color="auto"/>
              <w:bottom w:val="single" w:sz="4" w:space="0" w:color="auto"/>
              <w:right w:val="single" w:sz="4" w:space="0" w:color="auto"/>
            </w:tcBorders>
            <w:shd w:val="clear" w:color="auto" w:fill="auto"/>
            <w:noWrap/>
            <w:vAlign w:val="bottom"/>
            <w:hideMark/>
          </w:tcPr>
          <w:p w:rsidR="00F2586D" w:rsidRPr="00F2586D" w:rsidRDefault="00F2586D" w:rsidP="00F2586D">
            <w:pPr>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CM-BS</w:t>
            </w:r>
            <w:r w:rsidRPr="00F2586D">
              <w:rPr>
                <w:rFonts w:ascii="Calibri" w:eastAsia="Times New Roman" w:hAnsi="Calibri" w:cs="Calibri"/>
                <w:color w:val="000000"/>
                <w:sz w:val="22"/>
                <w:szCs w:val="22"/>
                <w:vertAlign w:val="superscript"/>
                <w:lang w:val="es-ES" w:eastAsia="es-ES"/>
              </w:rPr>
              <w:footnoteReference w:id="1"/>
            </w:r>
          </w:p>
        </w:tc>
        <w:tc>
          <w:tcPr>
            <w:tcW w:w="48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2</w:t>
            </w:r>
          </w:p>
        </w:tc>
        <w:tc>
          <w:tcPr>
            <w:tcW w:w="324"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2</w:t>
            </w:r>
          </w:p>
        </w:tc>
        <w:tc>
          <w:tcPr>
            <w:tcW w:w="879"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30.585,76 €</w:t>
            </w:r>
          </w:p>
        </w:tc>
        <w:tc>
          <w:tcPr>
            <w:tcW w:w="203"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w:t>
            </w:r>
          </w:p>
        </w:tc>
        <w:tc>
          <w:tcPr>
            <w:tcW w:w="71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w:t>
            </w:r>
          </w:p>
        </w:tc>
        <w:tc>
          <w:tcPr>
            <w:tcW w:w="879" w:type="pct"/>
            <w:tcBorders>
              <w:top w:val="nil"/>
              <w:left w:val="nil"/>
              <w:bottom w:val="single" w:sz="4" w:space="0" w:color="auto"/>
              <w:right w:val="single" w:sz="4" w:space="0" w:color="auto"/>
            </w:tcBorders>
            <w:shd w:val="clear" w:color="auto" w:fill="D9D9D9" w:themeFill="background1" w:themeFillShade="D9"/>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30.585,76 €</w:t>
            </w:r>
          </w:p>
        </w:tc>
      </w:tr>
      <w:tr w:rsidR="00F2586D" w:rsidRPr="00F2586D" w:rsidTr="00986E07">
        <w:trPr>
          <w:trHeight w:val="288"/>
        </w:trPr>
        <w:tc>
          <w:tcPr>
            <w:tcW w:w="1525" w:type="pct"/>
            <w:tcBorders>
              <w:top w:val="nil"/>
              <w:left w:val="single" w:sz="4" w:space="0" w:color="auto"/>
              <w:bottom w:val="single" w:sz="4" w:space="0" w:color="auto"/>
              <w:right w:val="single" w:sz="4" w:space="0" w:color="auto"/>
            </w:tcBorders>
            <w:shd w:val="clear" w:color="auto" w:fill="auto"/>
            <w:noWrap/>
            <w:vAlign w:val="bottom"/>
            <w:hideMark/>
          </w:tcPr>
          <w:p w:rsidR="00F2586D" w:rsidRPr="00F2586D" w:rsidRDefault="00F2586D" w:rsidP="00F2586D">
            <w:pPr>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lastRenderedPageBreak/>
              <w:t>NE</w:t>
            </w:r>
          </w:p>
        </w:tc>
        <w:tc>
          <w:tcPr>
            <w:tcW w:w="48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1</w:t>
            </w:r>
          </w:p>
        </w:tc>
        <w:tc>
          <w:tcPr>
            <w:tcW w:w="324"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1</w:t>
            </w:r>
          </w:p>
        </w:tc>
        <w:tc>
          <w:tcPr>
            <w:tcW w:w="879"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291.000,00 €</w:t>
            </w:r>
          </w:p>
        </w:tc>
        <w:tc>
          <w:tcPr>
            <w:tcW w:w="203"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w:t>
            </w:r>
          </w:p>
        </w:tc>
        <w:tc>
          <w:tcPr>
            <w:tcW w:w="71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w:t>
            </w:r>
          </w:p>
        </w:tc>
        <w:tc>
          <w:tcPr>
            <w:tcW w:w="879" w:type="pct"/>
            <w:tcBorders>
              <w:top w:val="nil"/>
              <w:left w:val="nil"/>
              <w:bottom w:val="single" w:sz="4" w:space="0" w:color="auto"/>
              <w:right w:val="single" w:sz="4" w:space="0" w:color="auto"/>
            </w:tcBorders>
            <w:shd w:val="clear" w:color="auto" w:fill="D9D9D9" w:themeFill="background1" w:themeFillShade="D9"/>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291.000,00 €</w:t>
            </w:r>
          </w:p>
        </w:tc>
      </w:tr>
      <w:tr w:rsidR="00F2586D" w:rsidRPr="00F2586D" w:rsidTr="00986E07">
        <w:trPr>
          <w:trHeight w:val="288"/>
        </w:trPr>
        <w:tc>
          <w:tcPr>
            <w:tcW w:w="1525" w:type="pct"/>
            <w:tcBorders>
              <w:top w:val="nil"/>
              <w:left w:val="single" w:sz="4" w:space="0" w:color="auto"/>
              <w:bottom w:val="single" w:sz="4" w:space="0" w:color="auto"/>
              <w:right w:val="single" w:sz="4" w:space="0" w:color="auto"/>
            </w:tcBorders>
            <w:shd w:val="clear" w:color="auto" w:fill="auto"/>
            <w:noWrap/>
            <w:vAlign w:val="bottom"/>
            <w:hideMark/>
          </w:tcPr>
          <w:p w:rsidR="00F2586D" w:rsidRPr="00F2586D" w:rsidRDefault="00F2586D" w:rsidP="00F2586D">
            <w:pPr>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NS</w:t>
            </w:r>
          </w:p>
        </w:tc>
        <w:tc>
          <w:tcPr>
            <w:tcW w:w="48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5</w:t>
            </w:r>
          </w:p>
        </w:tc>
        <w:tc>
          <w:tcPr>
            <w:tcW w:w="324"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5</w:t>
            </w:r>
          </w:p>
        </w:tc>
        <w:tc>
          <w:tcPr>
            <w:tcW w:w="879"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246.728,97 €</w:t>
            </w:r>
          </w:p>
        </w:tc>
        <w:tc>
          <w:tcPr>
            <w:tcW w:w="203"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w:t>
            </w:r>
          </w:p>
        </w:tc>
        <w:tc>
          <w:tcPr>
            <w:tcW w:w="71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w:t>
            </w:r>
          </w:p>
        </w:tc>
        <w:tc>
          <w:tcPr>
            <w:tcW w:w="879" w:type="pct"/>
            <w:tcBorders>
              <w:top w:val="nil"/>
              <w:left w:val="nil"/>
              <w:bottom w:val="single" w:sz="4" w:space="0" w:color="auto"/>
              <w:right w:val="single" w:sz="4" w:space="0" w:color="auto"/>
            </w:tcBorders>
            <w:shd w:val="clear" w:color="auto" w:fill="D9D9D9" w:themeFill="background1" w:themeFillShade="D9"/>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246.728,97 €</w:t>
            </w:r>
          </w:p>
        </w:tc>
      </w:tr>
      <w:tr w:rsidR="00F2586D" w:rsidRPr="00F2586D" w:rsidTr="00986E07">
        <w:trPr>
          <w:trHeight w:val="288"/>
        </w:trPr>
        <w:tc>
          <w:tcPr>
            <w:tcW w:w="1525" w:type="pct"/>
            <w:tcBorders>
              <w:top w:val="nil"/>
              <w:left w:val="single" w:sz="4" w:space="0" w:color="auto"/>
              <w:bottom w:val="single" w:sz="4" w:space="0" w:color="auto"/>
              <w:right w:val="single" w:sz="4" w:space="0" w:color="auto"/>
            </w:tcBorders>
            <w:shd w:val="clear" w:color="auto" w:fill="auto"/>
            <w:noWrap/>
            <w:vAlign w:val="bottom"/>
            <w:hideMark/>
          </w:tcPr>
          <w:p w:rsidR="00F2586D" w:rsidRPr="00F2586D" w:rsidRDefault="00F2586D" w:rsidP="00F2586D">
            <w:pPr>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CM</w:t>
            </w:r>
            <w:r w:rsidRPr="00F2586D">
              <w:rPr>
                <w:rFonts w:ascii="Calibri" w:eastAsia="Times New Roman" w:hAnsi="Calibri" w:cs="Calibri"/>
                <w:color w:val="000000"/>
                <w:sz w:val="22"/>
                <w:szCs w:val="22"/>
                <w:vertAlign w:val="superscript"/>
                <w:lang w:val="es-ES" w:eastAsia="es-ES"/>
              </w:rPr>
              <w:footnoteReference w:id="2"/>
            </w:r>
          </w:p>
        </w:tc>
        <w:tc>
          <w:tcPr>
            <w:tcW w:w="48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2</w:t>
            </w:r>
          </w:p>
        </w:tc>
        <w:tc>
          <w:tcPr>
            <w:tcW w:w="324"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4</w:t>
            </w:r>
          </w:p>
        </w:tc>
        <w:tc>
          <w:tcPr>
            <w:tcW w:w="879"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4.614,11 €</w:t>
            </w:r>
          </w:p>
        </w:tc>
        <w:tc>
          <w:tcPr>
            <w:tcW w:w="203"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w:t>
            </w:r>
          </w:p>
        </w:tc>
        <w:tc>
          <w:tcPr>
            <w:tcW w:w="71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w:t>
            </w:r>
          </w:p>
        </w:tc>
        <w:tc>
          <w:tcPr>
            <w:tcW w:w="879" w:type="pct"/>
            <w:tcBorders>
              <w:top w:val="nil"/>
              <w:left w:val="nil"/>
              <w:bottom w:val="single" w:sz="4" w:space="0" w:color="auto"/>
              <w:right w:val="single" w:sz="4" w:space="0" w:color="auto"/>
            </w:tcBorders>
            <w:shd w:val="clear" w:color="auto" w:fill="D9D9D9" w:themeFill="background1" w:themeFillShade="D9"/>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4.614,11 €</w:t>
            </w:r>
          </w:p>
        </w:tc>
      </w:tr>
      <w:tr w:rsidR="00F2586D" w:rsidRPr="00F2586D" w:rsidTr="00986E07">
        <w:trPr>
          <w:trHeight w:val="288"/>
        </w:trPr>
        <w:tc>
          <w:tcPr>
            <w:tcW w:w="1525" w:type="pct"/>
            <w:tcBorders>
              <w:top w:val="nil"/>
              <w:left w:val="single" w:sz="4" w:space="0" w:color="auto"/>
              <w:bottom w:val="single" w:sz="4" w:space="0" w:color="auto"/>
              <w:right w:val="single" w:sz="4" w:space="0" w:color="auto"/>
            </w:tcBorders>
            <w:shd w:val="clear" w:color="auto" w:fill="auto"/>
            <w:noWrap/>
            <w:vAlign w:val="bottom"/>
            <w:hideMark/>
          </w:tcPr>
          <w:p w:rsidR="00F2586D" w:rsidRPr="00F2586D" w:rsidRDefault="00F2586D" w:rsidP="00F2586D">
            <w:pPr>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CM</w:t>
            </w:r>
            <w:r w:rsidRPr="00F2586D">
              <w:rPr>
                <w:rFonts w:ascii="Calibri" w:eastAsia="Times New Roman" w:hAnsi="Calibri" w:cs="Calibri"/>
                <w:color w:val="000000"/>
                <w:sz w:val="22"/>
                <w:szCs w:val="22"/>
                <w:vertAlign w:val="superscript"/>
                <w:lang w:val="es-ES" w:eastAsia="es-ES"/>
              </w:rPr>
              <w:footnoteReference w:id="3"/>
            </w:r>
          </w:p>
        </w:tc>
        <w:tc>
          <w:tcPr>
            <w:tcW w:w="48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0</w:t>
            </w:r>
          </w:p>
        </w:tc>
        <w:tc>
          <w:tcPr>
            <w:tcW w:w="324"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128</w:t>
            </w:r>
          </w:p>
        </w:tc>
        <w:tc>
          <w:tcPr>
            <w:tcW w:w="879"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422.335,95 €</w:t>
            </w:r>
          </w:p>
        </w:tc>
        <w:tc>
          <w:tcPr>
            <w:tcW w:w="203"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w:t>
            </w:r>
          </w:p>
        </w:tc>
        <w:tc>
          <w:tcPr>
            <w:tcW w:w="71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w:t>
            </w:r>
          </w:p>
        </w:tc>
        <w:tc>
          <w:tcPr>
            <w:tcW w:w="879" w:type="pct"/>
            <w:tcBorders>
              <w:top w:val="nil"/>
              <w:left w:val="nil"/>
              <w:bottom w:val="single" w:sz="4" w:space="0" w:color="auto"/>
              <w:right w:val="single" w:sz="4" w:space="0" w:color="auto"/>
            </w:tcBorders>
            <w:shd w:val="clear" w:color="auto" w:fill="D9D9D9" w:themeFill="background1" w:themeFillShade="D9"/>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448.175,55 €</w:t>
            </w:r>
          </w:p>
        </w:tc>
      </w:tr>
      <w:tr w:rsidR="00F2586D" w:rsidRPr="00F2586D" w:rsidTr="00986E07">
        <w:trPr>
          <w:trHeight w:val="288"/>
        </w:trPr>
        <w:tc>
          <w:tcPr>
            <w:tcW w:w="1525" w:type="pct"/>
            <w:tcBorders>
              <w:top w:val="nil"/>
              <w:left w:val="single" w:sz="4" w:space="0" w:color="auto"/>
              <w:bottom w:val="single" w:sz="4" w:space="0" w:color="auto"/>
              <w:right w:val="single" w:sz="4" w:space="0" w:color="auto"/>
            </w:tcBorders>
            <w:shd w:val="clear" w:color="auto" w:fill="auto"/>
            <w:noWrap/>
            <w:vAlign w:val="bottom"/>
            <w:hideMark/>
          </w:tcPr>
          <w:p w:rsidR="00F2586D" w:rsidRPr="00F2586D" w:rsidRDefault="00F2586D" w:rsidP="00F2586D">
            <w:pPr>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CM</w:t>
            </w:r>
            <w:r w:rsidRPr="00F2586D">
              <w:rPr>
                <w:rFonts w:ascii="Calibri" w:eastAsia="Times New Roman" w:hAnsi="Calibri" w:cs="Calibri"/>
                <w:color w:val="000000"/>
                <w:sz w:val="22"/>
                <w:szCs w:val="22"/>
                <w:vertAlign w:val="superscript"/>
                <w:lang w:val="es-ES" w:eastAsia="es-ES"/>
              </w:rPr>
              <w:footnoteReference w:id="4"/>
            </w:r>
          </w:p>
        </w:tc>
        <w:tc>
          <w:tcPr>
            <w:tcW w:w="48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0</w:t>
            </w:r>
          </w:p>
        </w:tc>
        <w:tc>
          <w:tcPr>
            <w:tcW w:w="324"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0</w:t>
            </w:r>
          </w:p>
        </w:tc>
        <w:tc>
          <w:tcPr>
            <w:tcW w:w="879"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0,00 €</w:t>
            </w:r>
          </w:p>
        </w:tc>
        <w:tc>
          <w:tcPr>
            <w:tcW w:w="203"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46</w:t>
            </w:r>
          </w:p>
        </w:tc>
        <w:tc>
          <w:tcPr>
            <w:tcW w:w="71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21.225,49 €</w:t>
            </w:r>
          </w:p>
        </w:tc>
        <w:tc>
          <w:tcPr>
            <w:tcW w:w="879" w:type="pct"/>
            <w:tcBorders>
              <w:top w:val="nil"/>
              <w:left w:val="nil"/>
              <w:bottom w:val="single" w:sz="4" w:space="0" w:color="auto"/>
              <w:right w:val="single" w:sz="4" w:space="0" w:color="auto"/>
            </w:tcBorders>
            <w:shd w:val="clear" w:color="auto" w:fill="D9D9D9" w:themeFill="background1" w:themeFillShade="D9"/>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21.225,49 €</w:t>
            </w:r>
          </w:p>
        </w:tc>
      </w:tr>
      <w:tr w:rsidR="00F2586D" w:rsidRPr="00F2586D" w:rsidTr="00986E07">
        <w:trPr>
          <w:trHeight w:val="288"/>
        </w:trPr>
        <w:tc>
          <w:tcPr>
            <w:tcW w:w="1525" w:type="pct"/>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rsidR="00F2586D" w:rsidRPr="00F2586D" w:rsidRDefault="00F2586D" w:rsidP="00F2586D">
            <w:pPr>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LCSP - Contratos Suministros</w:t>
            </w:r>
          </w:p>
        </w:tc>
        <w:tc>
          <w:tcPr>
            <w:tcW w:w="481" w:type="pct"/>
            <w:tcBorders>
              <w:top w:val="nil"/>
              <w:left w:val="nil"/>
              <w:bottom w:val="single" w:sz="4" w:space="0" w:color="auto"/>
              <w:right w:val="single" w:sz="4" w:space="0" w:color="auto"/>
            </w:tcBorders>
            <w:shd w:val="clear" w:color="auto" w:fill="D9E2F3" w:themeFill="accent1" w:themeFillTint="33"/>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2</w:t>
            </w:r>
          </w:p>
        </w:tc>
        <w:tc>
          <w:tcPr>
            <w:tcW w:w="324" w:type="pct"/>
            <w:tcBorders>
              <w:top w:val="nil"/>
              <w:left w:val="nil"/>
              <w:bottom w:val="single" w:sz="4" w:space="0" w:color="auto"/>
              <w:right w:val="single" w:sz="4" w:space="0" w:color="auto"/>
            </w:tcBorders>
            <w:shd w:val="clear" w:color="auto" w:fill="D9E2F3" w:themeFill="accent1" w:themeFillTint="33"/>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2</w:t>
            </w:r>
          </w:p>
        </w:tc>
        <w:tc>
          <w:tcPr>
            <w:tcW w:w="879" w:type="pct"/>
            <w:tcBorders>
              <w:top w:val="nil"/>
              <w:left w:val="nil"/>
              <w:bottom w:val="single" w:sz="4" w:space="0" w:color="auto"/>
              <w:right w:val="single" w:sz="4" w:space="0" w:color="auto"/>
            </w:tcBorders>
            <w:shd w:val="clear" w:color="auto" w:fill="D9E2F3" w:themeFill="accent1" w:themeFillTint="33"/>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85.000,00 €</w:t>
            </w:r>
          </w:p>
        </w:tc>
        <w:tc>
          <w:tcPr>
            <w:tcW w:w="203" w:type="pct"/>
            <w:tcBorders>
              <w:top w:val="nil"/>
              <w:left w:val="nil"/>
              <w:bottom w:val="single" w:sz="4" w:space="0" w:color="auto"/>
              <w:right w:val="single" w:sz="4" w:space="0" w:color="auto"/>
            </w:tcBorders>
            <w:shd w:val="clear" w:color="auto" w:fill="D9E2F3" w:themeFill="accent1" w:themeFillTint="33"/>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w:t>
            </w:r>
          </w:p>
        </w:tc>
        <w:tc>
          <w:tcPr>
            <w:tcW w:w="711" w:type="pct"/>
            <w:tcBorders>
              <w:top w:val="nil"/>
              <w:left w:val="nil"/>
              <w:bottom w:val="single" w:sz="4" w:space="0" w:color="auto"/>
              <w:right w:val="single" w:sz="4" w:space="0" w:color="auto"/>
            </w:tcBorders>
            <w:shd w:val="clear" w:color="auto" w:fill="D9E2F3" w:themeFill="accent1" w:themeFillTint="33"/>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w:t>
            </w:r>
          </w:p>
        </w:tc>
        <w:tc>
          <w:tcPr>
            <w:tcW w:w="879" w:type="pct"/>
            <w:tcBorders>
              <w:top w:val="nil"/>
              <w:left w:val="nil"/>
              <w:bottom w:val="single" w:sz="4" w:space="0" w:color="auto"/>
              <w:right w:val="single" w:sz="4" w:space="0" w:color="auto"/>
            </w:tcBorders>
            <w:shd w:val="clear" w:color="auto" w:fill="D9E2F3" w:themeFill="accent1" w:themeFillTint="33"/>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85.000,00 €</w:t>
            </w:r>
          </w:p>
        </w:tc>
      </w:tr>
      <w:tr w:rsidR="00F2586D" w:rsidRPr="00F2586D" w:rsidTr="00986E07">
        <w:trPr>
          <w:trHeight w:val="288"/>
        </w:trPr>
        <w:tc>
          <w:tcPr>
            <w:tcW w:w="1525" w:type="pct"/>
            <w:tcBorders>
              <w:top w:val="nil"/>
              <w:left w:val="single" w:sz="4" w:space="0" w:color="auto"/>
              <w:bottom w:val="single" w:sz="4" w:space="0" w:color="auto"/>
              <w:right w:val="single" w:sz="4" w:space="0" w:color="auto"/>
            </w:tcBorders>
            <w:shd w:val="clear" w:color="auto" w:fill="auto"/>
            <w:noWrap/>
            <w:vAlign w:val="bottom"/>
            <w:hideMark/>
          </w:tcPr>
          <w:p w:rsidR="00F2586D" w:rsidRPr="00F2586D" w:rsidRDefault="00F2586D" w:rsidP="00F2586D">
            <w:pPr>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NS</w:t>
            </w:r>
          </w:p>
        </w:tc>
        <w:tc>
          <w:tcPr>
            <w:tcW w:w="48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2</w:t>
            </w:r>
          </w:p>
        </w:tc>
        <w:tc>
          <w:tcPr>
            <w:tcW w:w="324"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2</w:t>
            </w:r>
          </w:p>
        </w:tc>
        <w:tc>
          <w:tcPr>
            <w:tcW w:w="879"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85.000,00 €</w:t>
            </w:r>
          </w:p>
        </w:tc>
        <w:tc>
          <w:tcPr>
            <w:tcW w:w="203"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w:t>
            </w:r>
          </w:p>
        </w:tc>
        <w:tc>
          <w:tcPr>
            <w:tcW w:w="71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w:t>
            </w:r>
          </w:p>
        </w:tc>
        <w:tc>
          <w:tcPr>
            <w:tcW w:w="879" w:type="pct"/>
            <w:tcBorders>
              <w:top w:val="nil"/>
              <w:left w:val="nil"/>
              <w:bottom w:val="single" w:sz="4" w:space="0" w:color="auto"/>
              <w:right w:val="single" w:sz="4" w:space="0" w:color="auto"/>
            </w:tcBorders>
            <w:shd w:val="clear" w:color="auto" w:fill="D9D9D9" w:themeFill="background1" w:themeFillShade="D9"/>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85.000,00 €</w:t>
            </w:r>
          </w:p>
        </w:tc>
      </w:tr>
      <w:tr w:rsidR="00F2586D" w:rsidRPr="00F2586D" w:rsidTr="00986E07">
        <w:trPr>
          <w:trHeight w:val="288"/>
        </w:trPr>
        <w:tc>
          <w:tcPr>
            <w:tcW w:w="1525" w:type="pct"/>
            <w:tcBorders>
              <w:top w:val="nil"/>
              <w:left w:val="single" w:sz="4" w:space="0" w:color="auto"/>
              <w:bottom w:val="single" w:sz="4" w:space="0" w:color="auto"/>
              <w:right w:val="single" w:sz="4" w:space="0" w:color="auto"/>
            </w:tcBorders>
            <w:shd w:val="clear" w:color="D9E1F2" w:fill="D9E1F2"/>
            <w:noWrap/>
            <w:vAlign w:val="bottom"/>
            <w:hideMark/>
          </w:tcPr>
          <w:p w:rsidR="00F2586D" w:rsidRPr="00F2586D" w:rsidRDefault="00F2586D" w:rsidP="00F2586D">
            <w:pPr>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 xml:space="preserve">Total </w:t>
            </w:r>
          </w:p>
        </w:tc>
        <w:tc>
          <w:tcPr>
            <w:tcW w:w="481" w:type="pct"/>
            <w:tcBorders>
              <w:top w:val="nil"/>
              <w:left w:val="nil"/>
              <w:bottom w:val="single" w:sz="4" w:space="0" w:color="auto"/>
              <w:right w:val="single" w:sz="4" w:space="0" w:color="auto"/>
            </w:tcBorders>
            <w:shd w:val="clear" w:color="D9E1F2" w:fill="D9E1F2"/>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14</w:t>
            </w:r>
          </w:p>
        </w:tc>
        <w:tc>
          <w:tcPr>
            <w:tcW w:w="324" w:type="pct"/>
            <w:tcBorders>
              <w:top w:val="nil"/>
              <w:left w:val="nil"/>
              <w:bottom w:val="single" w:sz="4" w:space="0" w:color="auto"/>
              <w:right w:val="single" w:sz="4" w:space="0" w:color="auto"/>
            </w:tcBorders>
            <w:shd w:val="clear" w:color="D9E1F2" w:fill="D9E1F2"/>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148</w:t>
            </w:r>
          </w:p>
        </w:tc>
        <w:tc>
          <w:tcPr>
            <w:tcW w:w="879" w:type="pct"/>
            <w:tcBorders>
              <w:top w:val="nil"/>
              <w:left w:val="nil"/>
              <w:bottom w:val="single" w:sz="4" w:space="0" w:color="auto"/>
              <w:right w:val="single" w:sz="4" w:space="0" w:color="auto"/>
            </w:tcBorders>
            <w:shd w:val="clear" w:color="D9E1F2" w:fill="D9E1F2"/>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39.199.764,79</w:t>
            </w:r>
          </w:p>
        </w:tc>
        <w:tc>
          <w:tcPr>
            <w:tcW w:w="203" w:type="pct"/>
            <w:tcBorders>
              <w:top w:val="nil"/>
              <w:left w:val="nil"/>
              <w:bottom w:val="single" w:sz="4" w:space="0" w:color="auto"/>
              <w:right w:val="single" w:sz="4" w:space="0" w:color="auto"/>
            </w:tcBorders>
            <w:shd w:val="clear" w:color="D9E1F2" w:fill="D9E1F2"/>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46</w:t>
            </w:r>
          </w:p>
        </w:tc>
        <w:tc>
          <w:tcPr>
            <w:tcW w:w="711" w:type="pct"/>
            <w:tcBorders>
              <w:top w:val="nil"/>
              <w:left w:val="nil"/>
              <w:bottom w:val="single" w:sz="4" w:space="0" w:color="auto"/>
              <w:right w:val="single" w:sz="4" w:space="0" w:color="auto"/>
            </w:tcBorders>
            <w:shd w:val="clear" w:color="D9E1F2" w:fill="D9E1F2"/>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21.225,49 €</w:t>
            </w:r>
          </w:p>
        </w:tc>
        <w:tc>
          <w:tcPr>
            <w:tcW w:w="879" w:type="pct"/>
            <w:tcBorders>
              <w:top w:val="nil"/>
              <w:left w:val="nil"/>
              <w:bottom w:val="single" w:sz="4" w:space="0" w:color="auto"/>
              <w:right w:val="single" w:sz="4" w:space="0" w:color="auto"/>
            </w:tcBorders>
            <w:shd w:val="clear" w:color="D9E1F2" w:fill="D9E1F2"/>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39.246.829,88 €</w:t>
            </w:r>
          </w:p>
        </w:tc>
      </w:tr>
    </w:tbl>
    <w:p w:rsidR="00F2586D" w:rsidRPr="00F2586D" w:rsidRDefault="00F2586D" w:rsidP="00F2586D">
      <w:pPr>
        <w:jc w:val="both"/>
        <w:rPr>
          <w:rFonts w:ascii="Arial" w:eastAsia="Times" w:hAnsi="Arial" w:cs="Arial"/>
          <w:sz w:val="22"/>
          <w:szCs w:val="22"/>
          <w:lang w:val="es-ES" w:eastAsia="es-ES"/>
        </w:rPr>
      </w:pPr>
    </w:p>
    <w:p w:rsidR="00F2586D" w:rsidRPr="00F2586D" w:rsidRDefault="00F2586D" w:rsidP="00F2586D">
      <w:pPr>
        <w:jc w:val="both"/>
        <w:rPr>
          <w:rFonts w:ascii="Arial" w:eastAsia="Times" w:hAnsi="Arial" w:cs="Arial"/>
          <w:sz w:val="22"/>
          <w:szCs w:val="22"/>
          <w:lang w:val="es-ES" w:eastAsia="es-ES"/>
        </w:rPr>
      </w:pPr>
      <w:r w:rsidRPr="00F2586D">
        <w:rPr>
          <w:rFonts w:ascii="Arial" w:eastAsia="Times" w:hAnsi="Arial" w:cs="Arial"/>
          <w:sz w:val="22"/>
          <w:szCs w:val="22"/>
          <w:lang w:val="es-ES" w:eastAsia="es-ES"/>
        </w:rPr>
        <w:t>En dichas contrataciones se han seguido los siguientes procedimientos:</w:t>
      </w:r>
    </w:p>
    <w:p w:rsidR="00F2586D" w:rsidRPr="00F2586D" w:rsidRDefault="00F2586D" w:rsidP="00F2586D">
      <w:pPr>
        <w:jc w:val="both"/>
        <w:rPr>
          <w:rFonts w:ascii="Arial" w:eastAsia="Times" w:hAnsi="Arial" w:cs="Arial"/>
          <w:sz w:val="22"/>
          <w:szCs w:val="22"/>
          <w:lang w:val="es-ES" w:eastAsia="es-ES"/>
        </w:rPr>
      </w:pPr>
    </w:p>
    <w:p w:rsidR="00F2586D" w:rsidRPr="00F2586D" w:rsidRDefault="00F2586D" w:rsidP="00F2586D">
      <w:pPr>
        <w:numPr>
          <w:ilvl w:val="0"/>
          <w:numId w:val="31"/>
        </w:numPr>
        <w:ind w:left="502"/>
        <w:contextualSpacing/>
        <w:jc w:val="both"/>
        <w:rPr>
          <w:rFonts w:ascii="Arial" w:eastAsia="Times New Roman" w:hAnsi="Arial" w:cs="Arial"/>
          <w:sz w:val="22"/>
          <w:szCs w:val="22"/>
          <w:lang w:val="es-ES" w:eastAsia="es-ES"/>
        </w:rPr>
      </w:pPr>
      <w:r w:rsidRPr="00F2586D">
        <w:rPr>
          <w:rFonts w:ascii="Arial" w:eastAsia="Times New Roman" w:hAnsi="Arial" w:cs="Arial"/>
          <w:sz w:val="22"/>
          <w:szCs w:val="22"/>
          <w:lang w:val="es-ES" w:eastAsia="es-ES"/>
        </w:rPr>
        <w:t xml:space="preserve">El procedimiento de adjudicación </w:t>
      </w:r>
      <w:r w:rsidRPr="00F2586D">
        <w:rPr>
          <w:rFonts w:ascii="Arial" w:eastAsia="Times New Roman" w:hAnsi="Arial" w:cs="Arial"/>
          <w:sz w:val="22"/>
          <w:szCs w:val="22"/>
          <w:u w:val="single"/>
          <w:lang w:val="es-ES" w:eastAsia="es-ES"/>
        </w:rPr>
        <w:t>abierto armonizado (</w:t>
      </w:r>
      <w:r w:rsidRPr="00F2586D">
        <w:rPr>
          <w:rFonts w:ascii="Arial" w:eastAsia="Times New Roman" w:hAnsi="Arial" w:cs="Arial"/>
          <w:b/>
          <w:sz w:val="22"/>
          <w:szCs w:val="22"/>
          <w:u w:val="single"/>
          <w:lang w:val="es-ES" w:eastAsia="es-ES"/>
        </w:rPr>
        <w:t>AA</w:t>
      </w:r>
      <w:r w:rsidRPr="00F2586D">
        <w:rPr>
          <w:rFonts w:ascii="Arial" w:eastAsia="Times New Roman" w:hAnsi="Arial" w:cs="Arial"/>
          <w:sz w:val="22"/>
          <w:szCs w:val="22"/>
          <w:u w:val="single"/>
          <w:lang w:val="es-ES" w:eastAsia="es-ES"/>
        </w:rPr>
        <w:t>)</w:t>
      </w:r>
      <w:r w:rsidRPr="00F2586D">
        <w:rPr>
          <w:rFonts w:ascii="Arial" w:eastAsia="Times New Roman" w:hAnsi="Arial" w:cs="Arial"/>
          <w:sz w:val="22"/>
          <w:szCs w:val="22"/>
          <w:lang w:val="es-ES" w:eastAsia="es-ES"/>
        </w:rPr>
        <w:t xml:space="preserve"> se ha seguido en aquellos contratos cuyos importes superan los 207.000,00€ conforme a lo establecido en el TRLCSP (Art.13 y </w:t>
      </w:r>
      <w:proofErr w:type="spellStart"/>
      <w:r w:rsidRPr="00F2586D">
        <w:rPr>
          <w:rFonts w:ascii="Arial" w:eastAsia="Times New Roman" w:hAnsi="Arial" w:cs="Arial"/>
          <w:sz w:val="22"/>
          <w:szCs w:val="22"/>
          <w:lang w:val="es-ES" w:eastAsia="es-ES"/>
        </w:rPr>
        <w:t>ss</w:t>
      </w:r>
      <w:proofErr w:type="spellEnd"/>
      <w:r w:rsidRPr="00F2586D">
        <w:rPr>
          <w:rFonts w:ascii="Arial" w:eastAsia="Times New Roman" w:hAnsi="Arial" w:cs="Arial"/>
          <w:sz w:val="22"/>
          <w:szCs w:val="22"/>
          <w:lang w:val="es-ES" w:eastAsia="es-ES"/>
        </w:rPr>
        <w:t>).</w:t>
      </w:r>
    </w:p>
    <w:p w:rsidR="00F2586D" w:rsidRPr="00F2586D" w:rsidRDefault="00F2586D" w:rsidP="00F2586D">
      <w:pPr>
        <w:contextualSpacing/>
        <w:jc w:val="both"/>
        <w:rPr>
          <w:rFonts w:ascii="Arial" w:eastAsia="Times New Roman" w:hAnsi="Arial" w:cs="Arial"/>
          <w:sz w:val="22"/>
          <w:szCs w:val="22"/>
          <w:lang w:val="es-ES" w:eastAsia="es-ES"/>
        </w:rPr>
      </w:pPr>
    </w:p>
    <w:p w:rsidR="00F2586D" w:rsidRPr="00F2586D" w:rsidRDefault="00F2586D" w:rsidP="00F2586D">
      <w:pPr>
        <w:numPr>
          <w:ilvl w:val="0"/>
          <w:numId w:val="31"/>
        </w:numPr>
        <w:ind w:left="502"/>
        <w:contextualSpacing/>
        <w:jc w:val="both"/>
        <w:rPr>
          <w:rFonts w:ascii="Arial" w:eastAsia="Times New Roman" w:hAnsi="Arial" w:cs="Arial"/>
          <w:sz w:val="22"/>
          <w:szCs w:val="22"/>
          <w:lang w:val="es-ES" w:eastAsia="es-ES"/>
        </w:rPr>
      </w:pPr>
      <w:r w:rsidRPr="00F2586D">
        <w:rPr>
          <w:rFonts w:ascii="Arial" w:eastAsia="Times New Roman" w:hAnsi="Arial" w:cs="Arial"/>
          <w:sz w:val="22"/>
          <w:szCs w:val="22"/>
          <w:lang w:val="es-ES" w:eastAsia="es-ES"/>
        </w:rPr>
        <w:t xml:space="preserve">El procedimiento de adjudicación </w:t>
      </w:r>
      <w:r w:rsidRPr="00F2586D">
        <w:rPr>
          <w:rFonts w:ascii="Arial" w:eastAsia="Times New Roman" w:hAnsi="Arial" w:cs="Arial"/>
          <w:sz w:val="22"/>
          <w:szCs w:val="22"/>
          <w:u w:val="single"/>
          <w:lang w:val="es-ES" w:eastAsia="es-ES"/>
        </w:rPr>
        <w:t>abierto no armonizado (</w:t>
      </w:r>
      <w:r w:rsidRPr="00F2586D">
        <w:rPr>
          <w:rFonts w:ascii="Arial" w:eastAsia="Times New Roman" w:hAnsi="Arial" w:cs="Arial"/>
          <w:b/>
          <w:sz w:val="22"/>
          <w:szCs w:val="22"/>
          <w:u w:val="single"/>
          <w:lang w:val="es-ES" w:eastAsia="es-ES"/>
        </w:rPr>
        <w:t>AN</w:t>
      </w:r>
      <w:r w:rsidRPr="00F2586D">
        <w:rPr>
          <w:rFonts w:ascii="Arial" w:eastAsia="Times New Roman" w:hAnsi="Arial" w:cs="Arial"/>
          <w:sz w:val="22"/>
          <w:szCs w:val="22"/>
          <w:u w:val="single"/>
          <w:lang w:val="es-ES" w:eastAsia="es-ES"/>
        </w:rPr>
        <w:t>)</w:t>
      </w:r>
      <w:r w:rsidRPr="00F2586D">
        <w:rPr>
          <w:rFonts w:ascii="Arial" w:eastAsia="Times New Roman" w:hAnsi="Arial" w:cs="Arial"/>
          <w:sz w:val="22"/>
          <w:szCs w:val="22"/>
          <w:lang w:val="es-ES" w:eastAsia="es-ES"/>
        </w:rPr>
        <w:t xml:space="preserve"> se ha seguido en aquellos contratos cuyos importes no superan los 206.999,99€ conforme a lo establecido en el TRLCSP (Art. 16 y 177).</w:t>
      </w:r>
    </w:p>
    <w:p w:rsidR="00F2586D" w:rsidRPr="00F2586D" w:rsidRDefault="00F2586D" w:rsidP="00F2586D">
      <w:pPr>
        <w:ind w:left="502"/>
        <w:contextualSpacing/>
        <w:jc w:val="both"/>
        <w:rPr>
          <w:rFonts w:ascii="Arial" w:eastAsia="Times" w:hAnsi="Arial" w:cs="Arial"/>
          <w:sz w:val="22"/>
          <w:szCs w:val="22"/>
          <w:lang w:val="es-ES" w:eastAsia="es-ES"/>
        </w:rPr>
      </w:pPr>
    </w:p>
    <w:p w:rsidR="00F2586D" w:rsidRPr="00F2586D" w:rsidRDefault="00F2586D" w:rsidP="00F2586D">
      <w:pPr>
        <w:numPr>
          <w:ilvl w:val="0"/>
          <w:numId w:val="31"/>
        </w:numPr>
        <w:ind w:left="502"/>
        <w:contextualSpacing/>
        <w:jc w:val="both"/>
        <w:rPr>
          <w:rFonts w:ascii="Arial" w:eastAsia="Times" w:hAnsi="Arial" w:cs="Arial"/>
          <w:sz w:val="22"/>
          <w:szCs w:val="22"/>
          <w:lang w:val="es-ES" w:eastAsia="es-ES"/>
        </w:rPr>
      </w:pPr>
      <w:r w:rsidRPr="00F2586D">
        <w:rPr>
          <w:rFonts w:ascii="Arial" w:eastAsia="Times" w:hAnsi="Arial" w:cs="Arial"/>
          <w:sz w:val="22"/>
          <w:szCs w:val="22"/>
          <w:lang w:val="es-ES" w:eastAsia="es-ES"/>
        </w:rPr>
        <w:t xml:space="preserve">El procedimiento de adjudicación </w:t>
      </w:r>
      <w:r w:rsidRPr="00F2586D">
        <w:rPr>
          <w:rFonts w:ascii="Arial" w:eastAsia="Times" w:hAnsi="Arial" w:cs="Arial"/>
          <w:sz w:val="22"/>
          <w:szCs w:val="22"/>
          <w:u w:val="single"/>
          <w:lang w:val="es-ES" w:eastAsia="es-ES"/>
        </w:rPr>
        <w:t>negociado sin publicidad (</w:t>
      </w:r>
      <w:r w:rsidRPr="00F2586D">
        <w:rPr>
          <w:rFonts w:ascii="Arial" w:eastAsia="Times New Roman" w:hAnsi="Arial" w:cs="Arial"/>
          <w:b/>
          <w:sz w:val="22"/>
          <w:szCs w:val="22"/>
          <w:u w:val="single"/>
          <w:lang w:val="es-ES" w:eastAsia="es-ES"/>
        </w:rPr>
        <w:t>NS</w:t>
      </w:r>
      <w:r w:rsidRPr="00F2586D">
        <w:rPr>
          <w:rFonts w:ascii="Arial" w:eastAsia="Times" w:hAnsi="Arial" w:cs="Arial"/>
          <w:sz w:val="22"/>
          <w:szCs w:val="22"/>
          <w:u w:val="single"/>
          <w:lang w:val="es-ES" w:eastAsia="es-ES"/>
        </w:rPr>
        <w:t>)</w:t>
      </w:r>
      <w:r w:rsidRPr="00F2586D">
        <w:rPr>
          <w:rFonts w:ascii="Arial" w:eastAsia="Times" w:hAnsi="Arial" w:cs="Arial"/>
          <w:sz w:val="22"/>
          <w:szCs w:val="22"/>
          <w:lang w:val="es-ES" w:eastAsia="es-ES"/>
        </w:rPr>
        <w:t xml:space="preserve"> se ha aplicado a aquellos contratos que no superen los 60.000,00 € conforme a lo establecido en el TRLCSP (Art. 173 f), 174 e) y 177).</w:t>
      </w:r>
    </w:p>
    <w:p w:rsidR="00F2586D" w:rsidRPr="00F2586D" w:rsidRDefault="00F2586D" w:rsidP="00F2586D">
      <w:pPr>
        <w:ind w:left="502"/>
        <w:contextualSpacing/>
        <w:jc w:val="both"/>
        <w:rPr>
          <w:rFonts w:ascii="Arial" w:eastAsia="Times" w:hAnsi="Arial" w:cs="Arial"/>
          <w:sz w:val="22"/>
          <w:szCs w:val="22"/>
          <w:lang w:val="es-ES" w:eastAsia="es-ES"/>
        </w:rPr>
      </w:pPr>
    </w:p>
    <w:p w:rsidR="00F2586D" w:rsidRPr="00F2586D" w:rsidRDefault="00F2586D" w:rsidP="00F2586D">
      <w:pPr>
        <w:numPr>
          <w:ilvl w:val="0"/>
          <w:numId w:val="31"/>
        </w:numPr>
        <w:ind w:left="502"/>
        <w:contextualSpacing/>
        <w:jc w:val="both"/>
        <w:rPr>
          <w:rFonts w:ascii="Arial" w:eastAsia="Times New Roman" w:hAnsi="Arial" w:cs="Arial"/>
          <w:sz w:val="22"/>
          <w:szCs w:val="22"/>
          <w:lang w:val="es-ES" w:eastAsia="es-ES"/>
        </w:rPr>
      </w:pPr>
      <w:r w:rsidRPr="00F2586D">
        <w:rPr>
          <w:rFonts w:ascii="Arial" w:eastAsia="Times New Roman" w:hAnsi="Arial" w:cs="Arial"/>
          <w:sz w:val="22"/>
          <w:szCs w:val="22"/>
          <w:lang w:val="es-ES" w:eastAsia="es-ES"/>
        </w:rPr>
        <w:t xml:space="preserve">El procedimiento de adjudicación </w:t>
      </w:r>
      <w:r w:rsidRPr="00F2586D">
        <w:rPr>
          <w:rFonts w:ascii="Arial" w:eastAsia="Times New Roman" w:hAnsi="Arial" w:cs="Arial"/>
          <w:sz w:val="22"/>
          <w:szCs w:val="22"/>
          <w:u w:val="single"/>
          <w:lang w:val="es-ES" w:eastAsia="es-ES"/>
        </w:rPr>
        <w:t>negociado por exclusividad (</w:t>
      </w:r>
      <w:r w:rsidRPr="00F2586D">
        <w:rPr>
          <w:rFonts w:ascii="Arial" w:eastAsia="Times New Roman" w:hAnsi="Arial" w:cs="Arial"/>
          <w:b/>
          <w:sz w:val="22"/>
          <w:szCs w:val="22"/>
          <w:u w:val="single"/>
          <w:lang w:val="es-ES" w:eastAsia="es-ES"/>
        </w:rPr>
        <w:t>NE</w:t>
      </w:r>
      <w:r w:rsidRPr="00F2586D">
        <w:rPr>
          <w:rFonts w:ascii="Arial" w:eastAsia="Times New Roman" w:hAnsi="Arial" w:cs="Arial"/>
          <w:sz w:val="22"/>
          <w:szCs w:val="22"/>
          <w:u w:val="single"/>
          <w:lang w:val="es-ES" w:eastAsia="es-ES"/>
        </w:rPr>
        <w:t>)</w:t>
      </w:r>
      <w:r w:rsidRPr="00F2586D">
        <w:rPr>
          <w:rFonts w:ascii="Arial" w:eastAsia="Times New Roman" w:hAnsi="Arial" w:cs="Arial"/>
          <w:sz w:val="22"/>
          <w:szCs w:val="22"/>
          <w:lang w:val="es-ES" w:eastAsia="es-ES"/>
        </w:rPr>
        <w:t xml:space="preserve"> se ha aplicado cuando en el procedimiento concurren características técnicas o artísticas o por motivos relacionados con la protección de derechos de exclusiva que motivan que el contrato sólo pueda encomendarse a un empresario determinado, conforme a lo establecido en el Art.170.d) del TRLCSP.</w:t>
      </w:r>
    </w:p>
    <w:p w:rsidR="00F2586D" w:rsidRPr="00F2586D" w:rsidRDefault="00F2586D" w:rsidP="00F2586D">
      <w:pPr>
        <w:contextualSpacing/>
        <w:jc w:val="both"/>
        <w:rPr>
          <w:rFonts w:ascii="Arial" w:eastAsia="Times" w:hAnsi="Arial" w:cs="Arial"/>
          <w:sz w:val="22"/>
          <w:szCs w:val="22"/>
          <w:lang w:val="es-ES" w:eastAsia="es-ES"/>
        </w:rPr>
      </w:pPr>
    </w:p>
    <w:p w:rsidR="00F2586D" w:rsidRPr="00F2586D" w:rsidRDefault="00F2586D" w:rsidP="00F2586D">
      <w:pPr>
        <w:numPr>
          <w:ilvl w:val="0"/>
          <w:numId w:val="31"/>
        </w:numPr>
        <w:tabs>
          <w:tab w:val="right" w:pos="-5940"/>
        </w:tabs>
        <w:ind w:left="502" w:right="44"/>
        <w:contextualSpacing/>
        <w:jc w:val="both"/>
        <w:rPr>
          <w:rFonts w:ascii="Arial" w:eastAsia="Times" w:hAnsi="Arial" w:cs="Arial"/>
          <w:sz w:val="22"/>
          <w:szCs w:val="22"/>
          <w:lang w:val="es-ES" w:eastAsia="es-ES"/>
        </w:rPr>
      </w:pPr>
      <w:r w:rsidRPr="00F2586D">
        <w:rPr>
          <w:rFonts w:ascii="Arial" w:eastAsia="Times" w:hAnsi="Arial" w:cs="Arial"/>
          <w:sz w:val="22"/>
          <w:szCs w:val="22"/>
          <w:lang w:val="es-ES" w:eastAsia="es-ES"/>
        </w:rPr>
        <w:t xml:space="preserve">Se ha aplicado el procedimiento de </w:t>
      </w:r>
      <w:r w:rsidRPr="00F2586D">
        <w:rPr>
          <w:rFonts w:ascii="Arial" w:eastAsia="Times" w:hAnsi="Arial" w:cs="Arial"/>
          <w:sz w:val="22"/>
          <w:szCs w:val="22"/>
          <w:u w:val="single"/>
          <w:lang w:val="es-ES" w:eastAsia="es-ES"/>
        </w:rPr>
        <w:t>contratación menor (</w:t>
      </w:r>
      <w:r w:rsidRPr="00F2586D">
        <w:rPr>
          <w:rFonts w:ascii="Arial" w:eastAsia="Times New Roman" w:hAnsi="Arial" w:cs="Arial"/>
          <w:b/>
          <w:sz w:val="22"/>
          <w:szCs w:val="22"/>
          <w:u w:val="single"/>
          <w:lang w:val="es-ES" w:eastAsia="es-ES"/>
        </w:rPr>
        <w:t>CM</w:t>
      </w:r>
      <w:r w:rsidRPr="00F2586D">
        <w:rPr>
          <w:rFonts w:ascii="Arial" w:eastAsia="Times" w:hAnsi="Arial" w:cs="Arial"/>
          <w:sz w:val="22"/>
          <w:szCs w:val="22"/>
          <w:u w:val="single"/>
          <w:lang w:val="es-ES" w:eastAsia="es-ES"/>
        </w:rPr>
        <w:t>)</w:t>
      </w:r>
      <w:r w:rsidRPr="00F2586D">
        <w:rPr>
          <w:rFonts w:ascii="Arial" w:eastAsia="Times" w:hAnsi="Arial" w:cs="Arial"/>
          <w:sz w:val="22"/>
          <w:szCs w:val="22"/>
          <w:lang w:val="es-ES" w:eastAsia="es-ES"/>
        </w:rPr>
        <w:t xml:space="preserve"> en aquellos casos en los que el importe de los contratos no supere los 17.999,00 € según lo previsto en el artículo 111 y 138.3 TRLCSP.</w:t>
      </w:r>
    </w:p>
    <w:p w:rsidR="00F2586D" w:rsidRPr="00F2586D" w:rsidRDefault="00F2586D" w:rsidP="00F2586D">
      <w:pPr>
        <w:tabs>
          <w:tab w:val="right" w:pos="-5940"/>
        </w:tabs>
        <w:ind w:left="502" w:right="44"/>
        <w:contextualSpacing/>
        <w:jc w:val="both"/>
        <w:rPr>
          <w:rFonts w:ascii="Arial" w:eastAsia="Times" w:hAnsi="Arial" w:cs="Arial"/>
          <w:sz w:val="22"/>
          <w:szCs w:val="22"/>
          <w:lang w:val="es-ES" w:eastAsia="es-ES"/>
        </w:rPr>
      </w:pPr>
    </w:p>
    <w:p w:rsidR="00F2586D" w:rsidRPr="00F2586D" w:rsidRDefault="00F2586D" w:rsidP="00F2586D">
      <w:pPr>
        <w:numPr>
          <w:ilvl w:val="0"/>
          <w:numId w:val="31"/>
        </w:numPr>
        <w:tabs>
          <w:tab w:val="right" w:pos="-5940"/>
        </w:tabs>
        <w:ind w:left="502" w:right="44"/>
        <w:contextualSpacing/>
        <w:jc w:val="both"/>
        <w:rPr>
          <w:rFonts w:ascii="Arial" w:eastAsia="Times" w:hAnsi="Arial" w:cs="Arial"/>
          <w:sz w:val="22"/>
          <w:szCs w:val="22"/>
          <w:lang w:val="es-ES" w:eastAsia="es-ES"/>
        </w:rPr>
      </w:pPr>
      <w:r w:rsidRPr="00F2586D">
        <w:rPr>
          <w:rFonts w:ascii="Arial" w:eastAsia="Times" w:hAnsi="Arial" w:cs="Arial"/>
          <w:sz w:val="22"/>
          <w:szCs w:val="22"/>
          <w:lang w:val="es-ES" w:eastAsia="es-ES"/>
        </w:rPr>
        <w:t>Se ha aplicado el procedimiento de contratación menor con las especificaciones establecidas por la Disposición Adicional Novena del TRLCSP, relativa a las Normas Especiales para la contratación de acceso a Bases de Datos y la suscripción a publicaciones (</w:t>
      </w:r>
      <w:r w:rsidRPr="00F2586D">
        <w:rPr>
          <w:rFonts w:ascii="Arial" w:eastAsia="Times" w:hAnsi="Arial" w:cs="Arial"/>
          <w:b/>
          <w:sz w:val="22"/>
          <w:szCs w:val="22"/>
          <w:lang w:val="es-ES" w:eastAsia="es-ES"/>
        </w:rPr>
        <w:t>CM-BS</w:t>
      </w:r>
      <w:r w:rsidRPr="00F2586D">
        <w:rPr>
          <w:rFonts w:ascii="Arial" w:eastAsia="Times" w:hAnsi="Arial" w:cs="Arial"/>
          <w:sz w:val="22"/>
          <w:szCs w:val="22"/>
          <w:lang w:val="es-ES" w:eastAsia="es-ES"/>
        </w:rPr>
        <w:t>).</w:t>
      </w:r>
    </w:p>
    <w:p w:rsidR="00F2586D" w:rsidRPr="00F2586D" w:rsidRDefault="00F2586D" w:rsidP="00F2586D">
      <w:pPr>
        <w:jc w:val="both"/>
        <w:rPr>
          <w:rFonts w:ascii="Arial" w:eastAsia="Times" w:hAnsi="Arial" w:cs="Arial"/>
          <w:sz w:val="22"/>
          <w:szCs w:val="22"/>
          <w:lang w:val="es-ES" w:eastAsia="es-ES"/>
        </w:rPr>
      </w:pPr>
    </w:p>
    <w:p w:rsidR="00F2586D" w:rsidRPr="00F2586D" w:rsidRDefault="00F2586D" w:rsidP="00F2586D">
      <w:pPr>
        <w:ind w:left="1" w:hanging="1"/>
        <w:jc w:val="both"/>
        <w:rPr>
          <w:rFonts w:ascii="Arial" w:eastAsia="Times" w:hAnsi="Arial" w:cs="Arial"/>
          <w:sz w:val="22"/>
          <w:szCs w:val="22"/>
          <w:u w:val="single"/>
          <w:lang w:val="es-ES" w:eastAsia="es-ES"/>
        </w:rPr>
      </w:pPr>
      <w:r w:rsidRPr="00F2586D">
        <w:rPr>
          <w:rFonts w:ascii="Arial" w:eastAsia="Times" w:hAnsi="Arial" w:cs="Arial"/>
          <w:sz w:val="22"/>
          <w:szCs w:val="22"/>
          <w:u w:val="single"/>
          <w:lang w:val="es-ES" w:eastAsia="es-ES"/>
        </w:rPr>
        <w:lastRenderedPageBreak/>
        <w:t>(</w:t>
      </w:r>
      <w:proofErr w:type="spellStart"/>
      <w:r w:rsidRPr="00F2586D">
        <w:rPr>
          <w:rFonts w:ascii="Arial" w:eastAsia="Times" w:hAnsi="Arial" w:cs="Arial"/>
          <w:sz w:val="22"/>
          <w:szCs w:val="22"/>
          <w:u w:val="single"/>
          <w:lang w:val="es-ES" w:eastAsia="es-ES"/>
        </w:rPr>
        <w:t>ii</w:t>
      </w:r>
      <w:proofErr w:type="spellEnd"/>
      <w:r w:rsidRPr="00F2586D">
        <w:rPr>
          <w:rFonts w:ascii="Arial" w:eastAsia="Times" w:hAnsi="Arial" w:cs="Arial"/>
          <w:sz w:val="22"/>
          <w:szCs w:val="22"/>
          <w:u w:val="single"/>
          <w:lang w:val="es-ES" w:eastAsia="es-ES"/>
        </w:rPr>
        <w:t xml:space="preserve">) Conforme al </w:t>
      </w:r>
      <w:r w:rsidRPr="00F2586D">
        <w:rPr>
          <w:rFonts w:ascii="Arial" w:eastAsia="Times" w:hAnsi="Arial" w:cs="Arial"/>
          <w:b/>
          <w:sz w:val="22"/>
          <w:szCs w:val="22"/>
          <w:u w:val="single"/>
          <w:lang w:val="es-ES" w:eastAsia="es-ES"/>
        </w:rPr>
        <w:t>LCSP</w:t>
      </w:r>
      <w:r w:rsidRPr="00F2586D">
        <w:rPr>
          <w:rFonts w:ascii="Arial" w:eastAsia="Times" w:hAnsi="Arial" w:cs="Arial"/>
          <w:sz w:val="22"/>
          <w:szCs w:val="22"/>
          <w:u w:val="single"/>
          <w:lang w:val="es-ES" w:eastAsia="es-ES"/>
        </w:rPr>
        <w:t xml:space="preserve"> (Ley 9/2017, de 8 de noviembre) tras el 9 de marzo de 2018 teniendo </w:t>
      </w:r>
      <w:r w:rsidRPr="00F2586D">
        <w:rPr>
          <w:rFonts w:ascii="Arial" w:eastAsia="Times" w:hAnsi="Arial" w:cs="Arial"/>
          <w:b/>
          <w:sz w:val="22"/>
          <w:szCs w:val="22"/>
          <w:u w:val="single"/>
          <w:lang w:val="es-ES" w:eastAsia="es-ES"/>
        </w:rPr>
        <w:t>PROMOTUR</w:t>
      </w:r>
      <w:r w:rsidRPr="00F2586D">
        <w:rPr>
          <w:rFonts w:ascii="Arial" w:eastAsia="Times" w:hAnsi="Arial" w:cs="Arial"/>
          <w:sz w:val="22"/>
          <w:szCs w:val="22"/>
          <w:u w:val="single"/>
          <w:lang w:val="es-ES" w:eastAsia="es-ES"/>
        </w:rPr>
        <w:t xml:space="preserve"> la consideración de </w:t>
      </w:r>
      <w:r w:rsidRPr="00F2586D">
        <w:rPr>
          <w:rFonts w:ascii="Arial" w:eastAsia="Times" w:hAnsi="Arial" w:cs="Arial"/>
          <w:b/>
          <w:sz w:val="22"/>
          <w:szCs w:val="22"/>
          <w:u w:val="single"/>
          <w:lang w:val="es-ES" w:eastAsia="es-ES"/>
        </w:rPr>
        <w:t>PANAP</w:t>
      </w:r>
      <w:r w:rsidRPr="00F2586D">
        <w:rPr>
          <w:rFonts w:ascii="Arial" w:eastAsia="Times" w:hAnsi="Arial" w:cs="Arial"/>
          <w:sz w:val="22"/>
          <w:szCs w:val="22"/>
          <w:u w:val="single"/>
          <w:lang w:val="es-ES" w:eastAsia="es-ES"/>
        </w:rPr>
        <w:t xml:space="preserve"> del artículo 3.3.d).</w:t>
      </w:r>
    </w:p>
    <w:p w:rsidR="00F2586D" w:rsidRPr="00F2586D" w:rsidRDefault="00F2586D" w:rsidP="00F2586D">
      <w:pPr>
        <w:jc w:val="both"/>
        <w:rPr>
          <w:rFonts w:ascii="Arial" w:eastAsia="Times" w:hAnsi="Arial" w:cs="Arial"/>
          <w:sz w:val="22"/>
          <w:szCs w:val="22"/>
          <w:lang w:val="es-ES" w:eastAsia="es-ES"/>
        </w:rPr>
      </w:pPr>
    </w:p>
    <w:p w:rsidR="00F2586D" w:rsidRDefault="00F2586D" w:rsidP="00F2586D">
      <w:pPr>
        <w:jc w:val="both"/>
        <w:rPr>
          <w:rFonts w:ascii="Arial" w:eastAsia="Times" w:hAnsi="Arial" w:cs="Arial"/>
          <w:sz w:val="22"/>
          <w:szCs w:val="22"/>
          <w:lang w:val="es-ES" w:eastAsia="es-ES"/>
        </w:rPr>
      </w:pPr>
      <w:r w:rsidRPr="00F2586D">
        <w:rPr>
          <w:rFonts w:ascii="Arial" w:eastAsia="Times New Roman" w:hAnsi="Arial" w:cs="Arial"/>
          <w:sz w:val="22"/>
          <w:szCs w:val="22"/>
          <w:lang w:val="es-ES" w:eastAsia="es-ES_tradnl"/>
        </w:rPr>
        <w:t xml:space="preserve">Dentro de dicho periodo y la normativa antes citada, se relacionan los distintos contratos licitados, adjudicados y/o formalizados por </w:t>
      </w:r>
      <w:r w:rsidRPr="00F2586D">
        <w:rPr>
          <w:rFonts w:ascii="Arial" w:eastAsia="Times New Roman" w:hAnsi="Arial" w:cs="Arial"/>
          <w:b/>
          <w:sz w:val="22"/>
          <w:szCs w:val="22"/>
          <w:lang w:val="es-ES" w:eastAsia="es-ES_tradnl"/>
        </w:rPr>
        <w:t>PROMOTUR TURISMO CANARIAS, S.A.</w:t>
      </w:r>
      <w:r w:rsidRPr="00F2586D">
        <w:rPr>
          <w:rFonts w:ascii="Arial" w:eastAsia="Times New Roman" w:hAnsi="Arial" w:cs="Arial"/>
          <w:sz w:val="22"/>
          <w:szCs w:val="22"/>
          <w:lang w:val="es-ES" w:eastAsia="es-ES_tradnl"/>
        </w:rPr>
        <w:t xml:space="preserve"> desde el </w:t>
      </w:r>
      <w:r w:rsidRPr="00F2586D">
        <w:rPr>
          <w:rFonts w:ascii="Arial" w:eastAsia="Times New Roman" w:hAnsi="Arial" w:cs="Arial"/>
          <w:b/>
          <w:sz w:val="22"/>
          <w:szCs w:val="22"/>
          <w:u w:val="single"/>
          <w:lang w:val="es-ES" w:eastAsia="es-ES_tradnl"/>
        </w:rPr>
        <w:t>9 de marzo de 2018 hasta el 31 de diciembre de 2018</w:t>
      </w:r>
      <w:r w:rsidRPr="00F2586D">
        <w:rPr>
          <w:rFonts w:ascii="Arial" w:eastAsia="Times New Roman" w:hAnsi="Arial" w:cs="Arial"/>
          <w:sz w:val="22"/>
          <w:szCs w:val="22"/>
          <w:lang w:val="es-ES" w:eastAsia="es-ES_tradnl"/>
        </w:rPr>
        <w:t>:</w:t>
      </w:r>
    </w:p>
    <w:p w:rsidR="00F2586D" w:rsidRPr="00F2586D" w:rsidRDefault="00F2586D" w:rsidP="00F2586D">
      <w:pPr>
        <w:jc w:val="both"/>
        <w:rPr>
          <w:rFonts w:ascii="Arial" w:eastAsia="Times New Roman" w:hAnsi="Arial" w:cs="Arial"/>
          <w:sz w:val="22"/>
          <w:szCs w:val="22"/>
          <w:lang w:val="es-ES" w:eastAsia="es-ES_tradnl"/>
        </w:rPr>
      </w:pPr>
    </w:p>
    <w:tbl>
      <w:tblPr>
        <w:tblW w:w="5000" w:type="pct"/>
        <w:tblCellMar>
          <w:left w:w="70" w:type="dxa"/>
          <w:right w:w="70" w:type="dxa"/>
        </w:tblCellMar>
        <w:tblLook w:val="04A0" w:firstRow="1" w:lastRow="0" w:firstColumn="1" w:lastColumn="0" w:noHBand="0" w:noVBand="1"/>
      </w:tblPr>
      <w:tblGrid>
        <w:gridCol w:w="4612"/>
        <w:gridCol w:w="2121"/>
        <w:gridCol w:w="2322"/>
      </w:tblGrid>
      <w:tr w:rsidR="00F2586D" w:rsidRPr="00F2586D" w:rsidTr="00986E07">
        <w:trPr>
          <w:trHeight w:val="576"/>
        </w:trPr>
        <w:tc>
          <w:tcPr>
            <w:tcW w:w="2546" w:type="pct"/>
            <w:tcBorders>
              <w:top w:val="single" w:sz="4" w:space="0" w:color="auto"/>
              <w:left w:val="single" w:sz="4" w:space="0" w:color="auto"/>
              <w:bottom w:val="single" w:sz="4" w:space="0" w:color="auto"/>
              <w:right w:val="nil"/>
            </w:tcBorders>
            <w:shd w:val="clear" w:color="auto" w:fill="B4C6E7" w:themeFill="accent1" w:themeFillTint="66"/>
            <w:vAlign w:val="center"/>
            <w:hideMark/>
          </w:tcPr>
          <w:p w:rsidR="00F2586D" w:rsidRPr="00F2586D" w:rsidRDefault="00F2586D" w:rsidP="00F2586D">
            <w:pPr>
              <w:jc w:val="center"/>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Tipo de contratación</w:t>
            </w:r>
          </w:p>
        </w:tc>
        <w:tc>
          <w:tcPr>
            <w:tcW w:w="117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2586D" w:rsidRPr="00F2586D" w:rsidRDefault="00F2586D" w:rsidP="00F2586D">
            <w:pPr>
              <w:jc w:val="center"/>
              <w:rPr>
                <w:rFonts w:ascii="Calibri" w:eastAsia="Times New Roman" w:hAnsi="Calibri" w:cs="Calibri"/>
                <w:b/>
                <w:bCs/>
                <w:color w:val="000000"/>
                <w:sz w:val="22"/>
                <w:szCs w:val="22"/>
                <w:lang w:val="es-ES" w:eastAsia="es-ES"/>
              </w:rPr>
            </w:pPr>
            <w:proofErr w:type="spellStart"/>
            <w:r w:rsidRPr="00F2586D">
              <w:rPr>
                <w:rFonts w:ascii="Calibri" w:eastAsia="Times New Roman" w:hAnsi="Calibri" w:cs="Calibri"/>
                <w:b/>
                <w:bCs/>
                <w:color w:val="000000"/>
                <w:sz w:val="22"/>
                <w:szCs w:val="22"/>
                <w:lang w:val="es-ES" w:eastAsia="es-ES"/>
              </w:rPr>
              <w:t>Nº</w:t>
            </w:r>
            <w:proofErr w:type="spellEnd"/>
            <w:r w:rsidRPr="00F2586D">
              <w:rPr>
                <w:rFonts w:ascii="Calibri" w:eastAsia="Times New Roman" w:hAnsi="Calibri" w:cs="Calibri"/>
                <w:b/>
                <w:bCs/>
                <w:color w:val="000000"/>
                <w:sz w:val="22"/>
                <w:szCs w:val="22"/>
                <w:lang w:val="es-ES" w:eastAsia="es-ES"/>
              </w:rPr>
              <w:t xml:space="preserve"> </w:t>
            </w:r>
          </w:p>
          <w:p w:rsidR="00F2586D" w:rsidRPr="00F2586D" w:rsidRDefault="00F2586D" w:rsidP="00F2586D">
            <w:pPr>
              <w:jc w:val="center"/>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Contratos</w:t>
            </w:r>
          </w:p>
        </w:tc>
        <w:tc>
          <w:tcPr>
            <w:tcW w:w="1282"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2586D" w:rsidRPr="00F2586D" w:rsidRDefault="00F2586D" w:rsidP="00F2586D">
            <w:pPr>
              <w:jc w:val="center"/>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 xml:space="preserve">Total </w:t>
            </w:r>
          </w:p>
          <w:p w:rsidR="00F2586D" w:rsidRPr="00F2586D" w:rsidRDefault="00F2586D" w:rsidP="00F2586D">
            <w:pPr>
              <w:jc w:val="center"/>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Importe de Adjudicación</w:t>
            </w:r>
          </w:p>
        </w:tc>
      </w:tr>
      <w:tr w:rsidR="00F2586D" w:rsidRPr="00F2586D" w:rsidTr="00986E07">
        <w:trPr>
          <w:trHeight w:val="288"/>
        </w:trPr>
        <w:tc>
          <w:tcPr>
            <w:tcW w:w="2546" w:type="pct"/>
            <w:tcBorders>
              <w:top w:val="single" w:sz="4" w:space="0" w:color="auto"/>
              <w:left w:val="single" w:sz="4" w:space="0" w:color="auto"/>
              <w:bottom w:val="single" w:sz="4" w:space="0" w:color="8EA9DB"/>
              <w:right w:val="single" w:sz="4" w:space="0" w:color="auto"/>
            </w:tcBorders>
            <w:shd w:val="clear" w:color="auto" w:fill="D9E2F3" w:themeFill="accent1" w:themeFillTint="33"/>
            <w:noWrap/>
            <w:vAlign w:val="bottom"/>
            <w:hideMark/>
          </w:tcPr>
          <w:p w:rsidR="00F2586D" w:rsidRPr="00F2586D" w:rsidRDefault="00F2586D" w:rsidP="00F2586D">
            <w:pPr>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LCSP - Contratos Servicios</w:t>
            </w:r>
          </w:p>
        </w:tc>
        <w:tc>
          <w:tcPr>
            <w:tcW w:w="1171" w:type="pct"/>
            <w:tcBorders>
              <w:top w:val="single" w:sz="4" w:space="0" w:color="auto"/>
              <w:left w:val="single" w:sz="4" w:space="0" w:color="auto"/>
              <w:bottom w:val="single" w:sz="4" w:space="0" w:color="8EA9DB"/>
              <w:right w:val="single" w:sz="4" w:space="0" w:color="auto"/>
            </w:tcBorders>
            <w:shd w:val="clear" w:color="auto" w:fill="D9E2F3" w:themeFill="accent1" w:themeFillTint="33"/>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9</w:t>
            </w:r>
          </w:p>
        </w:tc>
        <w:tc>
          <w:tcPr>
            <w:tcW w:w="1282" w:type="pct"/>
            <w:tcBorders>
              <w:top w:val="single" w:sz="4" w:space="0" w:color="auto"/>
              <w:left w:val="single" w:sz="4" w:space="0" w:color="auto"/>
              <w:bottom w:val="single" w:sz="4" w:space="0" w:color="8EA9DB"/>
              <w:right w:val="single" w:sz="4" w:space="0" w:color="auto"/>
            </w:tcBorders>
            <w:shd w:val="clear" w:color="auto" w:fill="D9E2F3" w:themeFill="accent1" w:themeFillTint="33"/>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96.104,01 €</w:t>
            </w:r>
          </w:p>
        </w:tc>
      </w:tr>
      <w:tr w:rsidR="00F2586D" w:rsidRPr="00F2586D" w:rsidTr="00986E07">
        <w:trPr>
          <w:trHeight w:val="288"/>
        </w:trPr>
        <w:tc>
          <w:tcPr>
            <w:tcW w:w="2546" w:type="pct"/>
            <w:tcBorders>
              <w:top w:val="single" w:sz="4" w:space="0" w:color="auto"/>
              <w:left w:val="single" w:sz="4" w:space="0" w:color="auto"/>
              <w:bottom w:val="nil"/>
              <w:right w:val="single" w:sz="4" w:space="0" w:color="auto"/>
            </w:tcBorders>
            <w:shd w:val="clear" w:color="auto" w:fill="auto"/>
            <w:noWrap/>
            <w:vAlign w:val="bottom"/>
            <w:hideMark/>
          </w:tcPr>
          <w:p w:rsidR="00F2586D" w:rsidRPr="00F2586D" w:rsidRDefault="00F2586D" w:rsidP="00F2586D">
            <w:pPr>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CM</w:t>
            </w:r>
          </w:p>
        </w:tc>
        <w:tc>
          <w:tcPr>
            <w:tcW w:w="1171" w:type="pct"/>
            <w:tcBorders>
              <w:top w:val="single" w:sz="4" w:space="0" w:color="auto"/>
              <w:left w:val="nil"/>
              <w:bottom w:val="nil"/>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9</w:t>
            </w:r>
          </w:p>
        </w:tc>
        <w:tc>
          <w:tcPr>
            <w:tcW w:w="1282" w:type="pct"/>
            <w:tcBorders>
              <w:top w:val="single" w:sz="4" w:space="0" w:color="auto"/>
              <w:left w:val="nil"/>
              <w:bottom w:val="nil"/>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96.104,01 €</w:t>
            </w:r>
          </w:p>
        </w:tc>
      </w:tr>
      <w:tr w:rsidR="00F2586D" w:rsidRPr="00F2586D" w:rsidTr="00986E07">
        <w:trPr>
          <w:trHeight w:val="288"/>
        </w:trPr>
        <w:tc>
          <w:tcPr>
            <w:tcW w:w="2546"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F2586D" w:rsidRPr="00F2586D" w:rsidRDefault="00F2586D" w:rsidP="00F2586D">
            <w:pPr>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 xml:space="preserve">Total </w:t>
            </w:r>
          </w:p>
        </w:tc>
        <w:tc>
          <w:tcPr>
            <w:tcW w:w="1171"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9</w:t>
            </w:r>
          </w:p>
        </w:tc>
        <w:tc>
          <w:tcPr>
            <w:tcW w:w="1282"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96.104,01 €</w:t>
            </w:r>
          </w:p>
        </w:tc>
      </w:tr>
    </w:tbl>
    <w:p w:rsidR="00F2586D" w:rsidRPr="00F2586D" w:rsidRDefault="00F2586D" w:rsidP="00F2586D">
      <w:pPr>
        <w:jc w:val="both"/>
        <w:rPr>
          <w:rFonts w:ascii="Arial" w:eastAsia="Times" w:hAnsi="Arial" w:cs="Arial"/>
          <w:sz w:val="22"/>
          <w:szCs w:val="22"/>
          <w:lang w:val="es-ES" w:eastAsia="es-ES"/>
        </w:rPr>
      </w:pPr>
    </w:p>
    <w:tbl>
      <w:tblPr>
        <w:tblW w:w="5000" w:type="pct"/>
        <w:tblCellMar>
          <w:left w:w="70" w:type="dxa"/>
          <w:right w:w="70" w:type="dxa"/>
        </w:tblCellMar>
        <w:tblLook w:val="04A0" w:firstRow="1" w:lastRow="0" w:firstColumn="1" w:lastColumn="0" w:noHBand="0" w:noVBand="1"/>
      </w:tblPr>
      <w:tblGrid>
        <w:gridCol w:w="4680"/>
        <w:gridCol w:w="2019"/>
        <w:gridCol w:w="2356"/>
      </w:tblGrid>
      <w:tr w:rsidR="00F2586D" w:rsidRPr="00F2586D" w:rsidTr="00986E07">
        <w:trPr>
          <w:trHeight w:val="288"/>
        </w:trPr>
        <w:tc>
          <w:tcPr>
            <w:tcW w:w="258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F2586D" w:rsidRPr="00F2586D" w:rsidRDefault="00F2586D" w:rsidP="00F2586D">
            <w:pPr>
              <w:jc w:val="center"/>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Tipo de Contratación</w:t>
            </w:r>
          </w:p>
        </w:tc>
        <w:tc>
          <w:tcPr>
            <w:tcW w:w="111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F2586D" w:rsidRPr="00F2586D" w:rsidRDefault="00F2586D" w:rsidP="00F2586D">
            <w:pPr>
              <w:rPr>
                <w:rFonts w:ascii="Calibri" w:eastAsia="Times New Roman" w:hAnsi="Calibri" w:cs="Calibri"/>
                <w:b/>
                <w:bCs/>
                <w:color w:val="000000"/>
                <w:sz w:val="22"/>
                <w:szCs w:val="22"/>
                <w:lang w:val="es-ES" w:eastAsia="es-ES"/>
              </w:rPr>
            </w:pPr>
            <w:proofErr w:type="spellStart"/>
            <w:r w:rsidRPr="00F2586D">
              <w:rPr>
                <w:rFonts w:ascii="Calibri" w:eastAsia="Times New Roman" w:hAnsi="Calibri" w:cs="Calibri"/>
                <w:b/>
                <w:bCs/>
                <w:color w:val="000000"/>
                <w:sz w:val="22"/>
                <w:szCs w:val="22"/>
                <w:lang w:val="es-ES" w:eastAsia="es-ES"/>
              </w:rPr>
              <w:t>Nº</w:t>
            </w:r>
            <w:proofErr w:type="spellEnd"/>
            <w:r w:rsidRPr="00F2586D">
              <w:rPr>
                <w:rFonts w:ascii="Calibri" w:eastAsia="Times New Roman" w:hAnsi="Calibri" w:cs="Calibri"/>
                <w:b/>
                <w:bCs/>
                <w:color w:val="000000"/>
                <w:sz w:val="22"/>
                <w:szCs w:val="22"/>
                <w:lang w:val="es-ES" w:eastAsia="es-ES"/>
              </w:rPr>
              <w:t xml:space="preserve"> Facturas</w:t>
            </w:r>
          </w:p>
        </w:tc>
        <w:tc>
          <w:tcPr>
            <w:tcW w:w="130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proofErr w:type="gramStart"/>
            <w:r w:rsidRPr="00F2586D">
              <w:rPr>
                <w:rFonts w:ascii="Calibri" w:eastAsia="Times New Roman" w:hAnsi="Calibri" w:cs="Calibri"/>
                <w:b/>
                <w:bCs/>
                <w:color w:val="000000"/>
                <w:sz w:val="22"/>
                <w:szCs w:val="22"/>
                <w:lang w:val="es-ES" w:eastAsia="es-ES"/>
              </w:rPr>
              <w:t>Total</w:t>
            </w:r>
            <w:proofErr w:type="gramEnd"/>
            <w:r w:rsidRPr="00F2586D">
              <w:rPr>
                <w:rFonts w:ascii="Calibri" w:eastAsia="Times New Roman" w:hAnsi="Calibri" w:cs="Calibri"/>
                <w:b/>
                <w:bCs/>
                <w:color w:val="000000"/>
                <w:sz w:val="22"/>
                <w:szCs w:val="22"/>
                <w:lang w:val="es-ES" w:eastAsia="es-ES"/>
              </w:rPr>
              <w:t xml:space="preserve"> Importe</w:t>
            </w:r>
          </w:p>
        </w:tc>
      </w:tr>
      <w:tr w:rsidR="00F2586D" w:rsidRPr="00F2586D" w:rsidTr="00986E07">
        <w:trPr>
          <w:trHeight w:val="288"/>
        </w:trPr>
        <w:tc>
          <w:tcPr>
            <w:tcW w:w="2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86D" w:rsidRPr="00F2586D" w:rsidRDefault="00F2586D" w:rsidP="00F2586D">
            <w:pPr>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LCSP - Anticipo de caja fija</w:t>
            </w:r>
          </w:p>
        </w:tc>
        <w:tc>
          <w:tcPr>
            <w:tcW w:w="11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344</w:t>
            </w:r>
          </w:p>
        </w:tc>
        <w:tc>
          <w:tcPr>
            <w:tcW w:w="13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16.728,91 €</w:t>
            </w:r>
          </w:p>
        </w:tc>
      </w:tr>
      <w:tr w:rsidR="00F2586D" w:rsidRPr="00F2586D" w:rsidTr="00986E07">
        <w:trPr>
          <w:trHeight w:val="288"/>
        </w:trPr>
        <w:tc>
          <w:tcPr>
            <w:tcW w:w="2584" w:type="pct"/>
            <w:tcBorders>
              <w:top w:val="nil"/>
              <w:left w:val="single" w:sz="4" w:space="0" w:color="auto"/>
              <w:bottom w:val="single" w:sz="4" w:space="0" w:color="auto"/>
              <w:right w:val="single" w:sz="4" w:space="0" w:color="auto"/>
            </w:tcBorders>
            <w:shd w:val="clear" w:color="auto" w:fill="auto"/>
            <w:noWrap/>
            <w:vAlign w:val="bottom"/>
            <w:hideMark/>
          </w:tcPr>
          <w:p w:rsidR="00F2586D" w:rsidRPr="00F2586D" w:rsidRDefault="00F2586D" w:rsidP="00F2586D">
            <w:pPr>
              <w:ind w:firstLineChars="100" w:firstLine="220"/>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 xml:space="preserve"> -</w:t>
            </w:r>
          </w:p>
        </w:tc>
        <w:tc>
          <w:tcPr>
            <w:tcW w:w="1115"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344</w:t>
            </w:r>
          </w:p>
        </w:tc>
        <w:tc>
          <w:tcPr>
            <w:tcW w:w="1301" w:type="pct"/>
            <w:tcBorders>
              <w:top w:val="nil"/>
              <w:left w:val="nil"/>
              <w:bottom w:val="single" w:sz="4" w:space="0" w:color="auto"/>
              <w:right w:val="single" w:sz="4" w:space="0" w:color="auto"/>
            </w:tcBorders>
            <w:shd w:val="clear" w:color="auto" w:fill="auto"/>
            <w:noWrap/>
            <w:vAlign w:val="bottom"/>
            <w:hideMark/>
          </w:tcPr>
          <w:p w:rsidR="00F2586D" w:rsidRPr="00F2586D" w:rsidRDefault="00F2586D" w:rsidP="00F2586D">
            <w:pPr>
              <w:jc w:val="right"/>
              <w:rPr>
                <w:rFonts w:ascii="Calibri" w:eastAsia="Times New Roman" w:hAnsi="Calibri" w:cs="Calibri"/>
                <w:color w:val="000000"/>
                <w:sz w:val="22"/>
                <w:szCs w:val="22"/>
                <w:lang w:val="es-ES" w:eastAsia="es-ES"/>
              </w:rPr>
            </w:pPr>
            <w:r w:rsidRPr="00F2586D">
              <w:rPr>
                <w:rFonts w:ascii="Calibri" w:eastAsia="Times New Roman" w:hAnsi="Calibri" w:cs="Calibri"/>
                <w:color w:val="000000"/>
                <w:sz w:val="22"/>
                <w:szCs w:val="22"/>
                <w:lang w:val="es-ES" w:eastAsia="es-ES"/>
              </w:rPr>
              <w:t>16.728,91 €</w:t>
            </w:r>
          </w:p>
        </w:tc>
      </w:tr>
      <w:tr w:rsidR="00F2586D" w:rsidRPr="00F2586D" w:rsidTr="00986E07">
        <w:trPr>
          <w:trHeight w:val="288"/>
        </w:trPr>
        <w:tc>
          <w:tcPr>
            <w:tcW w:w="2584"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F2586D" w:rsidRPr="00F2586D" w:rsidRDefault="00F2586D" w:rsidP="00F2586D">
            <w:pPr>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Total</w:t>
            </w:r>
          </w:p>
        </w:tc>
        <w:tc>
          <w:tcPr>
            <w:tcW w:w="111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344</w:t>
            </w:r>
          </w:p>
        </w:tc>
        <w:tc>
          <w:tcPr>
            <w:tcW w:w="1301"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F2586D" w:rsidRPr="00F2586D" w:rsidRDefault="00F2586D" w:rsidP="00F2586D">
            <w:pPr>
              <w:jc w:val="right"/>
              <w:rPr>
                <w:rFonts w:ascii="Calibri" w:eastAsia="Times New Roman" w:hAnsi="Calibri" w:cs="Calibri"/>
                <w:b/>
                <w:bCs/>
                <w:color w:val="000000"/>
                <w:sz w:val="22"/>
                <w:szCs w:val="22"/>
                <w:lang w:val="es-ES" w:eastAsia="es-ES"/>
              </w:rPr>
            </w:pPr>
            <w:r w:rsidRPr="00F2586D">
              <w:rPr>
                <w:rFonts w:ascii="Calibri" w:eastAsia="Times New Roman" w:hAnsi="Calibri" w:cs="Calibri"/>
                <w:b/>
                <w:bCs/>
                <w:color w:val="000000"/>
                <w:sz w:val="22"/>
                <w:szCs w:val="22"/>
                <w:lang w:val="es-ES" w:eastAsia="es-ES"/>
              </w:rPr>
              <w:t>16.728,91 €</w:t>
            </w:r>
          </w:p>
        </w:tc>
      </w:tr>
    </w:tbl>
    <w:p w:rsidR="00F2586D" w:rsidRPr="00F2586D" w:rsidRDefault="00F2586D" w:rsidP="00F2586D">
      <w:pPr>
        <w:jc w:val="both"/>
        <w:rPr>
          <w:rFonts w:ascii="Arial" w:eastAsia="Times" w:hAnsi="Arial" w:cs="Arial"/>
          <w:sz w:val="22"/>
          <w:szCs w:val="22"/>
          <w:lang w:val="es-ES" w:eastAsia="es-ES"/>
        </w:rPr>
      </w:pPr>
    </w:p>
    <w:p w:rsidR="00F2586D" w:rsidRPr="00F2586D" w:rsidRDefault="00F2586D" w:rsidP="00F2586D">
      <w:pPr>
        <w:jc w:val="both"/>
        <w:rPr>
          <w:rFonts w:ascii="Arial" w:eastAsia="Times" w:hAnsi="Arial" w:cs="Arial"/>
          <w:sz w:val="22"/>
          <w:szCs w:val="22"/>
          <w:lang w:val="es-ES" w:eastAsia="es-ES"/>
        </w:rPr>
      </w:pPr>
      <w:r w:rsidRPr="00F2586D">
        <w:rPr>
          <w:rFonts w:ascii="Arial" w:eastAsia="Times" w:hAnsi="Arial" w:cs="Arial"/>
          <w:sz w:val="22"/>
          <w:szCs w:val="22"/>
          <w:lang w:val="es-ES" w:eastAsia="es-ES"/>
        </w:rPr>
        <w:t>En dichas contrataciones se han seguido los siguientes procedimientos:</w:t>
      </w:r>
    </w:p>
    <w:p w:rsidR="00F2586D" w:rsidRPr="00F2586D" w:rsidRDefault="00F2586D" w:rsidP="00F2586D">
      <w:pPr>
        <w:contextualSpacing/>
        <w:jc w:val="both"/>
        <w:rPr>
          <w:rFonts w:ascii="Arial" w:eastAsia="Times" w:hAnsi="Arial" w:cs="Arial"/>
          <w:sz w:val="22"/>
          <w:szCs w:val="22"/>
          <w:lang w:val="es-ES" w:eastAsia="es-ES"/>
        </w:rPr>
      </w:pPr>
    </w:p>
    <w:p w:rsidR="00F2586D" w:rsidRPr="00F2586D" w:rsidRDefault="00F2586D" w:rsidP="00F2586D">
      <w:pPr>
        <w:numPr>
          <w:ilvl w:val="0"/>
          <w:numId w:val="31"/>
        </w:numPr>
        <w:tabs>
          <w:tab w:val="right" w:pos="-5940"/>
        </w:tabs>
        <w:ind w:left="502" w:right="44"/>
        <w:contextualSpacing/>
        <w:jc w:val="both"/>
        <w:rPr>
          <w:rFonts w:ascii="Arial" w:eastAsia="Times" w:hAnsi="Arial" w:cs="Arial"/>
          <w:sz w:val="22"/>
          <w:szCs w:val="22"/>
          <w:lang w:val="es-ES" w:eastAsia="es-ES"/>
        </w:rPr>
      </w:pPr>
      <w:r w:rsidRPr="00F2586D">
        <w:rPr>
          <w:rFonts w:ascii="Arial" w:eastAsia="Times" w:hAnsi="Arial" w:cs="Arial"/>
          <w:sz w:val="22"/>
          <w:szCs w:val="22"/>
          <w:lang w:val="es-ES" w:eastAsia="es-ES"/>
        </w:rPr>
        <w:t xml:space="preserve">Se ha aplicado el procedimiento de </w:t>
      </w:r>
      <w:r w:rsidRPr="00F2586D">
        <w:rPr>
          <w:rFonts w:ascii="Arial" w:eastAsia="Times" w:hAnsi="Arial" w:cs="Arial"/>
          <w:sz w:val="22"/>
          <w:szCs w:val="22"/>
          <w:u w:val="single"/>
          <w:lang w:val="es-ES" w:eastAsia="es-ES"/>
        </w:rPr>
        <w:t>contratación menor (</w:t>
      </w:r>
      <w:r w:rsidRPr="00F2586D">
        <w:rPr>
          <w:rFonts w:ascii="Arial" w:eastAsia="Times New Roman" w:hAnsi="Arial" w:cs="Arial"/>
          <w:b/>
          <w:sz w:val="22"/>
          <w:szCs w:val="22"/>
          <w:u w:val="single"/>
          <w:lang w:val="es-ES" w:eastAsia="es-ES"/>
        </w:rPr>
        <w:t>CM</w:t>
      </w:r>
      <w:r w:rsidRPr="00F2586D">
        <w:rPr>
          <w:rFonts w:ascii="Arial" w:eastAsia="Times" w:hAnsi="Arial" w:cs="Arial"/>
          <w:sz w:val="22"/>
          <w:szCs w:val="22"/>
          <w:u w:val="single"/>
          <w:lang w:val="es-ES" w:eastAsia="es-ES"/>
        </w:rPr>
        <w:t>)</w:t>
      </w:r>
      <w:r w:rsidRPr="00F2586D">
        <w:rPr>
          <w:rFonts w:ascii="Arial" w:eastAsia="Times" w:hAnsi="Arial" w:cs="Arial"/>
          <w:sz w:val="22"/>
          <w:szCs w:val="22"/>
          <w:lang w:val="es-ES" w:eastAsia="es-ES"/>
        </w:rPr>
        <w:t xml:space="preserve"> en aquellos casos en los que el importe de los contratos no supere los 14.999€ según lo previsto en el artículo 118, 63, 335 y 346 LCSP.</w:t>
      </w:r>
    </w:p>
    <w:p w:rsidR="00F2586D" w:rsidRPr="00F2586D" w:rsidRDefault="00F2586D" w:rsidP="00F2586D">
      <w:pPr>
        <w:tabs>
          <w:tab w:val="right" w:pos="-5940"/>
        </w:tabs>
        <w:ind w:left="502" w:right="44"/>
        <w:contextualSpacing/>
        <w:jc w:val="both"/>
        <w:rPr>
          <w:rFonts w:ascii="Arial" w:eastAsia="Times" w:hAnsi="Arial" w:cs="Arial"/>
          <w:sz w:val="22"/>
          <w:szCs w:val="22"/>
          <w:lang w:val="es-ES" w:eastAsia="es-ES"/>
        </w:rPr>
      </w:pPr>
    </w:p>
    <w:p w:rsidR="00F2586D" w:rsidRPr="00F2586D" w:rsidRDefault="00F2586D" w:rsidP="00F2586D">
      <w:pPr>
        <w:numPr>
          <w:ilvl w:val="0"/>
          <w:numId w:val="31"/>
        </w:numPr>
        <w:tabs>
          <w:tab w:val="right" w:pos="-5940"/>
        </w:tabs>
        <w:ind w:left="502" w:right="44"/>
        <w:contextualSpacing/>
        <w:jc w:val="both"/>
        <w:rPr>
          <w:rFonts w:ascii="Arial" w:eastAsia="Times" w:hAnsi="Arial" w:cs="Arial"/>
          <w:sz w:val="22"/>
          <w:szCs w:val="22"/>
          <w:lang w:val="es-ES" w:eastAsia="es-ES"/>
        </w:rPr>
      </w:pPr>
      <w:r w:rsidRPr="00F2586D">
        <w:rPr>
          <w:rFonts w:ascii="Arial" w:eastAsia="Times" w:hAnsi="Arial" w:cs="Arial"/>
          <w:sz w:val="22"/>
          <w:szCs w:val="22"/>
          <w:lang w:val="es-ES" w:eastAsia="es-ES"/>
        </w:rPr>
        <w:t xml:space="preserve">Se ha aplicado el procedimiento de Anticipo de Caja Fija, cuando el contrato tiene valor estimado inferior a 5.000€ y el sistema de pago utilizado por </w:t>
      </w:r>
      <w:r w:rsidRPr="00F2586D">
        <w:rPr>
          <w:rFonts w:ascii="Arial" w:eastAsia="Times" w:hAnsi="Arial" w:cs="Arial"/>
          <w:b/>
          <w:sz w:val="22"/>
          <w:szCs w:val="22"/>
          <w:lang w:val="es-ES" w:eastAsia="es-ES"/>
        </w:rPr>
        <w:t>PROMOTUR</w:t>
      </w:r>
      <w:r w:rsidRPr="00F2586D">
        <w:rPr>
          <w:rFonts w:ascii="Arial" w:eastAsia="Times" w:hAnsi="Arial" w:cs="Arial"/>
          <w:sz w:val="22"/>
          <w:szCs w:val="22"/>
          <w:lang w:val="es-ES" w:eastAsia="es-ES"/>
        </w:rPr>
        <w:t xml:space="preserve"> es el de anticipo de caja fija para realizar pagos menores aprobado por el Consejo de Administración de la entidad el 28 de marzo de 2018.</w:t>
      </w:r>
    </w:p>
    <w:p w:rsidR="009C5400" w:rsidRPr="00F2586D" w:rsidRDefault="009C5400" w:rsidP="009C5400">
      <w:pPr>
        <w:tabs>
          <w:tab w:val="right" w:pos="-5940"/>
        </w:tabs>
        <w:ind w:right="44"/>
        <w:jc w:val="both"/>
        <w:rPr>
          <w:rFonts w:ascii="Times" w:eastAsia="Times" w:hAnsi="Times" w:cs="Times New Roman"/>
          <w:sz w:val="28"/>
          <w:szCs w:val="28"/>
          <w:lang w:val="es-ES" w:eastAsia="es-ES"/>
        </w:rPr>
      </w:pPr>
    </w:p>
    <w:p w:rsidR="009C5400" w:rsidRPr="009C5400" w:rsidRDefault="009C5400" w:rsidP="002419A9">
      <w:pPr>
        <w:rPr>
          <w:rFonts w:ascii="Times" w:eastAsia="Times" w:hAnsi="Times" w:cs="Times New Roman"/>
          <w:sz w:val="28"/>
          <w:szCs w:val="28"/>
          <w:lang w:val="es-ES" w:eastAsia="es-ES"/>
        </w:rPr>
      </w:pPr>
    </w:p>
    <w:p w:rsidR="002419A9" w:rsidRPr="002419A9" w:rsidRDefault="002419A9" w:rsidP="002419A9">
      <w:pPr>
        <w:tabs>
          <w:tab w:val="right" w:pos="-5940"/>
        </w:tabs>
        <w:ind w:right="44"/>
        <w:rPr>
          <w:rFonts w:ascii="Times" w:eastAsia="Times" w:hAnsi="Times" w:cs="Times New Roman"/>
          <w:b/>
          <w:sz w:val="28"/>
          <w:szCs w:val="28"/>
          <w:lang w:eastAsia="es-ES"/>
        </w:rPr>
      </w:pPr>
      <w:r w:rsidRPr="002419A9">
        <w:rPr>
          <w:rFonts w:ascii="Times" w:eastAsia="Times" w:hAnsi="Times" w:cs="Times New Roman"/>
          <w:b/>
          <w:sz w:val="28"/>
          <w:szCs w:val="28"/>
          <w:lang w:eastAsia="es-ES"/>
        </w:rPr>
        <w:t>D) Información sobre garantías recibidas</w:t>
      </w:r>
      <w:r w:rsidRPr="002419A9">
        <w:rPr>
          <w:rFonts w:ascii="Times" w:eastAsia="Times" w:hAnsi="Times" w:cs="Times New Roman"/>
          <w:b/>
          <w:sz w:val="28"/>
          <w:szCs w:val="28"/>
          <w:lang w:eastAsia="es-ES"/>
        </w:rPr>
        <w:tab/>
        <w:t xml:space="preserve"> (Anexo IV)</w:t>
      </w:r>
    </w:p>
    <w:p w:rsidR="002419A9" w:rsidRPr="002419A9" w:rsidRDefault="002419A9" w:rsidP="002419A9">
      <w:pPr>
        <w:tabs>
          <w:tab w:val="right" w:pos="-5940"/>
        </w:tabs>
        <w:ind w:right="44"/>
        <w:rPr>
          <w:rFonts w:ascii="Times" w:eastAsia="Times" w:hAnsi="Times" w:cs="Times New Roman"/>
          <w:sz w:val="28"/>
          <w:szCs w:val="28"/>
          <w:lang w:eastAsia="es-ES"/>
        </w:rPr>
      </w:pPr>
    </w:p>
    <w:p w:rsidR="002419A9" w:rsidRPr="002419A9" w:rsidRDefault="002419A9" w:rsidP="002419A9">
      <w:pPr>
        <w:tabs>
          <w:tab w:val="right" w:pos="-5940"/>
        </w:tabs>
        <w:ind w:right="44"/>
        <w:rPr>
          <w:rFonts w:ascii="Times" w:eastAsia="Times" w:hAnsi="Times" w:cs="Times New Roman"/>
          <w:sz w:val="28"/>
          <w:szCs w:val="28"/>
          <w:lang w:eastAsia="es-ES"/>
        </w:rPr>
      </w:pPr>
      <w:r w:rsidRPr="002419A9">
        <w:rPr>
          <w:rFonts w:ascii="Times" w:eastAsia="Times" w:hAnsi="Times" w:cs="Times New Roman"/>
          <w:sz w:val="28"/>
          <w:szCs w:val="28"/>
          <w:lang w:eastAsia="es-ES"/>
        </w:rPr>
        <w:t>Esta información viene reflejada en el Anexo IV.</w:t>
      </w:r>
    </w:p>
    <w:p w:rsidR="002419A9" w:rsidRPr="002419A9" w:rsidRDefault="002419A9" w:rsidP="002419A9">
      <w:pPr>
        <w:tabs>
          <w:tab w:val="right" w:pos="-5940"/>
        </w:tabs>
        <w:ind w:right="44"/>
        <w:rPr>
          <w:rFonts w:ascii="Times" w:eastAsia="Times" w:hAnsi="Times" w:cs="Times New Roman"/>
          <w:sz w:val="28"/>
          <w:szCs w:val="28"/>
          <w:lang w:eastAsia="es-ES"/>
        </w:rPr>
      </w:pPr>
    </w:p>
    <w:p w:rsidR="002419A9" w:rsidRPr="002419A9" w:rsidRDefault="002419A9" w:rsidP="002419A9">
      <w:pPr>
        <w:tabs>
          <w:tab w:val="right" w:pos="-5940"/>
        </w:tabs>
        <w:ind w:right="44"/>
        <w:rPr>
          <w:rFonts w:ascii="Times" w:eastAsia="Times" w:hAnsi="Times" w:cs="Times New Roman"/>
          <w:sz w:val="28"/>
          <w:szCs w:val="28"/>
          <w:lang w:eastAsia="es-ES"/>
        </w:rPr>
      </w:pPr>
    </w:p>
    <w:p w:rsidR="002419A9" w:rsidRPr="002419A9" w:rsidRDefault="002419A9" w:rsidP="002419A9">
      <w:pPr>
        <w:tabs>
          <w:tab w:val="right" w:pos="-5940"/>
        </w:tabs>
        <w:ind w:right="44"/>
        <w:rPr>
          <w:rFonts w:ascii="Times" w:eastAsia="Times" w:hAnsi="Times" w:cs="Times New Roman"/>
          <w:b/>
          <w:sz w:val="28"/>
          <w:szCs w:val="28"/>
          <w:lang w:eastAsia="es-ES"/>
        </w:rPr>
      </w:pPr>
      <w:r w:rsidRPr="002419A9">
        <w:rPr>
          <w:rFonts w:ascii="Times" w:eastAsia="Times" w:hAnsi="Times" w:cs="Times New Roman"/>
          <w:b/>
          <w:sz w:val="28"/>
          <w:szCs w:val="28"/>
          <w:lang w:eastAsia="es-ES"/>
        </w:rPr>
        <w:t>E) Información sobre personal (Anexo V)</w:t>
      </w:r>
    </w:p>
    <w:p w:rsidR="002419A9" w:rsidRDefault="002419A9" w:rsidP="002419A9">
      <w:pPr>
        <w:tabs>
          <w:tab w:val="right" w:pos="-5940"/>
        </w:tabs>
        <w:ind w:right="44"/>
        <w:jc w:val="both"/>
        <w:rPr>
          <w:rFonts w:ascii="Times" w:eastAsia="Times" w:hAnsi="Times" w:cs="Times New Roman"/>
          <w:sz w:val="28"/>
          <w:szCs w:val="28"/>
          <w:lang w:eastAsia="es-ES"/>
        </w:rPr>
      </w:pPr>
    </w:p>
    <w:p w:rsidR="00C07D6C" w:rsidRPr="00C07D6C" w:rsidRDefault="00C07D6C" w:rsidP="00C07D6C">
      <w:pPr>
        <w:tabs>
          <w:tab w:val="right" w:pos="-5940"/>
        </w:tabs>
        <w:ind w:right="44"/>
        <w:jc w:val="both"/>
        <w:rPr>
          <w:rFonts w:ascii="Times New Roman" w:eastAsia="Times New Roman" w:hAnsi="Times New Roman" w:cs="Times New Roman"/>
          <w:sz w:val="28"/>
          <w:szCs w:val="28"/>
          <w:highlight w:val="yellow"/>
          <w:lang w:eastAsia="es-ES_tradnl"/>
        </w:rPr>
      </w:pPr>
      <w:r w:rsidRPr="00C07D6C">
        <w:rPr>
          <w:rFonts w:ascii="Times New Roman" w:eastAsia="Times New Roman" w:hAnsi="Times New Roman" w:cs="Times New Roman"/>
          <w:sz w:val="28"/>
          <w:szCs w:val="28"/>
          <w:lang w:eastAsia="es-ES_tradnl"/>
        </w:rPr>
        <w:t>A 31 de diciembre de 2018, la plantilla de la empresa era de 44 personas, el mismo número previsto en el PAIF.</w:t>
      </w:r>
    </w:p>
    <w:p w:rsidR="00C07D6C" w:rsidRPr="00C07D6C" w:rsidRDefault="00C07D6C" w:rsidP="00C07D6C">
      <w:pPr>
        <w:tabs>
          <w:tab w:val="right" w:pos="-5940"/>
        </w:tabs>
        <w:ind w:right="44"/>
        <w:jc w:val="both"/>
        <w:rPr>
          <w:rFonts w:ascii="Times New Roman" w:eastAsia="Times New Roman" w:hAnsi="Times New Roman" w:cs="Times New Roman"/>
          <w:sz w:val="28"/>
          <w:szCs w:val="28"/>
          <w:lang w:eastAsia="es-ES_tradnl"/>
        </w:rPr>
      </w:pPr>
    </w:p>
    <w:p w:rsidR="00C07D6C" w:rsidRPr="00C07D6C" w:rsidRDefault="00C07D6C" w:rsidP="00C07D6C">
      <w:pPr>
        <w:tabs>
          <w:tab w:val="right" w:pos="-5940"/>
        </w:tabs>
        <w:ind w:right="44"/>
        <w:jc w:val="both"/>
        <w:rPr>
          <w:rFonts w:ascii="Times New Roman" w:eastAsia="Times New Roman" w:hAnsi="Times New Roman" w:cs="Times New Roman"/>
          <w:sz w:val="28"/>
          <w:szCs w:val="28"/>
          <w:lang w:eastAsia="es-ES_tradnl"/>
        </w:rPr>
      </w:pPr>
      <w:r w:rsidRPr="00C07D6C">
        <w:rPr>
          <w:rFonts w:ascii="Times New Roman" w:eastAsia="Times New Roman" w:hAnsi="Times New Roman" w:cs="Times New Roman"/>
          <w:sz w:val="28"/>
          <w:szCs w:val="28"/>
          <w:lang w:eastAsia="es-ES_tradnl"/>
        </w:rPr>
        <w:t xml:space="preserve">El Gasto de Personal es inferior al previsto en el PAIF debido básicamente al menor coste de salario y seguridad social por un trabajador en situación de </w:t>
      </w:r>
      <w:r w:rsidRPr="00C07D6C">
        <w:rPr>
          <w:rFonts w:ascii="Times New Roman" w:eastAsia="Times New Roman" w:hAnsi="Times New Roman" w:cs="Times New Roman"/>
          <w:sz w:val="28"/>
          <w:szCs w:val="28"/>
          <w:lang w:eastAsia="es-ES_tradnl"/>
        </w:rPr>
        <w:lastRenderedPageBreak/>
        <w:t>excedencia hasta que se cubrió su plaza y por algunas bajas temporales por IT durante el año.</w:t>
      </w:r>
    </w:p>
    <w:p w:rsidR="002419A9" w:rsidRPr="002419A9" w:rsidRDefault="002419A9" w:rsidP="002419A9">
      <w:pPr>
        <w:tabs>
          <w:tab w:val="right" w:pos="-5940"/>
        </w:tabs>
        <w:ind w:right="44"/>
        <w:jc w:val="both"/>
        <w:rPr>
          <w:rFonts w:ascii="Times New Roman" w:eastAsia="Times New Roman" w:hAnsi="Times New Roman" w:cs="Times New Roman"/>
          <w:sz w:val="28"/>
          <w:szCs w:val="28"/>
          <w:highlight w:val="yellow"/>
          <w:lang w:eastAsia="es-ES_tradnl"/>
        </w:rPr>
      </w:pPr>
    </w:p>
    <w:p w:rsidR="002419A9" w:rsidRPr="002419A9" w:rsidRDefault="002419A9" w:rsidP="002419A9">
      <w:pPr>
        <w:tabs>
          <w:tab w:val="right" w:pos="-5940"/>
        </w:tabs>
        <w:ind w:right="44"/>
        <w:jc w:val="both"/>
        <w:rPr>
          <w:rFonts w:ascii="Times New Roman" w:eastAsia="Times New Roman" w:hAnsi="Times New Roman" w:cs="Times New Roman"/>
          <w:sz w:val="28"/>
          <w:szCs w:val="28"/>
          <w:lang w:val="es-ES" w:eastAsia="es-ES_tradnl"/>
        </w:rPr>
      </w:pPr>
      <w:r w:rsidRPr="002419A9">
        <w:rPr>
          <w:rFonts w:ascii="Times New Roman" w:eastAsia="Times New Roman" w:hAnsi="Times New Roman" w:cs="Times New Roman"/>
          <w:sz w:val="28"/>
          <w:szCs w:val="28"/>
          <w:lang w:val="es-ES" w:eastAsia="es-ES_tradnl"/>
        </w:rPr>
        <w:t>Como resultado de lo anterior, los Gastos de Personal fueron inferiores a los previstos.</w:t>
      </w:r>
    </w:p>
    <w:p w:rsidR="002419A9" w:rsidRDefault="002419A9" w:rsidP="002419A9">
      <w:pPr>
        <w:tabs>
          <w:tab w:val="right" w:pos="-5940"/>
        </w:tabs>
        <w:ind w:right="44"/>
        <w:jc w:val="both"/>
        <w:rPr>
          <w:rFonts w:ascii="Times" w:eastAsia="Times" w:hAnsi="Times" w:cs="Times New Roman"/>
          <w:sz w:val="28"/>
          <w:szCs w:val="28"/>
          <w:lang w:val="es-ES" w:eastAsia="es-ES"/>
        </w:rPr>
      </w:pPr>
    </w:p>
    <w:p w:rsidR="00C07D6C" w:rsidRPr="00C07D6C" w:rsidRDefault="00C07D6C" w:rsidP="002419A9">
      <w:pPr>
        <w:tabs>
          <w:tab w:val="right" w:pos="-5940"/>
        </w:tabs>
        <w:ind w:right="44"/>
        <w:jc w:val="both"/>
        <w:rPr>
          <w:rFonts w:ascii="Times" w:eastAsia="Times" w:hAnsi="Times" w:cs="Times New Roman"/>
          <w:sz w:val="28"/>
          <w:szCs w:val="28"/>
          <w:lang w:val="es-ES" w:eastAsia="es-ES"/>
        </w:rPr>
      </w:pPr>
    </w:p>
    <w:p w:rsidR="002419A9" w:rsidRPr="002419A9" w:rsidRDefault="002419A9" w:rsidP="002419A9">
      <w:pPr>
        <w:tabs>
          <w:tab w:val="right" w:pos="-5940"/>
        </w:tabs>
        <w:ind w:right="44"/>
        <w:jc w:val="both"/>
        <w:rPr>
          <w:rFonts w:ascii="Times" w:eastAsia="Times" w:hAnsi="Times" w:cs="Times New Roman"/>
          <w:b/>
          <w:sz w:val="28"/>
          <w:szCs w:val="28"/>
          <w:lang w:eastAsia="es-ES"/>
        </w:rPr>
      </w:pPr>
      <w:r w:rsidRPr="002419A9">
        <w:rPr>
          <w:rFonts w:ascii="Times" w:eastAsia="Times" w:hAnsi="Times" w:cs="Times New Roman"/>
          <w:b/>
          <w:sz w:val="28"/>
          <w:szCs w:val="28"/>
          <w:lang w:eastAsia="es-ES"/>
        </w:rPr>
        <w:t>F) Información sobre los ingresos por ventas y/o prestación de servicios de la entidad (Anexo VI)</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autoSpaceDE w:val="0"/>
        <w:autoSpaceDN w:val="0"/>
        <w:adjustRightInd w:val="0"/>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La cifra de negocios de la empresa se compone de Prestaciones de Servicio a la Comunidad Autónoma, por dos encomiendas de la Consejería de Turismo, Cultura y Deportes. Una es para “El</w:t>
      </w:r>
      <w:r w:rsidR="00C07D6C">
        <w:rPr>
          <w:rFonts w:ascii="Times" w:eastAsia="Times" w:hAnsi="Times" w:cs="Times New Roman"/>
          <w:sz w:val="28"/>
          <w:szCs w:val="28"/>
          <w:lang w:eastAsia="es-ES"/>
        </w:rPr>
        <w:t xml:space="preserve"> proyecto de información tecnológica </w:t>
      </w:r>
      <w:proofErr w:type="spellStart"/>
      <w:r w:rsidR="00C07D6C">
        <w:rPr>
          <w:rFonts w:ascii="Times" w:eastAsia="Times" w:hAnsi="Times" w:cs="Times New Roman"/>
          <w:sz w:val="28"/>
          <w:szCs w:val="28"/>
          <w:lang w:eastAsia="es-ES"/>
        </w:rPr>
        <w:t>management</w:t>
      </w:r>
      <w:proofErr w:type="spellEnd"/>
      <w:r w:rsidR="00C07D6C">
        <w:rPr>
          <w:rFonts w:ascii="Times" w:eastAsia="Times" w:hAnsi="Times" w:cs="Times New Roman"/>
          <w:sz w:val="28"/>
          <w:szCs w:val="28"/>
          <w:lang w:eastAsia="es-ES"/>
        </w:rPr>
        <w:t xml:space="preserve"> office (ITMO) del destino turístico de las Islas Canarias, que dirigirá y gestionará los proyectos para la tecnología de la información en la ejecución de la estrategia promocional </w:t>
      </w:r>
      <w:proofErr w:type="spellStart"/>
      <w:r w:rsidR="00C07D6C">
        <w:rPr>
          <w:rFonts w:ascii="Times" w:eastAsia="Times" w:hAnsi="Times" w:cs="Times New Roman"/>
          <w:sz w:val="28"/>
          <w:szCs w:val="28"/>
          <w:lang w:eastAsia="es-ES"/>
        </w:rPr>
        <w:t>on</w:t>
      </w:r>
      <w:proofErr w:type="spellEnd"/>
      <w:r w:rsidR="00C07D6C">
        <w:rPr>
          <w:rFonts w:ascii="Times" w:eastAsia="Times" w:hAnsi="Times" w:cs="Times New Roman"/>
          <w:sz w:val="28"/>
          <w:szCs w:val="28"/>
          <w:lang w:eastAsia="es-ES"/>
        </w:rPr>
        <w:t xml:space="preserve"> line del destino Islas Canarias</w:t>
      </w:r>
      <w:r w:rsidRPr="002419A9">
        <w:rPr>
          <w:rFonts w:ascii="Times" w:eastAsia="Times" w:hAnsi="Times" w:cs="Times New Roman"/>
          <w:sz w:val="28"/>
          <w:szCs w:val="28"/>
          <w:lang w:eastAsia="es-ES"/>
        </w:rPr>
        <w:t xml:space="preserve">” por importe de 40.434 euros y otra es para “El servicio consistente en la fase de inicio y puesta en marcha de un sistema de información turística sobre los diferentes perfiles de turistas que visitan las Islas Canarias” por importe de </w:t>
      </w:r>
      <w:r w:rsidR="00C07D6C">
        <w:rPr>
          <w:rFonts w:ascii="Times" w:eastAsia="Times" w:hAnsi="Times" w:cs="Times New Roman"/>
          <w:sz w:val="28"/>
          <w:szCs w:val="28"/>
          <w:lang w:eastAsia="es-ES"/>
        </w:rPr>
        <w:t>50</w:t>
      </w:r>
      <w:r w:rsidRPr="002419A9">
        <w:rPr>
          <w:rFonts w:ascii="Times" w:eastAsia="Times" w:hAnsi="Times" w:cs="Times New Roman"/>
          <w:sz w:val="28"/>
          <w:szCs w:val="28"/>
          <w:lang w:eastAsia="es-ES"/>
        </w:rPr>
        <w:t>.</w:t>
      </w:r>
      <w:r w:rsidR="00C07D6C">
        <w:rPr>
          <w:rFonts w:ascii="Times" w:eastAsia="Times" w:hAnsi="Times" w:cs="Times New Roman"/>
          <w:sz w:val="28"/>
          <w:szCs w:val="28"/>
          <w:lang w:eastAsia="es-ES"/>
        </w:rPr>
        <w:t>0</w:t>
      </w:r>
      <w:r w:rsidRPr="002419A9">
        <w:rPr>
          <w:rFonts w:ascii="Times" w:eastAsia="Times" w:hAnsi="Times" w:cs="Times New Roman"/>
          <w:sz w:val="28"/>
          <w:szCs w:val="28"/>
          <w:lang w:eastAsia="es-ES"/>
        </w:rPr>
        <w:t>00 euros.</w:t>
      </w:r>
    </w:p>
    <w:p w:rsidR="002419A9" w:rsidRPr="002419A9" w:rsidRDefault="002419A9" w:rsidP="002419A9">
      <w:pPr>
        <w:autoSpaceDE w:val="0"/>
        <w:autoSpaceDN w:val="0"/>
        <w:adjustRightInd w:val="0"/>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b/>
          <w:sz w:val="28"/>
          <w:szCs w:val="28"/>
          <w:lang w:eastAsia="es-ES"/>
        </w:rPr>
      </w:pPr>
      <w:r w:rsidRPr="002419A9">
        <w:rPr>
          <w:rFonts w:ascii="Times" w:eastAsia="Times" w:hAnsi="Times" w:cs="Times New Roman"/>
          <w:b/>
          <w:sz w:val="28"/>
          <w:szCs w:val="28"/>
          <w:lang w:eastAsia="es-ES"/>
        </w:rPr>
        <w:t>G) Información sobre las operaciones financieras (Anexo VII)</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La empresa no tiene operaciones financieras con entidades bancarias, a excepción de la utilización de tarjeta visa, que se usa para algunos pagos de escasa cuantía, sobre todo en ferias fuera de España, donde nos exigen este medio de pago para reservar estancias en hoteles, etc.</w:t>
      </w:r>
    </w:p>
    <w:p w:rsidR="00C07D6C" w:rsidRPr="002419A9" w:rsidRDefault="00C07D6C"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b/>
          <w:sz w:val="28"/>
          <w:szCs w:val="28"/>
          <w:lang w:eastAsia="es-ES"/>
        </w:rPr>
      </w:pPr>
      <w:r w:rsidRPr="002419A9">
        <w:rPr>
          <w:rFonts w:ascii="Times" w:eastAsia="Times" w:hAnsi="Times" w:cs="Times New Roman"/>
          <w:b/>
          <w:sz w:val="28"/>
          <w:szCs w:val="28"/>
          <w:lang w:eastAsia="es-ES"/>
        </w:rPr>
        <w:t>H) Información sobre el Plan económico-financiero de saneamiento a medio plazo como consecuencia de situaciones de desequilibrio presupuestario (Anexo VIII)</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Tal como figura en el Anexo VIII, la empresa no tiene obligación de presentar plan económico financiero de saneamiento a medio plazo porque no ha obtenido pérdidas.</w:t>
      </w:r>
    </w:p>
    <w:p w:rsidR="002419A9" w:rsidRPr="002419A9" w:rsidRDefault="002419A9" w:rsidP="002419A9">
      <w:pPr>
        <w:tabs>
          <w:tab w:val="right" w:pos="-5940"/>
        </w:tabs>
        <w:ind w:right="44"/>
        <w:jc w:val="both"/>
        <w:rPr>
          <w:rFonts w:ascii="Times" w:eastAsia="Times" w:hAnsi="Times" w:cs="Times New Roman"/>
          <w:b/>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b/>
          <w:sz w:val="28"/>
          <w:szCs w:val="28"/>
          <w:lang w:eastAsia="es-ES"/>
        </w:rPr>
        <w:t>I) Proyección al cierre del ejercicio siguiente</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La previsión del resultado de las principales magnitudes al cierre del ejercicio 201</w:t>
      </w:r>
      <w:r w:rsidR="00C07D6C">
        <w:rPr>
          <w:rFonts w:ascii="Times" w:eastAsia="Times" w:hAnsi="Times" w:cs="Times New Roman"/>
          <w:sz w:val="28"/>
          <w:szCs w:val="28"/>
          <w:lang w:eastAsia="es-ES"/>
        </w:rPr>
        <w:t>9</w:t>
      </w:r>
      <w:r w:rsidRPr="002419A9">
        <w:rPr>
          <w:rFonts w:ascii="Times" w:eastAsia="Times" w:hAnsi="Times" w:cs="Times New Roman"/>
          <w:sz w:val="28"/>
          <w:szCs w:val="28"/>
          <w:lang w:eastAsia="es-ES"/>
        </w:rPr>
        <w:t xml:space="preserve"> son las siguientes:</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numPr>
          <w:ilvl w:val="0"/>
          <w:numId w:val="33"/>
        </w:num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Resultado contable:                                  - 2.</w:t>
      </w:r>
      <w:r w:rsidR="00C07D6C">
        <w:rPr>
          <w:rFonts w:ascii="Times" w:eastAsia="Times" w:hAnsi="Times" w:cs="Times New Roman"/>
          <w:sz w:val="28"/>
          <w:szCs w:val="28"/>
          <w:lang w:eastAsia="es-ES"/>
        </w:rPr>
        <w:t>223</w:t>
      </w:r>
      <w:r w:rsidRPr="002419A9">
        <w:rPr>
          <w:rFonts w:ascii="Times" w:eastAsia="Times" w:hAnsi="Times" w:cs="Times New Roman"/>
          <w:sz w:val="28"/>
          <w:szCs w:val="28"/>
          <w:lang w:eastAsia="es-ES"/>
        </w:rPr>
        <w:t>.</w:t>
      </w:r>
      <w:r w:rsidR="00C07D6C">
        <w:rPr>
          <w:rFonts w:ascii="Times" w:eastAsia="Times" w:hAnsi="Times" w:cs="Times New Roman"/>
          <w:sz w:val="28"/>
          <w:szCs w:val="28"/>
          <w:lang w:eastAsia="es-ES"/>
        </w:rPr>
        <w:t>683</w:t>
      </w:r>
      <w:r w:rsidRPr="002419A9">
        <w:rPr>
          <w:rFonts w:ascii="Times" w:eastAsia="Times" w:hAnsi="Times" w:cs="Times New Roman"/>
          <w:sz w:val="28"/>
          <w:szCs w:val="28"/>
          <w:lang w:eastAsia="es-ES"/>
        </w:rPr>
        <w:t>,00 euros</w:t>
      </w:r>
    </w:p>
    <w:p w:rsidR="002419A9" w:rsidRPr="002419A9" w:rsidRDefault="002419A9" w:rsidP="002419A9">
      <w:pPr>
        <w:numPr>
          <w:ilvl w:val="0"/>
          <w:numId w:val="33"/>
        </w:num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Resultado ajustado:                                                   0,00 euros</w:t>
      </w:r>
    </w:p>
    <w:p w:rsidR="002419A9" w:rsidRPr="002419A9" w:rsidRDefault="002419A9" w:rsidP="002419A9">
      <w:pPr>
        <w:numPr>
          <w:ilvl w:val="0"/>
          <w:numId w:val="33"/>
        </w:num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 xml:space="preserve">Tesorería:                                                     </w:t>
      </w:r>
      <w:r w:rsidR="00F679D8">
        <w:rPr>
          <w:rFonts w:ascii="Times" w:eastAsia="Times" w:hAnsi="Times" w:cs="Times New Roman"/>
          <w:sz w:val="28"/>
          <w:szCs w:val="28"/>
          <w:lang w:eastAsia="es-ES"/>
        </w:rPr>
        <w:t>1.</w:t>
      </w:r>
      <w:r w:rsidRPr="002419A9">
        <w:rPr>
          <w:rFonts w:ascii="Times" w:eastAsia="Times" w:hAnsi="Times" w:cs="Times New Roman"/>
          <w:sz w:val="28"/>
          <w:szCs w:val="28"/>
          <w:lang w:eastAsia="es-ES"/>
        </w:rPr>
        <w:t>17</w:t>
      </w:r>
      <w:r w:rsidR="00F679D8">
        <w:rPr>
          <w:rFonts w:ascii="Times" w:eastAsia="Times" w:hAnsi="Times" w:cs="Times New Roman"/>
          <w:sz w:val="28"/>
          <w:szCs w:val="28"/>
          <w:lang w:eastAsia="es-ES"/>
        </w:rPr>
        <w:t>0</w:t>
      </w:r>
      <w:r w:rsidRPr="002419A9">
        <w:rPr>
          <w:rFonts w:ascii="Times" w:eastAsia="Times" w:hAnsi="Times" w:cs="Times New Roman"/>
          <w:sz w:val="28"/>
          <w:szCs w:val="28"/>
          <w:lang w:eastAsia="es-ES"/>
        </w:rPr>
        <w:t>.</w:t>
      </w:r>
      <w:r w:rsidR="00F679D8">
        <w:rPr>
          <w:rFonts w:ascii="Times" w:eastAsia="Times" w:hAnsi="Times" w:cs="Times New Roman"/>
          <w:sz w:val="28"/>
          <w:szCs w:val="28"/>
          <w:lang w:eastAsia="es-ES"/>
        </w:rPr>
        <w:t>458</w:t>
      </w:r>
      <w:r w:rsidRPr="002419A9">
        <w:rPr>
          <w:rFonts w:ascii="Times" w:eastAsia="Times" w:hAnsi="Times" w:cs="Times New Roman"/>
          <w:sz w:val="28"/>
          <w:szCs w:val="28"/>
          <w:lang w:eastAsia="es-ES"/>
        </w:rPr>
        <w:t>,</w:t>
      </w:r>
      <w:r w:rsidR="00F679D8">
        <w:rPr>
          <w:rFonts w:ascii="Times" w:eastAsia="Times" w:hAnsi="Times" w:cs="Times New Roman"/>
          <w:sz w:val="28"/>
          <w:szCs w:val="28"/>
          <w:lang w:eastAsia="es-ES"/>
        </w:rPr>
        <w:t>59</w:t>
      </w:r>
      <w:r w:rsidRPr="002419A9">
        <w:rPr>
          <w:rFonts w:ascii="Times" w:eastAsia="Times" w:hAnsi="Times" w:cs="Times New Roman"/>
          <w:sz w:val="28"/>
          <w:szCs w:val="28"/>
          <w:lang w:eastAsia="es-ES"/>
        </w:rPr>
        <w:t xml:space="preserve"> euros</w:t>
      </w:r>
    </w:p>
    <w:p w:rsidR="002419A9" w:rsidRPr="002419A9" w:rsidRDefault="002419A9" w:rsidP="002419A9">
      <w:pPr>
        <w:numPr>
          <w:ilvl w:val="0"/>
          <w:numId w:val="33"/>
        </w:num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Gastos de personal:                                      2.0</w:t>
      </w:r>
      <w:r w:rsidR="00F679D8">
        <w:rPr>
          <w:rFonts w:ascii="Times" w:eastAsia="Times" w:hAnsi="Times" w:cs="Times New Roman"/>
          <w:sz w:val="28"/>
          <w:szCs w:val="28"/>
          <w:lang w:eastAsia="es-ES"/>
        </w:rPr>
        <w:t>26</w:t>
      </w:r>
      <w:r w:rsidRPr="002419A9">
        <w:rPr>
          <w:rFonts w:ascii="Times" w:eastAsia="Times" w:hAnsi="Times" w:cs="Times New Roman"/>
          <w:sz w:val="28"/>
          <w:szCs w:val="28"/>
          <w:lang w:eastAsia="es-ES"/>
        </w:rPr>
        <w:t>.</w:t>
      </w:r>
      <w:r w:rsidR="00F679D8">
        <w:rPr>
          <w:rFonts w:ascii="Times" w:eastAsia="Times" w:hAnsi="Times" w:cs="Times New Roman"/>
          <w:sz w:val="28"/>
          <w:szCs w:val="28"/>
          <w:lang w:eastAsia="es-ES"/>
        </w:rPr>
        <w:t>426</w:t>
      </w:r>
      <w:r w:rsidRPr="002419A9">
        <w:rPr>
          <w:rFonts w:ascii="Times" w:eastAsia="Times" w:hAnsi="Times" w:cs="Times New Roman"/>
          <w:sz w:val="28"/>
          <w:szCs w:val="28"/>
          <w:lang w:eastAsia="es-ES"/>
        </w:rPr>
        <w:t>,</w:t>
      </w:r>
      <w:r w:rsidR="00F679D8">
        <w:rPr>
          <w:rFonts w:ascii="Times" w:eastAsia="Times" w:hAnsi="Times" w:cs="Times New Roman"/>
          <w:sz w:val="28"/>
          <w:szCs w:val="28"/>
          <w:lang w:eastAsia="es-ES"/>
        </w:rPr>
        <w:t>73</w:t>
      </w:r>
      <w:r w:rsidRPr="002419A9">
        <w:rPr>
          <w:rFonts w:ascii="Times" w:eastAsia="Times" w:hAnsi="Times" w:cs="Times New Roman"/>
          <w:sz w:val="28"/>
          <w:szCs w:val="28"/>
          <w:lang w:eastAsia="es-ES"/>
        </w:rPr>
        <w:t xml:space="preserve"> euros</w:t>
      </w:r>
    </w:p>
    <w:p w:rsidR="002419A9" w:rsidRPr="002419A9" w:rsidRDefault="002419A9" w:rsidP="002419A9">
      <w:pPr>
        <w:numPr>
          <w:ilvl w:val="0"/>
          <w:numId w:val="33"/>
        </w:num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Ingresos de la CAC (prestación de servicios):  90.434,00 euros</w:t>
      </w:r>
    </w:p>
    <w:p w:rsidR="002419A9" w:rsidRPr="002419A9" w:rsidRDefault="002419A9" w:rsidP="002419A9">
      <w:pPr>
        <w:numPr>
          <w:ilvl w:val="0"/>
          <w:numId w:val="33"/>
        </w:num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Resto de ingresos (prestación de servicios):              0,00 euros</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b/>
          <w:sz w:val="28"/>
          <w:szCs w:val="28"/>
          <w:lang w:eastAsia="es-ES"/>
        </w:rPr>
      </w:pPr>
      <w:r w:rsidRPr="002419A9">
        <w:rPr>
          <w:rFonts w:ascii="Times" w:eastAsia="Times" w:hAnsi="Times" w:cs="Times New Roman"/>
          <w:b/>
          <w:sz w:val="28"/>
          <w:szCs w:val="28"/>
          <w:lang w:eastAsia="es-ES"/>
        </w:rPr>
        <w:t xml:space="preserve">J) Información sobre objetivos e indicadores de gestión </w:t>
      </w:r>
    </w:p>
    <w:p w:rsidR="002419A9" w:rsidRPr="002419A9" w:rsidRDefault="002419A9" w:rsidP="002419A9">
      <w:pPr>
        <w:tabs>
          <w:tab w:val="right" w:pos="-5940"/>
        </w:tabs>
        <w:ind w:right="44"/>
        <w:jc w:val="both"/>
        <w:rPr>
          <w:rFonts w:ascii="Times" w:eastAsia="Times" w:hAnsi="Times" w:cs="Times New Roman"/>
          <w:b/>
          <w:sz w:val="28"/>
          <w:szCs w:val="28"/>
          <w:lang w:eastAsia="es-ES"/>
        </w:rPr>
      </w:pPr>
      <w:r w:rsidRPr="002419A9">
        <w:rPr>
          <w:rFonts w:ascii="Times" w:eastAsia="Times" w:hAnsi="Times" w:cs="Times New Roman"/>
          <w:b/>
          <w:sz w:val="28"/>
          <w:szCs w:val="28"/>
          <w:lang w:eastAsia="es-ES"/>
        </w:rPr>
        <w:t>(Anexo IX)</w:t>
      </w:r>
    </w:p>
    <w:p w:rsidR="002419A9" w:rsidRPr="002419A9" w:rsidRDefault="002419A9" w:rsidP="002419A9">
      <w:pPr>
        <w:tabs>
          <w:tab w:val="right" w:pos="-5940"/>
        </w:tabs>
        <w:ind w:right="44"/>
        <w:jc w:val="both"/>
        <w:rPr>
          <w:rFonts w:ascii="Times" w:eastAsia="Times" w:hAnsi="Times" w:cs="Times New Roman"/>
          <w:b/>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 xml:space="preserve">Los objetivos e indicadores de gestión que ha establecido la empresa son los que figuran en el Anexo IX. </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tabs>
          <w:tab w:val="right" w:pos="-5940"/>
        </w:tabs>
        <w:ind w:right="44"/>
        <w:jc w:val="both"/>
        <w:rPr>
          <w:rFonts w:ascii="Times" w:eastAsia="Times" w:hAnsi="Times" w:cs="Times New Roman"/>
          <w:sz w:val="28"/>
          <w:szCs w:val="28"/>
          <w:lang w:eastAsia="es-ES"/>
        </w:rPr>
      </w:pPr>
      <w:r w:rsidRPr="002419A9">
        <w:rPr>
          <w:rFonts w:ascii="Times" w:eastAsia="Times" w:hAnsi="Times" w:cs="Times New Roman"/>
          <w:sz w:val="28"/>
          <w:szCs w:val="28"/>
          <w:lang w:eastAsia="es-ES"/>
        </w:rPr>
        <w:t xml:space="preserve">Se adjunta Plan </w:t>
      </w:r>
      <w:r w:rsidR="00F679D8">
        <w:rPr>
          <w:rFonts w:ascii="Times" w:eastAsia="Times" w:hAnsi="Times" w:cs="Times New Roman"/>
          <w:sz w:val="28"/>
          <w:szCs w:val="28"/>
          <w:lang w:eastAsia="es-ES"/>
        </w:rPr>
        <w:t>de Marketing 2018 d</w:t>
      </w:r>
      <w:r w:rsidRPr="002419A9">
        <w:rPr>
          <w:rFonts w:ascii="Times" w:eastAsia="Times" w:hAnsi="Times" w:cs="Times New Roman"/>
          <w:sz w:val="28"/>
          <w:szCs w:val="28"/>
          <w:lang w:eastAsia="es-ES"/>
        </w:rPr>
        <w:t>e la empresa en documento</w:t>
      </w:r>
      <w:r w:rsidR="00F679D8">
        <w:rPr>
          <w:rFonts w:ascii="Times" w:eastAsia="Times" w:hAnsi="Times" w:cs="Times New Roman"/>
          <w:sz w:val="28"/>
          <w:szCs w:val="28"/>
          <w:lang w:eastAsia="es-ES"/>
        </w:rPr>
        <w:t xml:space="preserve"> adjunto</w:t>
      </w:r>
      <w:r w:rsidRPr="002419A9">
        <w:rPr>
          <w:rFonts w:ascii="Times" w:eastAsia="Times" w:hAnsi="Times" w:cs="Times New Roman"/>
          <w:sz w:val="28"/>
          <w:szCs w:val="28"/>
          <w:lang w:eastAsia="es-ES"/>
        </w:rPr>
        <w:t>.</w:t>
      </w:r>
    </w:p>
    <w:p w:rsidR="002419A9" w:rsidRPr="002419A9" w:rsidRDefault="002419A9" w:rsidP="002419A9">
      <w:pPr>
        <w:tabs>
          <w:tab w:val="right" w:pos="-5940"/>
        </w:tabs>
        <w:ind w:right="44"/>
        <w:jc w:val="both"/>
        <w:rPr>
          <w:rFonts w:ascii="Times" w:eastAsia="Times" w:hAnsi="Times" w:cs="Times New Roman"/>
          <w:sz w:val="28"/>
          <w:szCs w:val="28"/>
          <w:lang w:eastAsia="es-ES"/>
        </w:rPr>
      </w:pPr>
    </w:p>
    <w:p w:rsidR="002419A9" w:rsidRPr="002419A9" w:rsidRDefault="002419A9" w:rsidP="002419A9">
      <w:pPr>
        <w:ind w:right="-7"/>
        <w:jc w:val="both"/>
        <w:rPr>
          <w:rFonts w:ascii="Times" w:eastAsia="Times" w:hAnsi="Times" w:cs="Times New Roman"/>
          <w:szCs w:val="20"/>
          <w:lang w:eastAsia="es-ES"/>
        </w:rPr>
      </w:pPr>
    </w:p>
    <w:p w:rsidR="00813C69" w:rsidRDefault="00813C69" w:rsidP="009A4A35">
      <w:pPr>
        <w:ind w:right="-7"/>
        <w:jc w:val="both"/>
      </w:pPr>
    </w:p>
    <w:p w:rsidR="00813C69" w:rsidRDefault="00813C69" w:rsidP="009A4A35">
      <w:pPr>
        <w:ind w:right="-7"/>
        <w:jc w:val="both"/>
      </w:pPr>
    </w:p>
    <w:p w:rsidR="00813C69" w:rsidRDefault="00813C69" w:rsidP="009A4A35">
      <w:pPr>
        <w:ind w:right="-7"/>
        <w:jc w:val="both"/>
      </w:pPr>
    </w:p>
    <w:p w:rsidR="00813C69" w:rsidRDefault="00813C69" w:rsidP="009A4A35">
      <w:pPr>
        <w:ind w:right="-7"/>
        <w:jc w:val="both"/>
      </w:pPr>
    </w:p>
    <w:p w:rsidR="00813C69" w:rsidRDefault="00813C69" w:rsidP="009A4A35">
      <w:pPr>
        <w:ind w:right="-7"/>
        <w:jc w:val="both"/>
      </w:pPr>
    </w:p>
    <w:p w:rsidR="009A4A35" w:rsidRDefault="009A4A35" w:rsidP="009A4A35">
      <w:pPr>
        <w:ind w:right="-7"/>
        <w:jc w:val="both"/>
      </w:pPr>
    </w:p>
    <w:sectPr w:rsidR="009A4A35" w:rsidSect="00DC4B4F">
      <w:headerReference w:type="default" r:id="rId8"/>
      <w:footerReference w:type="default" r:id="rId9"/>
      <w:headerReference w:type="first" r:id="rId10"/>
      <w:footerReference w:type="first" r:id="rId11"/>
      <w:pgSz w:w="11900" w:h="16840"/>
      <w:pgMar w:top="2552" w:right="1134" w:bottom="1701" w:left="170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9A9" w:rsidRDefault="002419A9" w:rsidP="007804E8">
      <w:r>
        <w:separator/>
      </w:r>
    </w:p>
  </w:endnote>
  <w:endnote w:type="continuationSeparator" w:id="0">
    <w:p w:rsidR="002419A9" w:rsidRDefault="002419A9" w:rsidP="0078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89647"/>
      <w:docPartObj>
        <w:docPartGallery w:val="Page Numbers (Bottom of Page)"/>
        <w:docPartUnique/>
      </w:docPartObj>
    </w:sdtPr>
    <w:sdtEndPr/>
    <w:sdtContent>
      <w:p w:rsidR="002419A9" w:rsidRDefault="002419A9">
        <w:pPr>
          <w:pStyle w:val="Piedepgina"/>
          <w:jc w:val="right"/>
        </w:pPr>
        <w:r>
          <w:fldChar w:fldCharType="begin"/>
        </w:r>
        <w:r>
          <w:instrText>PAGE   \* MERGEFORMAT</w:instrText>
        </w:r>
        <w:r>
          <w:fldChar w:fldCharType="separate"/>
        </w:r>
        <w:r w:rsidR="007F0659" w:rsidRPr="007F0659">
          <w:rPr>
            <w:noProof/>
            <w:lang w:val="es-ES"/>
          </w:rPr>
          <w:t>11</w:t>
        </w:r>
        <w:r>
          <w:fldChar w:fldCharType="end"/>
        </w:r>
      </w:p>
    </w:sdtContent>
  </w:sdt>
  <w:p w:rsidR="002419A9" w:rsidRDefault="002419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4E8" w:rsidRPr="007804E8" w:rsidRDefault="003D3F6E" w:rsidP="007804E8">
    <w:pPr>
      <w:pStyle w:val="Piedepgina"/>
    </w:pPr>
    <w:r>
      <w:rPr>
        <w:noProof/>
      </w:rPr>
      <w:drawing>
        <wp:anchor distT="0" distB="0" distL="114300" distR="114300" simplePos="0" relativeHeight="251663360" behindDoc="1" locked="0" layoutInCell="1" allowOverlap="1">
          <wp:simplePos x="0" y="0"/>
          <wp:positionH relativeFrom="column">
            <wp:posOffset>-775335</wp:posOffset>
          </wp:positionH>
          <wp:positionV relativeFrom="paragraph">
            <wp:posOffset>-857885</wp:posOffset>
          </wp:positionV>
          <wp:extent cx="7112000" cy="1045813"/>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lefonos-03-03-03.jpg"/>
                  <pic:cNvPicPr/>
                </pic:nvPicPr>
                <pic:blipFill>
                  <a:blip r:embed="rId1">
                    <a:extLst>
                      <a:ext uri="{28A0092B-C50C-407E-A947-70E740481C1C}">
                        <a14:useLocalDpi xmlns:a14="http://schemas.microsoft.com/office/drawing/2010/main" val="0"/>
                      </a:ext>
                    </a:extLst>
                  </a:blip>
                  <a:stretch>
                    <a:fillRect/>
                  </a:stretch>
                </pic:blipFill>
                <pic:spPr>
                  <a:xfrm>
                    <a:off x="0" y="0"/>
                    <a:ext cx="7112000" cy="104581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9A9" w:rsidRDefault="002419A9" w:rsidP="007804E8">
      <w:r>
        <w:separator/>
      </w:r>
    </w:p>
  </w:footnote>
  <w:footnote w:type="continuationSeparator" w:id="0">
    <w:p w:rsidR="002419A9" w:rsidRDefault="002419A9" w:rsidP="007804E8">
      <w:r>
        <w:continuationSeparator/>
      </w:r>
    </w:p>
  </w:footnote>
  <w:footnote w:id="1">
    <w:p w:rsidR="00F2586D" w:rsidRDefault="00F2586D" w:rsidP="00F2586D">
      <w:pPr>
        <w:pStyle w:val="Textonotapie"/>
      </w:pPr>
      <w:r>
        <w:rPr>
          <w:rStyle w:val="Refdenotaalpie"/>
        </w:rPr>
        <w:footnoteRef/>
      </w:r>
      <w:r>
        <w:t xml:space="preserve"> </w:t>
      </w:r>
      <w:r w:rsidRPr="006D12E2">
        <w:rPr>
          <w:b/>
        </w:rPr>
        <w:t>CM-</w:t>
      </w:r>
      <w:r w:rsidRPr="00A166D4">
        <w:rPr>
          <w:b/>
        </w:rPr>
        <w:t>BS</w:t>
      </w:r>
      <w:r>
        <w:t>: Contratación Menor ajustada a la Disposición Adicional Novena del TRLCSP, relativa a las Normas Especiales para la contratación de acceso a Bases de Datos y la suscripción a publicaciones y se ha tramitado un expediente de contratación (AJ).</w:t>
      </w:r>
    </w:p>
  </w:footnote>
  <w:footnote w:id="2">
    <w:p w:rsidR="00F2586D" w:rsidRDefault="00F2586D" w:rsidP="00F2586D">
      <w:pPr>
        <w:pStyle w:val="Textonotapie"/>
      </w:pPr>
      <w:r>
        <w:rPr>
          <w:rStyle w:val="Refdenotaalpie"/>
        </w:rPr>
        <w:footnoteRef/>
      </w:r>
      <w:r>
        <w:t xml:space="preserve"> </w:t>
      </w:r>
      <w:r w:rsidRPr="00B92576">
        <w:rPr>
          <w:b/>
        </w:rPr>
        <w:t>CM</w:t>
      </w:r>
      <w:r>
        <w:t>: Contratación Menor, en el que se ha tramitado un expediente de contratación (AJ).</w:t>
      </w:r>
    </w:p>
  </w:footnote>
  <w:footnote w:id="3">
    <w:p w:rsidR="00F2586D" w:rsidRPr="00B92576" w:rsidRDefault="00F2586D" w:rsidP="00F2586D">
      <w:pPr>
        <w:pStyle w:val="Textonotapie"/>
      </w:pPr>
      <w:r>
        <w:rPr>
          <w:rStyle w:val="Refdenotaalpie"/>
        </w:rPr>
        <w:footnoteRef/>
      </w:r>
      <w:r>
        <w:t xml:space="preserve"> </w:t>
      </w:r>
      <w:r w:rsidRPr="00B92576">
        <w:rPr>
          <w:b/>
        </w:rPr>
        <w:t>CM</w:t>
      </w:r>
      <w:r>
        <w:t>: Contrato Menor, con propuesta u oferta, aprobación de gasto e incorporación de factura, conforme al artículo 111 y 138.3 de la TRLCSP.</w:t>
      </w:r>
    </w:p>
  </w:footnote>
  <w:footnote w:id="4">
    <w:p w:rsidR="00F2586D" w:rsidRDefault="00F2586D" w:rsidP="00F2586D">
      <w:pPr>
        <w:pStyle w:val="Textonotapie"/>
      </w:pPr>
      <w:r>
        <w:rPr>
          <w:rStyle w:val="Refdenotaalpie"/>
        </w:rPr>
        <w:footnoteRef/>
      </w:r>
      <w:r>
        <w:t xml:space="preserve"> </w:t>
      </w:r>
      <w:r w:rsidRPr="00B92576">
        <w:rPr>
          <w:b/>
        </w:rPr>
        <w:t>CM</w:t>
      </w:r>
      <w:r>
        <w:t>: Contrato Menor, con aprobación de gasto e incorporación de factura, conforme al artículo 111 y 138.3 de la TRLCSP.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BEA" w:rsidRDefault="00FD1BEA">
    <w:pPr>
      <w:pStyle w:val="Encabezado"/>
    </w:pPr>
    <w:r>
      <w:rPr>
        <w:noProof/>
      </w:rPr>
      <w:drawing>
        <wp:anchor distT="0" distB="0" distL="114300" distR="114300" simplePos="0" relativeHeight="251660288" behindDoc="1" locked="0" layoutInCell="1" allowOverlap="1">
          <wp:simplePos x="0" y="0"/>
          <wp:positionH relativeFrom="column">
            <wp:posOffset>-1005205</wp:posOffset>
          </wp:positionH>
          <wp:positionV relativeFrom="paragraph">
            <wp:posOffset>128270</wp:posOffset>
          </wp:positionV>
          <wp:extent cx="7556500" cy="9740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copia.png"/>
                  <pic:cNvPicPr/>
                </pic:nvPicPr>
                <pic:blipFill>
                  <a:blip r:embed="rId1">
                    <a:extLst>
                      <a:ext uri="{28A0092B-C50C-407E-A947-70E740481C1C}">
                        <a14:useLocalDpi xmlns:a14="http://schemas.microsoft.com/office/drawing/2010/main" val="0"/>
                      </a:ext>
                    </a:extLst>
                  </a:blip>
                  <a:stretch>
                    <a:fillRect/>
                  </a:stretch>
                </pic:blipFill>
                <pic:spPr>
                  <a:xfrm>
                    <a:off x="0" y="0"/>
                    <a:ext cx="7556500" cy="9740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4E8" w:rsidRDefault="00C113FE" w:rsidP="00725D74">
    <w:pPr>
      <w:pStyle w:val="Encabezado"/>
    </w:pPr>
    <w:r>
      <w:rPr>
        <w:rFonts w:ascii="Arial" w:hAnsi="Arial" w:cs="Arial"/>
        <w:b/>
        <w:noProof/>
        <w:lang w:val="es-ES"/>
      </w:rPr>
      <w:drawing>
        <wp:anchor distT="0" distB="0" distL="114300" distR="114300" simplePos="0" relativeHeight="251666432" behindDoc="1" locked="1" layoutInCell="1" allowOverlap="1" wp14:anchorId="789DDEF6" wp14:editId="5B7F891D">
          <wp:simplePos x="0" y="0"/>
          <wp:positionH relativeFrom="column">
            <wp:posOffset>-1102995</wp:posOffset>
          </wp:positionH>
          <wp:positionV relativeFrom="page">
            <wp:posOffset>1697990</wp:posOffset>
          </wp:positionV>
          <wp:extent cx="640715" cy="694753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1">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3F6E">
      <w:rPr>
        <w:noProof/>
      </w:rPr>
      <w:drawing>
        <wp:anchor distT="0" distB="0" distL="114300" distR="114300" simplePos="0" relativeHeight="251664384" behindDoc="1" locked="0" layoutInCell="1" allowOverlap="1">
          <wp:simplePos x="0" y="0"/>
          <wp:positionH relativeFrom="column">
            <wp:posOffset>-989965</wp:posOffset>
          </wp:positionH>
          <wp:positionV relativeFrom="paragraph">
            <wp:posOffset>215900</wp:posOffset>
          </wp:positionV>
          <wp:extent cx="7329170" cy="936258"/>
          <wp:effectExtent l="0" t="0" r="0" b="381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s-02-02.jpg"/>
                  <pic:cNvPicPr/>
                </pic:nvPicPr>
                <pic:blipFill>
                  <a:blip r:embed="rId2">
                    <a:extLst>
                      <a:ext uri="{28A0092B-C50C-407E-A947-70E740481C1C}">
                        <a14:useLocalDpi xmlns:a14="http://schemas.microsoft.com/office/drawing/2010/main" val="0"/>
                      </a:ext>
                    </a:extLst>
                  </a:blip>
                  <a:stretch>
                    <a:fillRect/>
                  </a:stretch>
                </pic:blipFill>
                <pic:spPr>
                  <a:xfrm>
                    <a:off x="0" y="0"/>
                    <a:ext cx="7329170" cy="9362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687A"/>
    <w:multiLevelType w:val="hybridMultilevel"/>
    <w:tmpl w:val="02E45DD0"/>
    <w:numStyleLink w:val="Estiloimportado1"/>
  </w:abstractNum>
  <w:abstractNum w:abstractNumId="1"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2" w15:restartNumberingAfterBreak="0">
    <w:nsid w:val="14037673"/>
    <w:multiLevelType w:val="hybridMultilevel"/>
    <w:tmpl w:val="7FFA0D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217193"/>
    <w:multiLevelType w:val="hybridMultilevel"/>
    <w:tmpl w:val="9EEC5842"/>
    <w:lvl w:ilvl="0" w:tplc="B540F35C">
      <w:start w:val="1"/>
      <w:numFmt w:val="upperLetter"/>
      <w:lvlText w:val="%1)"/>
      <w:lvlJc w:val="left"/>
      <w:pPr>
        <w:tabs>
          <w:tab w:val="num" w:pos="502"/>
        </w:tabs>
        <w:ind w:left="502" w:hanging="360"/>
      </w:pPr>
      <w:rPr>
        <w:rFonts w:hint="default"/>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5" w15:restartNumberingAfterBreak="0">
    <w:nsid w:val="3AAC1BC9"/>
    <w:multiLevelType w:val="hybridMultilevel"/>
    <w:tmpl w:val="3B9EA8DA"/>
    <w:numStyleLink w:val="Estiloimportado3"/>
  </w:abstractNum>
  <w:abstractNum w:abstractNumId="6"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713753D"/>
    <w:multiLevelType w:val="hybridMultilevel"/>
    <w:tmpl w:val="2F24D73C"/>
    <w:numStyleLink w:val="Estiloimportado10"/>
  </w:abstractNum>
  <w:abstractNum w:abstractNumId="8" w15:restartNumberingAfterBreak="0">
    <w:nsid w:val="656400B3"/>
    <w:multiLevelType w:val="hybridMultilevel"/>
    <w:tmpl w:val="3B56AB82"/>
    <w:lvl w:ilvl="0" w:tplc="6AD4A234">
      <w:start w:val="1"/>
      <w:numFmt w:val="bullet"/>
      <w:lvlText w:val="-"/>
      <w:lvlJc w:val="left"/>
      <w:pPr>
        <w:ind w:left="720" w:hanging="360"/>
      </w:pPr>
      <w:rPr>
        <w:rFonts w:ascii="Times" w:eastAsia="Times" w:hAnsi="Times"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1786537"/>
    <w:multiLevelType w:val="hybridMultilevel"/>
    <w:tmpl w:val="995E15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num w:numId="1">
    <w:abstractNumId w:val="6"/>
  </w:num>
  <w:num w:numId="2">
    <w:abstractNumId w:val="0"/>
  </w:num>
  <w:num w:numId="3">
    <w:abstractNumId w:val="3"/>
  </w:num>
  <w:num w:numId="4">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abstractNumId w:val="0"/>
    <w:lvlOverride w:ilvl="0">
      <w:startOverride w:val="2"/>
      <w:lvl w:ilvl="0" w:tplc="D53E3130">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9C375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C3070B8">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8A27C5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18006D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FC83BEC">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3F2D89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388E86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6F0DD1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0"/>
    <w:lvlOverride w:ilvl="0">
      <w:startOverride w:val="3"/>
      <w:lvl w:ilvl="0" w:tplc="D53E3130">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19C375E">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C3070B8">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C8A27C5A">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18006DA">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FC83BEC">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3F2D892">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388E860">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6F0DD10">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
  </w:num>
  <w:num w:numId="12">
    <w:abstractNumId w:val="7"/>
  </w:num>
  <w:num w:numId="13">
    <w:abstractNumId w:val="7"/>
    <w:lvlOverride w:ilvl="0">
      <w:lvl w:ilvl="0" w:tplc="2E0268C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671C1B0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3EA6E5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0CAEEEF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143A7A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615099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6A5E187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78221D1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9DE8716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abstractNumId w:val="0"/>
    <w:lvlOverride w:ilvl="0">
      <w:startOverride w:val="4"/>
      <w:lvl w:ilvl="0" w:tplc="D53E3130">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9C375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C3070B8">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8A27C5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18006D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FC83BEC">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3F2D89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388E86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6F0DD1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abstractNumId w:val="9"/>
  </w:num>
  <w:num w:numId="19">
    <w:abstractNumId w:val="5"/>
  </w:num>
  <w:num w:numId="20">
    <w:abstractNumId w:val="0"/>
    <w:lvlOverride w:ilvl="0">
      <w:startOverride w:val="5"/>
      <w:lvl w:ilvl="0" w:tplc="D53E3130">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9C375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C3070B8">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8A27C5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18006D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FC83BEC">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3F2D89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388E86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6F0DD1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11"/>
  </w:num>
  <w:num w:numId="30">
    <w:abstractNumId w:val="4"/>
  </w:num>
  <w:num w:numId="31">
    <w:abstractNumId w:val="10"/>
  </w:num>
  <w:num w:numId="32">
    <w:abstractNumId w:val="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9A9"/>
    <w:rsid w:val="00061F97"/>
    <w:rsid w:val="0006720D"/>
    <w:rsid w:val="000864AC"/>
    <w:rsid w:val="000868A4"/>
    <w:rsid w:val="000A1698"/>
    <w:rsid w:val="000E2BFF"/>
    <w:rsid w:val="000F067E"/>
    <w:rsid w:val="00164E85"/>
    <w:rsid w:val="001925B4"/>
    <w:rsid w:val="001F7A68"/>
    <w:rsid w:val="00203B25"/>
    <w:rsid w:val="00204098"/>
    <w:rsid w:val="002174D8"/>
    <w:rsid w:val="00232D19"/>
    <w:rsid w:val="002419A9"/>
    <w:rsid w:val="00306A4F"/>
    <w:rsid w:val="003D3F6E"/>
    <w:rsid w:val="00421F84"/>
    <w:rsid w:val="0044471E"/>
    <w:rsid w:val="00497BA8"/>
    <w:rsid w:val="005434FC"/>
    <w:rsid w:val="00546AFE"/>
    <w:rsid w:val="005A1CFC"/>
    <w:rsid w:val="0067587F"/>
    <w:rsid w:val="00685514"/>
    <w:rsid w:val="006D502E"/>
    <w:rsid w:val="006F5361"/>
    <w:rsid w:val="00722722"/>
    <w:rsid w:val="00725D74"/>
    <w:rsid w:val="0075646D"/>
    <w:rsid w:val="0075792A"/>
    <w:rsid w:val="00760FBF"/>
    <w:rsid w:val="007804E8"/>
    <w:rsid w:val="0078563B"/>
    <w:rsid w:val="00787B38"/>
    <w:rsid w:val="007B2CFC"/>
    <w:rsid w:val="007F0659"/>
    <w:rsid w:val="007F48B7"/>
    <w:rsid w:val="00807933"/>
    <w:rsid w:val="00813C69"/>
    <w:rsid w:val="008B4094"/>
    <w:rsid w:val="008D7FF4"/>
    <w:rsid w:val="008F635C"/>
    <w:rsid w:val="00991F63"/>
    <w:rsid w:val="009A4A35"/>
    <w:rsid w:val="009C5400"/>
    <w:rsid w:val="00A051C2"/>
    <w:rsid w:val="00A072B0"/>
    <w:rsid w:val="00A62EFB"/>
    <w:rsid w:val="00A648CF"/>
    <w:rsid w:val="00A95AD9"/>
    <w:rsid w:val="00B729AF"/>
    <w:rsid w:val="00B84CC7"/>
    <w:rsid w:val="00BA74DA"/>
    <w:rsid w:val="00BF47F0"/>
    <w:rsid w:val="00C07D6C"/>
    <w:rsid w:val="00C113FE"/>
    <w:rsid w:val="00C402EF"/>
    <w:rsid w:val="00C64E10"/>
    <w:rsid w:val="00C90531"/>
    <w:rsid w:val="00C95AAF"/>
    <w:rsid w:val="00CE5F40"/>
    <w:rsid w:val="00D13B48"/>
    <w:rsid w:val="00D80D91"/>
    <w:rsid w:val="00DC4B4F"/>
    <w:rsid w:val="00E15B19"/>
    <w:rsid w:val="00E70166"/>
    <w:rsid w:val="00E72AE3"/>
    <w:rsid w:val="00EA0622"/>
    <w:rsid w:val="00EC5B36"/>
    <w:rsid w:val="00F2586D"/>
    <w:rsid w:val="00F679D8"/>
    <w:rsid w:val="00F86F16"/>
    <w:rsid w:val="00FD1B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488F3CD6"/>
  <w14:defaultImageDpi w14:val="32767"/>
  <w15:chartTrackingRefBased/>
  <w15:docId w15:val="{A68920AA-A912-4A55-B640-8F69AEBA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2419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11"/>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18"/>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iPriority w:val="99"/>
    <w:semiHidden/>
    <w:unhideWhenUsed/>
    <w:rsid w:val="0075646D"/>
    <w:rPr>
      <w:color w:val="0563C1" w:themeColor="hyperlink"/>
      <w:u w:val="single"/>
    </w:rPr>
  </w:style>
  <w:style w:type="character" w:customStyle="1" w:styleId="Ttulo1Car">
    <w:name w:val="Título 1 Car"/>
    <w:basedOn w:val="Fuentedeprrafopredeter"/>
    <w:link w:val="Ttulo1"/>
    <w:uiPriority w:val="9"/>
    <w:rsid w:val="002419A9"/>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uiPriority w:val="99"/>
    <w:semiHidden/>
    <w:unhideWhenUsed/>
    <w:rsid w:val="002419A9"/>
    <w:rPr>
      <w:sz w:val="20"/>
      <w:szCs w:val="20"/>
    </w:rPr>
  </w:style>
  <w:style w:type="character" w:customStyle="1" w:styleId="TextonotapieCar">
    <w:name w:val="Texto nota pie Car"/>
    <w:basedOn w:val="Fuentedeprrafopredeter"/>
    <w:link w:val="Textonotapie"/>
    <w:uiPriority w:val="99"/>
    <w:semiHidden/>
    <w:rsid w:val="002419A9"/>
    <w:rPr>
      <w:rFonts w:eastAsiaTheme="minorEastAsia"/>
      <w:sz w:val="20"/>
      <w:szCs w:val="20"/>
    </w:rPr>
  </w:style>
  <w:style w:type="character" w:styleId="Refdenotaalpie">
    <w:name w:val="footnote reference"/>
    <w:uiPriority w:val="99"/>
    <w:unhideWhenUsed/>
    <w:rsid w:val="002419A9"/>
    <w:rPr>
      <w:vertAlign w:val="superscript"/>
    </w:rPr>
  </w:style>
  <w:style w:type="paragraph" w:styleId="Textodeglobo">
    <w:name w:val="Balloon Text"/>
    <w:basedOn w:val="Normal"/>
    <w:link w:val="TextodegloboCar"/>
    <w:uiPriority w:val="99"/>
    <w:semiHidden/>
    <w:unhideWhenUsed/>
    <w:rsid w:val="00B729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9A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RG\Desktop\PLANTILLA%20CART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FC3E4-F72D-4F28-A7AB-AA6B597A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CARTA</Template>
  <TotalTime>270</TotalTime>
  <Pages>11</Pages>
  <Words>2434</Words>
  <Characters>13388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Rodríguez</dc:creator>
  <cp:keywords/>
  <dc:description/>
  <cp:lastModifiedBy>Ana Rodríguez Guerra</cp:lastModifiedBy>
  <cp:revision>13</cp:revision>
  <cp:lastPrinted>2019-05-08T11:15:00Z</cp:lastPrinted>
  <dcterms:created xsi:type="dcterms:W3CDTF">2018-05-07T07:39:00Z</dcterms:created>
  <dcterms:modified xsi:type="dcterms:W3CDTF">2019-05-08T11:18:00Z</dcterms:modified>
</cp:coreProperties>
</file>