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87B1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8D5F4A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31743F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noProof/>
          <w:color w:val="auto"/>
          <w:szCs w:val="20"/>
          <w:bdr w:val="none" w:sz="0" w:space="0" w:color="auto"/>
          <w:lang w:val="es-ES_tradnl" w:eastAsia="es-ES"/>
        </w:rPr>
        <mc:AlternateContent>
          <mc:Choice Requires="wps">
            <w:drawing>
              <wp:anchor distT="0" distB="0" distL="114300" distR="114300" simplePos="0" relativeHeight="251659264" behindDoc="0" locked="0" layoutInCell="1" allowOverlap="1" wp14:anchorId="219BCBDC" wp14:editId="70E87B41">
                <wp:simplePos x="0" y="0"/>
                <wp:positionH relativeFrom="column">
                  <wp:posOffset>-34290</wp:posOffset>
                </wp:positionH>
                <wp:positionV relativeFrom="paragraph">
                  <wp:posOffset>86360</wp:posOffset>
                </wp:positionV>
                <wp:extent cx="5440680" cy="1485900"/>
                <wp:effectExtent l="13335" t="12065" r="13335" b="6985"/>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485900"/>
                        </a:xfrm>
                        <a:prstGeom prst="roundRect">
                          <a:avLst>
                            <a:gd name="adj" fmla="val 16667"/>
                          </a:avLst>
                        </a:prstGeom>
                        <a:solidFill>
                          <a:srgbClr val="DDDDDD"/>
                        </a:solidFill>
                        <a:ln w="9525">
                          <a:solidFill>
                            <a:srgbClr val="000000"/>
                          </a:solidFill>
                          <a:round/>
                          <a:headEnd/>
                          <a:tailEnd/>
                        </a:ln>
                      </wps:spPr>
                      <wps:txbx>
                        <w:txbxContent>
                          <w:p w14:paraId="41AF50C3" w14:textId="77777777" w:rsidR="00CD27CE" w:rsidRPr="002419A9" w:rsidRDefault="00CD27CE" w:rsidP="00D875CD">
                            <w:pPr>
                              <w:pStyle w:val="Ttulo1"/>
                              <w:numPr>
                                <w:ilvl w:val="0"/>
                                <w:numId w:val="0"/>
                              </w:numPr>
                              <w:ind w:left="360"/>
                              <w:jc w:val="both"/>
                              <w:rPr>
                                <w:b w:val="0"/>
                                <w:sz w:val="28"/>
                              </w:rPr>
                            </w:pPr>
                            <w:r w:rsidRPr="002419A9">
                              <w:rPr>
                                <w:sz w:val="28"/>
                              </w:rPr>
                              <w:t>INFORME DE PROMOTUR TURISMO CANARIAS, S.A., RELATIVO AL CUMPLIMIENTO DE LAS OBLIGACIONES DE CARÁCTER ECONÓMICO-FINANCIERO QUE ASUME ESTA EMPRESA PÚBLICA COMO CONSECUENCIA DE SU PERTENENCIA AL SECTOR PÚBLICO DURANTE EL EJERCICIO 201</w:t>
                            </w:r>
                            <w:r w:rsidR="00D875CD">
                              <w:rPr>
                                <w:sz w:val="28"/>
                              </w:rPr>
                              <w:t>9</w:t>
                            </w:r>
                          </w:p>
                          <w:p w14:paraId="7DBA2E11" w14:textId="77777777" w:rsidR="00CD27CE" w:rsidRPr="00A34096" w:rsidRDefault="00CD27CE" w:rsidP="00CD2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5A0142" id="Rectángulo: esquinas redondeadas 2" o:spid="_x0000_s1026" style="position:absolute;margin-left:-2.7pt;margin-top:6.8pt;width:42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" fillcolor="#ddd">
                <v:textbox>
                  <w:txbxContent>
                    <w:p w:rsidR="00CD27CE" w:rsidRPr="002419A9" w:rsidRDefault="00CD27CE" w:rsidP="00D875CD">
                      <w:pPr>
                        <w:pStyle w:val="Ttulo1"/>
                        <w:numPr>
                          <w:ilvl w:val="0"/>
                          <w:numId w:val="0"/>
                        </w:numPr>
                        <w:ind w:left="360"/>
                        <w:jc w:val="both"/>
                        <w:rPr>
                          <w:b w:val="0"/>
                          <w:sz w:val="28"/>
                        </w:rPr>
                      </w:pPr>
                      <w:r w:rsidRPr="002419A9">
                        <w:rPr>
                          <w:sz w:val="28"/>
                        </w:rPr>
                        <w:t>INFORME DE PROMOTUR TURISMO CANARIAS, S.A., RELATIVO AL CUMPLIMIENTO DE LAS OBLIGACIONES DE CARÁCTER ECONÓMICO-FINANCIERO QUE ASUME ESTA EMPRESA PÚBLICA COMO CONSECUENCIA DE SU PERTENENCIA AL SECTOR PÚBLICO DURANTE EL EJERCICIO 201</w:t>
                      </w:r>
                      <w:r w:rsidR="00D875CD">
                        <w:rPr>
                          <w:sz w:val="28"/>
                        </w:rPr>
                        <w:t>9</w:t>
                      </w:r>
                    </w:p>
                    <w:p w:rsidR="00CD27CE" w:rsidRPr="00A34096" w:rsidRDefault="00CD27CE" w:rsidP="00CD27CE"/>
                  </w:txbxContent>
                </v:textbox>
              </v:roundrect>
            </w:pict>
          </mc:Fallback>
        </mc:AlternateContent>
      </w:r>
    </w:p>
    <w:p w14:paraId="2E98504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44B6D1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A4BA8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695EA6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04F0F6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40F621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D32437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C5276B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2A1C99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3C0523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41FF5E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92A8A6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00C23D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C82FE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6E24BE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28652A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61DAEE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BCCA74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539CE7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B39C1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678739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5F7B2D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A94980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19A228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12BA64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295E63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BAD239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3B5BB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C3AE2C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A1B085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A1CE5B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1A4DEE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D089D82"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E8F70A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FE163D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4C069F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4AE7642"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3FBA50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7F702B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A2F118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AC017A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65715B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5E8D6F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08C62A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920"/>
        </w:tabs>
        <w:outlineLvl w:val="9"/>
        <w:rPr>
          <w:rFonts w:ascii="Times" w:eastAsia="Times" w:hAnsi="Times" w:cs="Times New Roman"/>
          <w:b/>
          <w:color w:val="auto"/>
          <w:szCs w:val="20"/>
          <w:bdr w:val="none" w:sz="0" w:space="0" w:color="auto"/>
          <w:lang w:val="es-ES_tradnl" w:eastAsia="es-ES"/>
        </w:rPr>
      </w:pPr>
      <w:r w:rsidRPr="00CD27CE">
        <w:rPr>
          <w:rFonts w:ascii="Times" w:eastAsia="Times" w:hAnsi="Times" w:cs="Times New Roman"/>
          <w:b/>
          <w:color w:val="auto"/>
          <w:szCs w:val="20"/>
          <w:bdr w:val="none" w:sz="0" w:space="0" w:color="auto"/>
          <w:lang w:val="es-ES_tradnl" w:eastAsia="es-ES"/>
        </w:rPr>
        <w:t xml:space="preserve">                                                    INDICE</w:t>
      </w:r>
      <w:r w:rsidRPr="00CD27CE">
        <w:rPr>
          <w:rFonts w:ascii="Times" w:eastAsia="Times" w:hAnsi="Times" w:cs="Times New Roman"/>
          <w:b/>
          <w:color w:val="auto"/>
          <w:szCs w:val="20"/>
          <w:bdr w:val="none" w:sz="0" w:space="0" w:color="auto"/>
          <w:lang w:val="es-ES_tradnl" w:eastAsia="es-ES"/>
        </w:rPr>
        <w:tab/>
        <w:t>PAG</w:t>
      </w:r>
    </w:p>
    <w:p w14:paraId="04B18A1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920"/>
        </w:tabs>
        <w:outlineLvl w:val="9"/>
        <w:rPr>
          <w:rFonts w:ascii="Times" w:eastAsia="Times" w:hAnsi="Times" w:cs="Times New Roman"/>
          <w:b/>
          <w:color w:val="auto"/>
          <w:szCs w:val="20"/>
          <w:bdr w:val="none" w:sz="0" w:space="0" w:color="auto"/>
          <w:lang w:val="es-ES_tradnl" w:eastAsia="es-ES"/>
        </w:rPr>
      </w:pPr>
    </w:p>
    <w:p w14:paraId="2A0B840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920"/>
        </w:tabs>
        <w:outlineLvl w:val="9"/>
        <w:rPr>
          <w:rFonts w:ascii="Times" w:eastAsia="Times" w:hAnsi="Times" w:cs="Times New Roman"/>
          <w:b/>
          <w:color w:val="auto"/>
          <w:szCs w:val="20"/>
          <w:bdr w:val="none" w:sz="0" w:space="0" w:color="auto"/>
          <w:lang w:val="es-ES_tradnl" w:eastAsia="es-ES"/>
        </w:rPr>
      </w:pPr>
    </w:p>
    <w:p w14:paraId="16D3C03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outlineLvl w:val="9"/>
        <w:rPr>
          <w:rFonts w:ascii="Times" w:eastAsia="Times" w:hAnsi="Times" w:cs="Times New Roman"/>
          <w:b/>
          <w:color w:val="auto"/>
          <w:szCs w:val="20"/>
          <w:bdr w:val="none" w:sz="0" w:space="0" w:color="auto"/>
          <w:lang w:val="es-ES_tradnl" w:eastAsia="es-ES"/>
        </w:rPr>
      </w:pPr>
      <w:r w:rsidRPr="00CD27CE">
        <w:rPr>
          <w:rFonts w:ascii="Times" w:eastAsia="Times" w:hAnsi="Times" w:cs="Times New Roman"/>
          <w:b/>
          <w:color w:val="auto"/>
          <w:szCs w:val="20"/>
          <w:bdr w:val="none" w:sz="0" w:space="0" w:color="auto"/>
          <w:lang w:val="es-ES_tradnl" w:eastAsia="es-ES"/>
        </w:rPr>
        <w:t>Introducción</w:t>
      </w:r>
      <w:r w:rsidRPr="00CD27CE">
        <w:rPr>
          <w:rFonts w:ascii="Times" w:eastAsia="Times" w:hAnsi="Times" w:cs="Times New Roman"/>
          <w:b/>
          <w:color w:val="auto"/>
          <w:szCs w:val="20"/>
          <w:bdr w:val="none" w:sz="0" w:space="0" w:color="auto"/>
          <w:lang w:val="es-ES_tradnl" w:eastAsia="es-ES"/>
        </w:rPr>
        <w:tab/>
        <w:t>3</w:t>
      </w:r>
    </w:p>
    <w:p w14:paraId="54815A5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1729D96" w14:textId="77777777"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692"/>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de carácter presupuestario.</w:t>
      </w:r>
      <w:r w:rsidRPr="00CD27CE">
        <w:rPr>
          <w:rFonts w:ascii="Times" w:eastAsia="Times" w:hAnsi="Times" w:cs="Times New Roman"/>
          <w:color w:val="auto"/>
          <w:szCs w:val="20"/>
          <w:bdr w:val="none" w:sz="0" w:space="0" w:color="auto"/>
          <w:lang w:val="es-ES_tradnl" w:eastAsia="es-ES"/>
        </w:rPr>
        <w:tab/>
        <w:t>4</w:t>
      </w:r>
    </w:p>
    <w:p w14:paraId="251433E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left="-540" w:right="2744"/>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ab/>
      </w:r>
    </w:p>
    <w:p w14:paraId="1317BF12" w14:textId="77777777"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 xml:space="preserve">Información relativa a la ejecución de los contratos-programa, convenios, encomiendas, aportaciones dinerarias y subvenciones y su grado de cumplimiento. </w:t>
      </w:r>
      <w:r w:rsidRPr="00CD27CE">
        <w:rPr>
          <w:rFonts w:ascii="Times" w:eastAsia="Times" w:hAnsi="Times" w:cs="Times New Roman"/>
          <w:color w:val="auto"/>
          <w:szCs w:val="20"/>
          <w:bdr w:val="none" w:sz="0" w:space="0" w:color="auto"/>
          <w:lang w:val="es-ES_tradnl" w:eastAsia="es-ES"/>
        </w:rPr>
        <w:tab/>
      </w:r>
      <w:r w:rsidR="00BB3F72">
        <w:rPr>
          <w:rFonts w:ascii="Times" w:eastAsia="Times" w:hAnsi="Times" w:cs="Times New Roman"/>
          <w:color w:val="auto"/>
          <w:szCs w:val="20"/>
          <w:bdr w:val="none" w:sz="0" w:space="0" w:color="auto"/>
          <w:lang w:val="es-ES_tradnl" w:eastAsia="es-ES"/>
        </w:rPr>
        <w:t>8</w:t>
      </w:r>
      <w:r w:rsidRPr="00CD27CE">
        <w:rPr>
          <w:rFonts w:ascii="Times" w:eastAsia="Times" w:hAnsi="Times" w:cs="Times New Roman"/>
          <w:color w:val="auto"/>
          <w:szCs w:val="20"/>
          <w:bdr w:val="none" w:sz="0" w:space="0" w:color="auto"/>
          <w:lang w:val="es-ES_tradnl" w:eastAsia="es-ES"/>
        </w:rPr>
        <w:tab/>
      </w:r>
      <w:r w:rsidRPr="00CD27CE">
        <w:rPr>
          <w:rFonts w:ascii="Times" w:eastAsia="Times" w:hAnsi="Times" w:cs="Times New Roman"/>
          <w:color w:val="auto"/>
          <w:szCs w:val="20"/>
          <w:bdr w:val="none" w:sz="0" w:space="0" w:color="auto"/>
          <w:lang w:val="es-ES_tradnl" w:eastAsia="es-ES"/>
        </w:rPr>
        <w:tab/>
      </w:r>
    </w:p>
    <w:p w14:paraId="1109E39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outlineLvl w:val="9"/>
        <w:rPr>
          <w:rFonts w:ascii="Times" w:eastAsia="Times" w:hAnsi="Times" w:cs="Times New Roman"/>
          <w:color w:val="auto"/>
          <w:szCs w:val="20"/>
          <w:bdr w:val="none" w:sz="0" w:space="0" w:color="auto"/>
          <w:lang w:val="es-ES_tradnl" w:eastAsia="es-ES"/>
        </w:rPr>
      </w:pPr>
    </w:p>
    <w:p w14:paraId="436C7247" w14:textId="77777777"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 xml:space="preserve">Información relativa al cumplimiento de la normativa en materia de contratación que han de cumplir las entidades del sector público. </w:t>
      </w:r>
      <w:r w:rsidRPr="00CD27CE">
        <w:rPr>
          <w:rFonts w:ascii="Times" w:eastAsia="Times" w:hAnsi="Times" w:cs="Times New Roman"/>
          <w:color w:val="auto"/>
          <w:szCs w:val="20"/>
          <w:bdr w:val="none" w:sz="0" w:space="0" w:color="auto"/>
          <w:lang w:val="es-ES_tradnl" w:eastAsia="es-ES"/>
        </w:rPr>
        <w:tab/>
      </w:r>
      <w:r w:rsidR="00BB3F72">
        <w:rPr>
          <w:rFonts w:ascii="Times" w:eastAsia="Times" w:hAnsi="Times" w:cs="Times New Roman"/>
          <w:color w:val="auto"/>
          <w:szCs w:val="20"/>
          <w:bdr w:val="none" w:sz="0" w:space="0" w:color="auto"/>
          <w:lang w:val="es-ES_tradnl" w:eastAsia="es-ES"/>
        </w:rPr>
        <w:t>8</w:t>
      </w:r>
      <w:r w:rsidRPr="00CD27CE">
        <w:rPr>
          <w:rFonts w:ascii="Times" w:eastAsia="Times" w:hAnsi="Times" w:cs="Times New Roman"/>
          <w:color w:val="auto"/>
          <w:szCs w:val="20"/>
          <w:bdr w:val="none" w:sz="0" w:space="0" w:color="auto"/>
          <w:lang w:val="es-ES_tradnl" w:eastAsia="es-ES"/>
        </w:rPr>
        <w:tab/>
      </w:r>
    </w:p>
    <w:p w14:paraId="3268F74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p>
    <w:p w14:paraId="7FE25885" w14:textId="3C0C2830"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garantías recibidas.</w:t>
      </w:r>
      <w:r w:rsidRPr="00CD27CE">
        <w:rPr>
          <w:rFonts w:ascii="Times" w:eastAsia="Times" w:hAnsi="Times" w:cs="Times New Roman"/>
          <w:color w:val="auto"/>
          <w:szCs w:val="20"/>
          <w:bdr w:val="none" w:sz="0" w:space="0" w:color="auto"/>
          <w:lang w:val="es-ES_tradnl" w:eastAsia="es-ES"/>
        </w:rPr>
        <w:tab/>
      </w:r>
      <w:r w:rsidR="00D053E6">
        <w:rPr>
          <w:rFonts w:ascii="Times" w:eastAsia="Times" w:hAnsi="Times" w:cs="Times New Roman"/>
          <w:color w:val="auto"/>
          <w:szCs w:val="20"/>
          <w:bdr w:val="none" w:sz="0" w:space="0" w:color="auto"/>
          <w:lang w:val="es-ES_tradnl" w:eastAsia="es-ES"/>
        </w:rPr>
        <w:t>9</w:t>
      </w:r>
    </w:p>
    <w:p w14:paraId="296AD35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left="-540" w:right="2744"/>
        <w:outlineLvl w:val="9"/>
        <w:rPr>
          <w:rFonts w:ascii="Times" w:eastAsia="Times" w:hAnsi="Times" w:cs="Times New Roman"/>
          <w:color w:val="auto"/>
          <w:szCs w:val="20"/>
          <w:bdr w:val="none" w:sz="0" w:space="0" w:color="auto"/>
          <w:lang w:val="es-ES_tradnl" w:eastAsia="es-ES"/>
        </w:rPr>
      </w:pPr>
    </w:p>
    <w:p w14:paraId="023A6F2D" w14:textId="794A3B43"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personal.</w:t>
      </w:r>
      <w:r w:rsidRPr="00CD27CE">
        <w:rPr>
          <w:rFonts w:ascii="Times" w:eastAsia="Times" w:hAnsi="Times" w:cs="Times New Roman"/>
          <w:color w:val="auto"/>
          <w:szCs w:val="20"/>
          <w:bdr w:val="none" w:sz="0" w:space="0" w:color="auto"/>
          <w:lang w:val="es-ES_tradnl" w:eastAsia="es-ES"/>
        </w:rPr>
        <w:tab/>
      </w:r>
      <w:r w:rsidR="00D053E6">
        <w:rPr>
          <w:rFonts w:ascii="Times" w:eastAsia="Times" w:hAnsi="Times" w:cs="Times New Roman"/>
          <w:color w:val="auto"/>
          <w:szCs w:val="20"/>
          <w:bdr w:val="none" w:sz="0" w:space="0" w:color="auto"/>
          <w:lang w:val="es-ES_tradnl" w:eastAsia="es-ES"/>
        </w:rPr>
        <w:t>9</w:t>
      </w:r>
    </w:p>
    <w:p w14:paraId="16C7B82A" w14:textId="77777777" w:rsidR="00CD27CE" w:rsidRPr="00CD27CE" w:rsidRDefault="00CD27CE" w:rsidP="00CD27CE">
      <w:pPr>
        <w:ind w:left="720"/>
        <w:outlineLvl w:val="9"/>
        <w:rPr>
          <w:rFonts w:ascii="Cambria" w:hAnsi="Cambria" w:cs="Cambria"/>
          <w:lang w:val="es-ES_tradnl"/>
        </w:rPr>
      </w:pPr>
    </w:p>
    <w:p w14:paraId="06F0DA30" w14:textId="6C9FB222"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los ingresos por ventas y/o prestaciones de servicios de la entidad.</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0</w:t>
      </w:r>
    </w:p>
    <w:p w14:paraId="60EF0D05" w14:textId="77777777" w:rsidR="00CD27CE" w:rsidRPr="00CD27CE" w:rsidRDefault="00CD27CE" w:rsidP="00CD27CE">
      <w:pPr>
        <w:ind w:left="720"/>
        <w:outlineLvl w:val="9"/>
        <w:rPr>
          <w:rFonts w:ascii="Cambria" w:hAnsi="Cambria" w:cs="Cambria"/>
          <w:lang w:val="es-ES_tradnl"/>
        </w:rPr>
      </w:pPr>
    </w:p>
    <w:p w14:paraId="4DD371C0" w14:textId="1C7C45A5"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las operaciones financieras.</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0</w:t>
      </w:r>
    </w:p>
    <w:p w14:paraId="43BFB308" w14:textId="77777777" w:rsidR="00CD27CE" w:rsidRPr="00CD27CE" w:rsidRDefault="00CD27CE" w:rsidP="00CD27CE">
      <w:pPr>
        <w:ind w:left="720"/>
        <w:outlineLvl w:val="9"/>
        <w:rPr>
          <w:rFonts w:ascii="Cambria" w:hAnsi="Cambria" w:cs="Cambria"/>
          <w:lang w:val="es-ES_tradnl"/>
        </w:rPr>
      </w:pPr>
    </w:p>
    <w:p w14:paraId="2C442368" w14:textId="20439F91"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el Plan económico-financiero de saneamiento a medio plazo como consecuencia de situaciones de desequilibrio presupuestario.</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0</w:t>
      </w:r>
    </w:p>
    <w:p w14:paraId="4D0F1D07" w14:textId="77777777" w:rsidR="00CD27CE" w:rsidRPr="00CD27CE" w:rsidRDefault="00CD27CE" w:rsidP="00CD27CE">
      <w:pPr>
        <w:ind w:left="720"/>
        <w:outlineLvl w:val="9"/>
        <w:rPr>
          <w:rFonts w:ascii="Cambria" w:hAnsi="Cambria" w:cs="Cambria"/>
          <w:lang w:val="es-ES_tradnl"/>
        </w:rPr>
      </w:pPr>
    </w:p>
    <w:p w14:paraId="57D983FC" w14:textId="78D02F64"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Proyección al cierre del ejercicio siguiente.</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1</w:t>
      </w:r>
    </w:p>
    <w:p w14:paraId="4EA950B5" w14:textId="77777777" w:rsidR="00CD27CE" w:rsidRPr="00CD27CE" w:rsidRDefault="00CD27CE" w:rsidP="00CD27CE">
      <w:pPr>
        <w:ind w:left="720"/>
        <w:outlineLvl w:val="9"/>
        <w:rPr>
          <w:rFonts w:ascii="Cambria" w:hAnsi="Cambria" w:cs="Cambria"/>
          <w:lang w:val="es-ES_tradnl"/>
        </w:rPr>
      </w:pPr>
    </w:p>
    <w:p w14:paraId="508A1AC0" w14:textId="3C26375B"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objetivos e indicadores de gestión.</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1</w:t>
      </w:r>
    </w:p>
    <w:p w14:paraId="5D31204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left="-540" w:right="2744"/>
        <w:outlineLvl w:val="9"/>
        <w:rPr>
          <w:rFonts w:ascii="Times" w:eastAsia="Times" w:hAnsi="Times" w:cs="Times New Roman"/>
          <w:color w:val="auto"/>
          <w:szCs w:val="20"/>
          <w:bdr w:val="none" w:sz="0" w:space="0" w:color="auto"/>
          <w:lang w:val="es-ES_tradnl" w:eastAsia="es-ES"/>
        </w:rPr>
      </w:pPr>
    </w:p>
    <w:p w14:paraId="40B0062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num" w:pos="-180"/>
        </w:tabs>
        <w:ind w:left="-180"/>
        <w:outlineLvl w:val="9"/>
        <w:rPr>
          <w:rFonts w:ascii="Times" w:eastAsia="Times" w:hAnsi="Times" w:cs="Times New Roman"/>
          <w:color w:val="auto"/>
          <w:szCs w:val="20"/>
          <w:bdr w:val="none" w:sz="0" w:space="0" w:color="auto"/>
          <w:lang w:val="es-ES_tradnl" w:eastAsia="es-ES"/>
        </w:rPr>
      </w:pPr>
    </w:p>
    <w:p w14:paraId="3BE9EA0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7C2F34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CFC504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6A15B7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73E8E4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5E49CB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E5D2CC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78B209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F6DFC2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b/>
          <w:color w:val="auto"/>
          <w:szCs w:val="20"/>
          <w:bdr w:val="none" w:sz="0" w:space="0" w:color="auto"/>
          <w:lang w:val="es-ES_tradnl" w:eastAsia="es-ES"/>
        </w:rPr>
      </w:pPr>
    </w:p>
    <w:p w14:paraId="096E251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b/>
          <w:color w:val="auto"/>
          <w:szCs w:val="20"/>
          <w:bdr w:val="none" w:sz="0" w:space="0" w:color="auto"/>
          <w:lang w:val="es-ES_tradnl" w:eastAsia="es-ES"/>
        </w:rPr>
      </w:pPr>
    </w:p>
    <w:p w14:paraId="6192293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b/>
          <w:color w:val="auto"/>
          <w:szCs w:val="20"/>
          <w:bdr w:val="none" w:sz="0" w:space="0" w:color="auto"/>
          <w:lang w:val="es-ES_tradnl" w:eastAsia="es-ES"/>
        </w:rPr>
      </w:pPr>
      <w:r w:rsidRPr="00CD27CE">
        <w:rPr>
          <w:rFonts w:ascii="Times" w:eastAsia="Times" w:hAnsi="Times" w:cs="Times New Roman"/>
          <w:b/>
          <w:color w:val="auto"/>
          <w:szCs w:val="20"/>
          <w:bdr w:val="none" w:sz="0" w:space="0" w:color="auto"/>
          <w:lang w:val="es-ES_tradnl" w:eastAsia="es-ES"/>
        </w:rPr>
        <w:tab/>
        <w:t>INTRODUCCIÓN</w:t>
      </w:r>
    </w:p>
    <w:p w14:paraId="3F44FE5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4DE7978" w14:textId="77777777" w:rsidR="00CD27CE" w:rsidRPr="00CD27CE" w:rsidRDefault="00CD27CE" w:rsidP="00CD27C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imes New Roman" w:eastAsia="Times New Roman" w:hAnsi="Times New Roman" w:cs="Times New Roman"/>
          <w:snapToGrid w:val="0"/>
          <w:color w:val="auto"/>
          <w:sz w:val="28"/>
          <w:szCs w:val="28"/>
          <w:bdr w:val="none" w:sz="0" w:space="0" w:color="auto"/>
          <w:lang w:val="es-ES_tradnl" w:eastAsia="es-ES"/>
        </w:rPr>
      </w:pPr>
      <w:r w:rsidRPr="00CD27CE">
        <w:rPr>
          <w:rFonts w:ascii="Times New Roman" w:eastAsia="Times New Roman" w:hAnsi="Times New Roman" w:cs="Times New Roman"/>
          <w:snapToGrid w:val="0"/>
          <w:color w:val="auto"/>
          <w:sz w:val="28"/>
          <w:szCs w:val="28"/>
          <w:bdr w:val="none" w:sz="0" w:space="0" w:color="auto"/>
          <w:lang w:val="es-ES_tradnl" w:eastAsia="es-ES"/>
        </w:rPr>
        <w:tab/>
        <w:t xml:space="preserve">El presente informe se realiza de conformidad con lo previsto </w:t>
      </w:r>
      <w:r w:rsidRPr="00CD27CE">
        <w:rPr>
          <w:rFonts w:ascii="Times New Roman" w:eastAsia="Times New Roman" w:hAnsi="Times New Roman" w:cs="Times New Roman"/>
          <w:snapToGrid w:val="0"/>
          <w:color w:val="auto"/>
          <w:sz w:val="28"/>
          <w:szCs w:val="28"/>
          <w:bdr w:val="none" w:sz="0" w:space="0" w:color="auto"/>
          <w:lang w:val="es-ES_tradnl" w:eastAsia="es-ES"/>
        </w:rPr>
        <w:tab/>
        <w:t xml:space="preserve">en la Ley 11/2006, de 11 de diciembre, de </w:t>
      </w:r>
      <w:smartTag w:uri="urn:schemas-microsoft-com:office:smarttags" w:element="PersonName">
        <w:smartTagPr>
          <w:attr w:name="ProductID" w:val="la Hacienda P￺blica  Canaria"/>
        </w:smartTagPr>
        <w:r w:rsidRPr="00CD27CE">
          <w:rPr>
            <w:rFonts w:ascii="Times New Roman" w:eastAsia="Times New Roman" w:hAnsi="Times New Roman" w:cs="Times New Roman"/>
            <w:snapToGrid w:val="0"/>
            <w:color w:val="auto"/>
            <w:sz w:val="28"/>
            <w:szCs w:val="28"/>
            <w:bdr w:val="none" w:sz="0" w:space="0" w:color="auto"/>
            <w:lang w:val="es-ES_tradnl" w:eastAsia="es-ES"/>
          </w:rPr>
          <w:t xml:space="preserve">la Hacienda Pública </w:t>
        </w:r>
        <w:r w:rsidRPr="00CD27CE">
          <w:rPr>
            <w:rFonts w:ascii="Times New Roman" w:eastAsia="Times New Roman" w:hAnsi="Times New Roman" w:cs="Times New Roman"/>
            <w:snapToGrid w:val="0"/>
            <w:color w:val="auto"/>
            <w:sz w:val="28"/>
            <w:szCs w:val="28"/>
            <w:bdr w:val="none" w:sz="0" w:space="0" w:color="auto"/>
            <w:lang w:val="es-ES_tradnl" w:eastAsia="es-ES"/>
          </w:rPr>
          <w:tab/>
          <w:t>Canaria</w:t>
        </w:r>
      </w:smartTag>
      <w:r w:rsidRPr="00CD27CE">
        <w:rPr>
          <w:rFonts w:ascii="Times New Roman" w:eastAsia="Times New Roman" w:hAnsi="Times New Roman" w:cs="Times New Roman"/>
          <w:snapToGrid w:val="0"/>
          <w:color w:val="auto"/>
          <w:sz w:val="28"/>
          <w:szCs w:val="28"/>
          <w:bdr w:val="none" w:sz="0" w:space="0" w:color="auto"/>
          <w:lang w:val="es-ES_tradnl" w:eastAsia="es-ES"/>
        </w:rPr>
        <w:t xml:space="preserve">, que establece en su artículo 116.3 que: </w:t>
      </w:r>
      <w:r w:rsidRPr="00CD27CE">
        <w:rPr>
          <w:rFonts w:ascii="Times New Roman" w:eastAsia="Times New Roman" w:hAnsi="Times New Roman" w:cs="Times New Roman"/>
          <w:i/>
          <w:snapToGrid w:val="0"/>
          <w:color w:val="auto"/>
          <w:sz w:val="28"/>
          <w:szCs w:val="28"/>
          <w:bdr w:val="none" w:sz="0" w:space="0" w:color="auto"/>
          <w:lang w:val="es-ES_tradnl" w:eastAsia="es-ES"/>
        </w:rPr>
        <w:t xml:space="preserve">“Las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sociedades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mercantiles públicas, las entidades públicas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empresariales y el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resto de entes del sector público sometidos a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los principios y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normas de contabilidad recogidos en el Plan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General de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Contabilidad de la empresa española y las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fundaciones del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sector público autonómico, presentarán,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junto con las cuentas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anuales, un informe relativo al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cumplimiento de las </w:t>
      </w:r>
      <w:r w:rsidRPr="00CD27CE">
        <w:rPr>
          <w:rFonts w:ascii="Times New Roman" w:eastAsia="Times New Roman" w:hAnsi="Times New Roman" w:cs="Times New Roman"/>
          <w:i/>
          <w:snapToGrid w:val="0"/>
          <w:color w:val="auto"/>
          <w:sz w:val="28"/>
          <w:szCs w:val="28"/>
          <w:bdr w:val="none" w:sz="0" w:space="0" w:color="auto"/>
          <w:lang w:val="es-ES_tradnl" w:eastAsia="es-ES"/>
        </w:rPr>
        <w:tab/>
        <w:t>obligaciones de carácter económico-</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financiero que asumen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dichas entidades como consecuencia </w:t>
      </w:r>
      <w:r w:rsidRPr="00CD27CE">
        <w:rPr>
          <w:rFonts w:ascii="Times New Roman" w:eastAsia="Times New Roman" w:hAnsi="Times New Roman" w:cs="Times New Roman"/>
          <w:i/>
          <w:snapToGrid w:val="0"/>
          <w:color w:val="auto"/>
          <w:sz w:val="28"/>
          <w:szCs w:val="28"/>
          <w:bdr w:val="none" w:sz="0" w:space="0" w:color="auto"/>
          <w:lang w:val="es-ES_tradnl" w:eastAsia="es-ES"/>
        </w:rPr>
        <w:tab/>
        <w:t>de su pertenencia al sector público”.</w:t>
      </w:r>
      <w:r w:rsidRPr="00CD27CE">
        <w:rPr>
          <w:rFonts w:ascii="Times New Roman" w:eastAsia="Times New Roman" w:hAnsi="Times New Roman" w:cs="Times New Roman"/>
          <w:snapToGrid w:val="0"/>
          <w:color w:val="auto"/>
          <w:sz w:val="28"/>
          <w:szCs w:val="28"/>
          <w:bdr w:val="none" w:sz="0" w:space="0" w:color="auto"/>
          <w:lang w:val="es-ES_tradnl" w:eastAsia="es-ES"/>
        </w:rPr>
        <w:t xml:space="preserve"> Este informe está </w:t>
      </w:r>
      <w:r w:rsidRPr="00CD27CE">
        <w:rPr>
          <w:rFonts w:ascii="Times New Roman" w:eastAsia="Times New Roman" w:hAnsi="Times New Roman" w:cs="Times New Roman"/>
          <w:snapToGrid w:val="0"/>
          <w:color w:val="auto"/>
          <w:sz w:val="28"/>
          <w:szCs w:val="28"/>
          <w:bdr w:val="none" w:sz="0" w:space="0" w:color="auto"/>
          <w:lang w:val="es-ES_tradnl" w:eastAsia="es-ES"/>
        </w:rPr>
        <w:tab/>
        <w:t>referido al ejercicio 201</w:t>
      </w:r>
      <w:r w:rsidR="009E43BB">
        <w:rPr>
          <w:rFonts w:ascii="Times New Roman" w:eastAsia="Times New Roman" w:hAnsi="Times New Roman" w:cs="Times New Roman"/>
          <w:snapToGrid w:val="0"/>
          <w:color w:val="auto"/>
          <w:sz w:val="28"/>
          <w:szCs w:val="28"/>
          <w:bdr w:val="none" w:sz="0" w:space="0" w:color="auto"/>
          <w:lang w:val="es-ES_tradnl" w:eastAsia="es-ES"/>
        </w:rPr>
        <w:t>9</w:t>
      </w:r>
      <w:r w:rsidRPr="00CD27CE">
        <w:rPr>
          <w:rFonts w:ascii="Times New Roman" w:eastAsia="Times New Roman" w:hAnsi="Times New Roman" w:cs="Times New Roman"/>
          <w:snapToGrid w:val="0"/>
          <w:color w:val="auto"/>
          <w:sz w:val="28"/>
          <w:szCs w:val="28"/>
          <w:bdr w:val="none" w:sz="0" w:space="0" w:color="auto"/>
          <w:lang w:val="es-ES_tradnl" w:eastAsia="es-ES"/>
        </w:rPr>
        <w:t xml:space="preserve">. </w:t>
      </w:r>
    </w:p>
    <w:p w14:paraId="75E6C1F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ascii="Times" w:eastAsia="Times" w:hAnsi="Times" w:cs="Times New Roman"/>
          <w:color w:val="auto"/>
          <w:sz w:val="28"/>
          <w:szCs w:val="28"/>
          <w:bdr w:val="none" w:sz="0" w:space="0" w:color="auto"/>
          <w:lang w:val="es-ES_tradnl" w:eastAsia="es-ES"/>
        </w:rPr>
      </w:pPr>
    </w:p>
    <w:p w14:paraId="30AC049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jc w:val="both"/>
        <w:textAlignment w:val="baseline"/>
        <w:outlineLvl w:val="9"/>
        <w:rPr>
          <w:rFonts w:ascii="Times New Roman" w:eastAsia="Times New Roman" w:hAnsi="Times New Roman" w:cs="Times New Roman"/>
          <w:color w:val="auto"/>
          <w:sz w:val="28"/>
          <w:szCs w:val="28"/>
          <w:bdr w:val="none" w:sz="0" w:space="0" w:color="auto"/>
          <w:lang w:eastAsia="es-ES"/>
        </w:rPr>
      </w:pPr>
    </w:p>
    <w:p w14:paraId="5239B37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AA660B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ascii="Times" w:eastAsia="Times" w:hAnsi="Times" w:cs="Times New Roman"/>
          <w:color w:val="auto"/>
          <w:sz w:val="28"/>
          <w:szCs w:val="28"/>
          <w:bdr w:val="none" w:sz="0" w:space="0" w:color="auto"/>
          <w:lang w:val="es-ES_tradnl" w:eastAsia="es-ES"/>
        </w:rPr>
      </w:pPr>
    </w:p>
    <w:p w14:paraId="2BD9958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549A98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FA030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351F81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AA80D3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10801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00E4B7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F720A1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4FA09D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758761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7B81DC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D5B8D8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C52126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399758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13F848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CCC14D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C49832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B396EB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58825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F8D687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EECCEA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DBFE1F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4B79C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B8C5722"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1F78CE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lastRenderedPageBreak/>
        <w:t>A) Información de carácter presupuestario</w:t>
      </w:r>
    </w:p>
    <w:p w14:paraId="60E4E2F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p>
    <w:p w14:paraId="47E4EDC9" w14:textId="77777777" w:rsidR="00CD27CE" w:rsidRPr="00CD27CE" w:rsidRDefault="00CD27CE" w:rsidP="00CD27C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Información relativa al programa de actuación plurianual</w:t>
      </w:r>
    </w:p>
    <w:p w14:paraId="348304B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color w:val="auto"/>
          <w:sz w:val="28"/>
          <w:szCs w:val="28"/>
          <w:bdr w:val="none" w:sz="0" w:space="0" w:color="auto"/>
          <w:lang w:val="es-ES_tradnl" w:eastAsia="es-ES"/>
        </w:rPr>
      </w:pPr>
    </w:p>
    <w:p w14:paraId="2159ED3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Esta empresa no está obligada a realizar los programas de actuación plurianual, de acuerdo con lo previsto en el artículo 29 de la Ley 11/2006, de 11 de diciembre, de la Hacienda Pública Canaria. </w:t>
      </w:r>
    </w:p>
    <w:p w14:paraId="11EE9BB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color w:val="auto"/>
          <w:sz w:val="28"/>
          <w:szCs w:val="28"/>
          <w:bdr w:val="none" w:sz="0" w:space="0" w:color="auto"/>
          <w:lang w:val="es-ES_tradnl" w:eastAsia="es-ES"/>
        </w:rPr>
      </w:pPr>
    </w:p>
    <w:p w14:paraId="09D9A16B" w14:textId="77777777" w:rsidR="00CD27CE" w:rsidRPr="00CD27CE" w:rsidRDefault="00CD27CE" w:rsidP="00CD27C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 xml:space="preserve">Información sobre la liquidación de los presupuestos de explotación y capital </w:t>
      </w:r>
    </w:p>
    <w:p w14:paraId="7D122DBB" w14:textId="77777777" w:rsidR="00CD27CE" w:rsidRPr="00CD27CE" w:rsidRDefault="00CD27CE" w:rsidP="00CD27CE">
      <w:pPr>
        <w:outlineLvl w:val="9"/>
        <w:rPr>
          <w:rFonts w:ascii="Cambria" w:hAnsi="Cambria" w:cs="Cambria"/>
          <w:sz w:val="28"/>
          <w:szCs w:val="28"/>
          <w:lang w:val="es-ES_tradnl"/>
        </w:rPr>
      </w:pPr>
    </w:p>
    <w:p w14:paraId="3D71510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PRESUPUESTO DE EXPLOTACIÓN (Anexo I.A)</w:t>
      </w:r>
    </w:p>
    <w:p w14:paraId="3F3F2BC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57F32C7"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8E3641">
        <w:rPr>
          <w:rFonts w:ascii="Times New Roman" w:eastAsia="Times New Roman" w:hAnsi="Times New Roman" w:cs="Times New Roman"/>
          <w:color w:val="auto"/>
          <w:sz w:val="28"/>
          <w:szCs w:val="28"/>
          <w:bdr w:val="none" w:sz="0" w:space="0" w:color="auto"/>
          <w:lang w:val="es-ES_tradnl"/>
        </w:rPr>
        <w:t>El m</w:t>
      </w:r>
      <w:r>
        <w:rPr>
          <w:rFonts w:ascii="Times New Roman" w:eastAsia="Times New Roman" w:hAnsi="Times New Roman" w:cs="Times New Roman"/>
          <w:color w:val="auto"/>
          <w:sz w:val="28"/>
          <w:szCs w:val="28"/>
          <w:bdr w:val="none" w:sz="0" w:space="0" w:color="auto"/>
          <w:lang w:val="es-ES_tradnl"/>
        </w:rPr>
        <w:t>ayor</w:t>
      </w:r>
      <w:r w:rsidRPr="008E3641">
        <w:rPr>
          <w:rFonts w:ascii="Times New Roman" w:eastAsia="Times New Roman" w:hAnsi="Times New Roman" w:cs="Times New Roman"/>
          <w:color w:val="auto"/>
          <w:sz w:val="28"/>
          <w:szCs w:val="28"/>
          <w:bdr w:val="none" w:sz="0" w:space="0" w:color="auto"/>
          <w:lang w:val="es-ES_tradnl"/>
        </w:rPr>
        <w:t xml:space="preserve"> importe en Prestaciones de servicios es debido a que </w:t>
      </w:r>
      <w:r>
        <w:rPr>
          <w:rFonts w:ascii="Times New Roman" w:eastAsia="Times New Roman" w:hAnsi="Times New Roman" w:cs="Times New Roman"/>
          <w:color w:val="auto"/>
          <w:sz w:val="28"/>
          <w:szCs w:val="28"/>
          <w:bdr w:val="none" w:sz="0" w:space="0" w:color="auto"/>
          <w:lang w:val="es-ES_tradnl"/>
        </w:rPr>
        <w:t xml:space="preserve">el Encargo para la Revisión y ampliación del Sistema de información de los distintos perfiles de turistas fue concedido por un importe superior al previsto en el PAIF. </w:t>
      </w:r>
    </w:p>
    <w:p w14:paraId="2BCBF30E"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4A38362E"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8E3641">
        <w:rPr>
          <w:rFonts w:ascii="Times New Roman" w:eastAsia="Times New Roman" w:hAnsi="Times New Roman" w:cs="Times New Roman"/>
          <w:color w:val="auto"/>
          <w:sz w:val="28"/>
          <w:szCs w:val="28"/>
          <w:bdr w:val="none" w:sz="0" w:space="0" w:color="auto"/>
          <w:lang w:val="es-ES_tradnl"/>
        </w:rPr>
        <w:t>El m</w:t>
      </w:r>
      <w:r>
        <w:rPr>
          <w:rFonts w:ascii="Times New Roman" w:eastAsia="Times New Roman" w:hAnsi="Times New Roman" w:cs="Times New Roman"/>
          <w:color w:val="auto"/>
          <w:sz w:val="28"/>
          <w:szCs w:val="28"/>
          <w:bdr w:val="none" w:sz="0" w:space="0" w:color="auto"/>
          <w:lang w:val="es-ES_tradnl"/>
        </w:rPr>
        <w:t>ay</w:t>
      </w:r>
      <w:r w:rsidRPr="008E3641">
        <w:rPr>
          <w:rFonts w:ascii="Times New Roman" w:eastAsia="Times New Roman" w:hAnsi="Times New Roman" w:cs="Times New Roman"/>
          <w:color w:val="auto"/>
          <w:sz w:val="28"/>
          <w:szCs w:val="28"/>
          <w:bdr w:val="none" w:sz="0" w:space="0" w:color="auto"/>
          <w:lang w:val="es-ES_tradnl"/>
        </w:rPr>
        <w:t xml:space="preserve">or importe en la partida de Aprovisionamientos se debe a que </w:t>
      </w:r>
      <w:r>
        <w:rPr>
          <w:rFonts w:ascii="Times New Roman" w:eastAsia="Times New Roman" w:hAnsi="Times New Roman" w:cs="Times New Roman"/>
          <w:color w:val="auto"/>
          <w:sz w:val="28"/>
          <w:szCs w:val="28"/>
          <w:bdr w:val="none" w:sz="0" w:space="0" w:color="auto"/>
          <w:lang w:val="es-ES_tradnl"/>
        </w:rPr>
        <w:t>se han realizado más gastos promocionales de los previstos, por la ampliación de 150.000,00 euros de la aportación dineraria para el desarrollo de la actividad promocional</w:t>
      </w:r>
      <w:r w:rsidRPr="008E3641">
        <w:rPr>
          <w:rFonts w:ascii="Times New Roman" w:eastAsia="Times New Roman" w:hAnsi="Times New Roman" w:cs="Times New Roman"/>
          <w:color w:val="auto"/>
          <w:sz w:val="28"/>
          <w:szCs w:val="28"/>
          <w:bdr w:val="none" w:sz="0" w:space="0" w:color="auto"/>
          <w:lang w:val="es-ES_tradnl"/>
        </w:rPr>
        <w:t xml:space="preserve">. </w:t>
      </w:r>
    </w:p>
    <w:p w14:paraId="6983513C"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6DD0526C"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8E3641">
        <w:rPr>
          <w:rFonts w:ascii="Times New Roman" w:eastAsia="Times New Roman" w:hAnsi="Times New Roman" w:cs="Times New Roman"/>
          <w:color w:val="auto"/>
          <w:sz w:val="28"/>
          <w:szCs w:val="28"/>
          <w:bdr w:val="none" w:sz="0" w:space="0" w:color="auto"/>
          <w:lang w:val="es-ES_tradnl"/>
        </w:rPr>
        <w:t>El mayor importe de Ingresos accesorios es debido a la facturación realizada a terceros con motivo de algunas Ferias.</w:t>
      </w:r>
    </w:p>
    <w:p w14:paraId="6BF6DB17"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783FE3E2" w14:textId="77777777" w:rsidR="00085E4C"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8E3641">
        <w:rPr>
          <w:rFonts w:ascii="Times New Roman" w:eastAsia="Times New Roman" w:hAnsi="Times New Roman" w:cs="Times New Roman"/>
          <w:color w:val="auto"/>
          <w:sz w:val="28"/>
          <w:szCs w:val="28"/>
          <w:bdr w:val="none" w:sz="0" w:space="0" w:color="auto"/>
          <w:lang w:val="es-ES_tradnl"/>
        </w:rPr>
        <w:t>En cuanto a la cifra de Subvenciones de explotación incorporadas al resultado del ejercicio, el mayor importe registrado se debe a una ampliación de 150.000,00 euros de la aportación dineraria para el desarrollo de la actividad promocional</w:t>
      </w:r>
      <w:r>
        <w:rPr>
          <w:rFonts w:ascii="Times New Roman" w:eastAsia="Times New Roman" w:hAnsi="Times New Roman" w:cs="Times New Roman"/>
          <w:color w:val="auto"/>
          <w:sz w:val="28"/>
          <w:szCs w:val="28"/>
          <w:bdr w:val="none" w:sz="0" w:space="0" w:color="auto"/>
          <w:lang w:val="es-ES_tradnl"/>
        </w:rPr>
        <w:t>.</w:t>
      </w:r>
    </w:p>
    <w:p w14:paraId="46164FE9" w14:textId="77777777" w:rsidR="00085E4C"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B5DF0">
        <w:rPr>
          <w:rFonts w:ascii="Times New Roman" w:eastAsia="Times New Roman" w:hAnsi="Times New Roman" w:cs="Times New Roman"/>
          <w:color w:val="auto"/>
          <w:sz w:val="28"/>
          <w:szCs w:val="28"/>
          <w:bdr w:val="none" w:sz="0" w:space="0" w:color="auto"/>
          <w:lang w:val="es-ES_tradnl"/>
        </w:rPr>
        <w:t>Todas las aportaciones dinerarias se ejecutaron en su totalidad</w:t>
      </w:r>
      <w:r>
        <w:rPr>
          <w:rFonts w:ascii="Times New Roman" w:eastAsia="Times New Roman" w:hAnsi="Times New Roman" w:cs="Times New Roman"/>
          <w:color w:val="auto"/>
          <w:sz w:val="28"/>
          <w:szCs w:val="28"/>
          <w:bdr w:val="none" w:sz="0" w:space="0" w:color="auto"/>
          <w:lang w:val="es-ES_tradnl"/>
        </w:rPr>
        <w:t>.</w:t>
      </w:r>
      <w:r w:rsidRPr="004B5DF0">
        <w:rPr>
          <w:rFonts w:ascii="Times New Roman" w:eastAsia="Times New Roman" w:hAnsi="Times New Roman" w:cs="Times New Roman"/>
          <w:color w:val="auto"/>
          <w:sz w:val="28"/>
          <w:szCs w:val="28"/>
          <w:bdr w:val="none" w:sz="0" w:space="0" w:color="auto"/>
          <w:lang w:val="es-ES_tradnl"/>
        </w:rPr>
        <w:t xml:space="preserve"> </w:t>
      </w:r>
    </w:p>
    <w:p w14:paraId="61046C64" w14:textId="77777777" w:rsidR="00085E4C"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01BF34DD"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bookmarkStart w:id="0" w:name="_Hlk37772209"/>
      <w:r w:rsidRPr="00466E90">
        <w:rPr>
          <w:rFonts w:ascii="Times New Roman" w:eastAsia="Times New Roman" w:hAnsi="Times New Roman" w:cs="Times New Roman"/>
          <w:color w:val="auto"/>
          <w:sz w:val="28"/>
          <w:szCs w:val="28"/>
          <w:bdr w:val="none" w:sz="0" w:space="0" w:color="auto"/>
          <w:lang w:val="es-ES_tradnl"/>
        </w:rPr>
        <w:t xml:space="preserve">El Gasto de Personal es ligeramente inferior al previsto en el PAIF. </w:t>
      </w:r>
      <w:r>
        <w:rPr>
          <w:rFonts w:ascii="Times New Roman" w:eastAsia="Times New Roman" w:hAnsi="Times New Roman" w:cs="Times New Roman"/>
          <w:color w:val="auto"/>
          <w:sz w:val="28"/>
          <w:szCs w:val="28"/>
          <w:bdr w:val="none" w:sz="0" w:space="0" w:color="auto"/>
          <w:lang w:val="es-ES_tradnl"/>
        </w:rPr>
        <w:t>Dentro de l</w:t>
      </w:r>
      <w:r w:rsidRPr="00466E90">
        <w:rPr>
          <w:rFonts w:ascii="Times New Roman" w:eastAsia="Times New Roman" w:hAnsi="Times New Roman" w:cs="Times New Roman"/>
          <w:color w:val="auto"/>
          <w:sz w:val="28"/>
          <w:szCs w:val="28"/>
          <w:bdr w:val="none" w:sz="0" w:space="0" w:color="auto"/>
          <w:lang w:val="es-ES_tradnl"/>
        </w:rPr>
        <w:t xml:space="preserve">os salarios </w:t>
      </w:r>
      <w:r>
        <w:rPr>
          <w:rFonts w:ascii="Times New Roman" w:eastAsia="Times New Roman" w:hAnsi="Times New Roman" w:cs="Times New Roman"/>
          <w:color w:val="auto"/>
          <w:sz w:val="28"/>
          <w:szCs w:val="28"/>
          <w:bdr w:val="none" w:sz="0" w:space="0" w:color="auto"/>
          <w:lang w:val="es-ES_tradnl"/>
        </w:rPr>
        <w:t>devengados está</w:t>
      </w:r>
      <w:r w:rsidRPr="00466E90">
        <w:rPr>
          <w:rFonts w:ascii="Times New Roman" w:eastAsia="Times New Roman" w:hAnsi="Times New Roman" w:cs="Times New Roman"/>
          <w:color w:val="auto"/>
          <w:sz w:val="28"/>
          <w:szCs w:val="28"/>
          <w:bdr w:val="none" w:sz="0" w:space="0" w:color="auto"/>
          <w:lang w:val="es-ES_tradnl"/>
        </w:rPr>
        <w:t xml:space="preserve"> la recuperación, desde el 1 de enero de 2019, del 5% del salario base, bolsa de vacaciones y plus de antigüedad, que fue reducido en el ejercicio 2010. </w:t>
      </w:r>
      <w:r>
        <w:rPr>
          <w:rFonts w:ascii="Times New Roman" w:eastAsia="Times New Roman" w:hAnsi="Times New Roman" w:cs="Times New Roman"/>
          <w:color w:val="auto"/>
          <w:sz w:val="28"/>
          <w:szCs w:val="28"/>
          <w:bdr w:val="none" w:sz="0" w:space="0" w:color="auto"/>
          <w:lang w:val="es-ES_tradnl"/>
        </w:rPr>
        <w:t xml:space="preserve">Esta posibilidad se contempló en la Ley de Presupuestos Generales de la Comunidad Autónoma de Canarias para 2019 y tiene el visto bueno de la Dirección General de Planificación y Presupuesto, pendiente de su informe final. </w:t>
      </w:r>
      <w:r w:rsidRPr="00466E90">
        <w:rPr>
          <w:rFonts w:ascii="Times New Roman" w:eastAsia="Times New Roman" w:hAnsi="Times New Roman" w:cs="Times New Roman"/>
          <w:color w:val="auto"/>
          <w:sz w:val="28"/>
          <w:szCs w:val="28"/>
          <w:bdr w:val="none" w:sz="0" w:space="0" w:color="auto"/>
          <w:lang w:val="es-ES_tradnl"/>
        </w:rPr>
        <w:t xml:space="preserve">Sin embargo, este incremento salarial se ve compensado con la reducción de salarios y seguridad social de los dos efectivos menos en la empresa </w:t>
      </w:r>
      <w:r w:rsidRPr="00466E90">
        <w:rPr>
          <w:rFonts w:ascii="Times New Roman" w:eastAsia="Times New Roman" w:hAnsi="Times New Roman" w:cs="Times New Roman"/>
          <w:color w:val="auto"/>
          <w:sz w:val="28"/>
          <w:szCs w:val="28"/>
          <w:bdr w:val="none" w:sz="0" w:space="0" w:color="auto"/>
          <w:lang w:val="es-ES_tradnl"/>
        </w:rPr>
        <w:lastRenderedPageBreak/>
        <w:t>y por diversas bajas</w:t>
      </w:r>
      <w:r>
        <w:rPr>
          <w:rFonts w:ascii="Times New Roman" w:eastAsia="Times New Roman" w:hAnsi="Times New Roman" w:cs="Times New Roman"/>
          <w:color w:val="auto"/>
          <w:sz w:val="28"/>
          <w:szCs w:val="28"/>
          <w:bdr w:val="none" w:sz="0" w:space="0" w:color="auto"/>
          <w:lang w:val="es-ES_tradnl"/>
        </w:rPr>
        <w:t xml:space="preserve"> por IT durante el año, lo que hace que el total de gastos de personal esté por debajo del previsto en el PAIF.</w:t>
      </w:r>
      <w:bookmarkEnd w:id="0"/>
      <w:r>
        <w:rPr>
          <w:rFonts w:ascii="Times New Roman" w:eastAsia="Times New Roman" w:hAnsi="Times New Roman" w:cs="Times New Roman"/>
          <w:color w:val="auto"/>
          <w:sz w:val="28"/>
          <w:szCs w:val="28"/>
          <w:bdr w:val="none" w:sz="0" w:space="0" w:color="auto"/>
          <w:lang w:val="es-ES_tradnl"/>
        </w:rPr>
        <w:t xml:space="preserve"> </w:t>
      </w:r>
    </w:p>
    <w:p w14:paraId="1F5BB16B" w14:textId="77777777" w:rsidR="00085E4C"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1BB21304" w14:textId="77777777" w:rsidR="00085E4C" w:rsidRPr="004B5DF0"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B5DF0">
        <w:rPr>
          <w:rFonts w:ascii="Times New Roman" w:eastAsia="Times New Roman" w:hAnsi="Times New Roman" w:cs="Times New Roman"/>
          <w:color w:val="auto"/>
          <w:sz w:val="28"/>
          <w:szCs w:val="28"/>
          <w:bdr w:val="none" w:sz="0" w:space="0" w:color="auto"/>
          <w:lang w:val="es-ES_tradnl"/>
        </w:rPr>
        <w:t>La partida de Otros Gastos de Explotación también es inferior a la prevista en el PAIF por un importe inferior en Servicios exteriores.</w:t>
      </w:r>
    </w:p>
    <w:p w14:paraId="19905354"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50D96CF2" w14:textId="77777777" w:rsidR="00085E4C" w:rsidRPr="008E3641"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Pr>
          <w:rFonts w:ascii="Times New Roman" w:eastAsia="Times New Roman" w:hAnsi="Times New Roman" w:cs="Times New Roman"/>
          <w:color w:val="auto"/>
          <w:sz w:val="28"/>
          <w:szCs w:val="28"/>
          <w:bdr w:val="none" w:sz="0" w:space="0" w:color="auto"/>
          <w:lang w:val="es-ES_tradnl"/>
        </w:rPr>
        <w:t xml:space="preserve">El gasto en </w:t>
      </w:r>
      <w:r w:rsidRPr="008E3641">
        <w:rPr>
          <w:rFonts w:ascii="Times New Roman" w:eastAsia="Times New Roman" w:hAnsi="Times New Roman" w:cs="Times New Roman"/>
          <w:color w:val="auto"/>
          <w:sz w:val="28"/>
          <w:szCs w:val="28"/>
          <w:bdr w:val="none" w:sz="0" w:space="0" w:color="auto"/>
          <w:lang w:val="es-ES_tradnl"/>
        </w:rPr>
        <w:t xml:space="preserve">Amortizaciones y la Imputación de Subvenciones de Inmovilizado No Financiero y Otros </w:t>
      </w:r>
      <w:r>
        <w:rPr>
          <w:rFonts w:ascii="Times New Roman" w:eastAsia="Times New Roman" w:hAnsi="Times New Roman" w:cs="Times New Roman"/>
          <w:color w:val="auto"/>
          <w:sz w:val="28"/>
          <w:szCs w:val="28"/>
          <w:bdr w:val="none" w:sz="0" w:space="0" w:color="auto"/>
          <w:lang w:val="es-ES_tradnl"/>
        </w:rPr>
        <w:t>es inferior por la baja del Derecho de Uso del local de Víctor Hugo</w:t>
      </w:r>
      <w:r w:rsidRPr="008E3641">
        <w:rPr>
          <w:rFonts w:ascii="Times New Roman" w:eastAsia="Times New Roman" w:hAnsi="Times New Roman" w:cs="Times New Roman"/>
          <w:color w:val="auto"/>
          <w:sz w:val="28"/>
          <w:szCs w:val="28"/>
          <w:bdr w:val="none" w:sz="0" w:space="0" w:color="auto"/>
          <w:lang w:val="es-ES_tradnl"/>
        </w:rPr>
        <w:t>.</w:t>
      </w:r>
    </w:p>
    <w:p w14:paraId="403558EE" w14:textId="77777777" w:rsidR="00085E4C" w:rsidRDefault="00085E4C" w:rsidP="00085E4C">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59A17435" w14:textId="77777777" w:rsidR="00040AD3" w:rsidRDefault="00085E4C" w:rsidP="00040AD3">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Pr>
          <w:rFonts w:ascii="Times New Roman" w:eastAsia="Times New Roman" w:hAnsi="Times New Roman" w:cs="Times New Roman"/>
          <w:color w:val="auto"/>
          <w:sz w:val="28"/>
          <w:szCs w:val="28"/>
          <w:bdr w:val="none" w:sz="0" w:space="0" w:color="auto"/>
          <w:lang w:val="es-ES_tradnl"/>
        </w:rPr>
        <w:t xml:space="preserve">El resultado del ejercicio fue de 131.438,39 euros menos de pérdidas de las previstas. Esta cantidad es la parte de ingresos propios de </w:t>
      </w:r>
      <w:proofErr w:type="spellStart"/>
      <w:r>
        <w:rPr>
          <w:rFonts w:ascii="Times New Roman" w:eastAsia="Times New Roman" w:hAnsi="Times New Roman" w:cs="Times New Roman"/>
          <w:color w:val="auto"/>
          <w:sz w:val="28"/>
          <w:szCs w:val="28"/>
          <w:bdr w:val="none" w:sz="0" w:space="0" w:color="auto"/>
          <w:lang w:val="es-ES_tradnl"/>
        </w:rPr>
        <w:t>Promotur</w:t>
      </w:r>
      <w:proofErr w:type="spellEnd"/>
      <w:r>
        <w:rPr>
          <w:rFonts w:ascii="Times New Roman" w:eastAsia="Times New Roman" w:hAnsi="Times New Roman" w:cs="Times New Roman"/>
          <w:color w:val="auto"/>
          <w:sz w:val="28"/>
          <w:szCs w:val="28"/>
          <w:bdr w:val="none" w:sz="0" w:space="0" w:color="auto"/>
          <w:lang w:val="es-ES_tradnl"/>
        </w:rPr>
        <w:t xml:space="preserve"> que no se aplicaron a gastos promocionales del ejercicio sino a compensar parte de las reservas voluntarias negativas que figuran en el pasivo.</w:t>
      </w:r>
      <w:r w:rsidR="00040AD3">
        <w:rPr>
          <w:rFonts w:ascii="Times New Roman" w:eastAsia="Times New Roman" w:hAnsi="Times New Roman" w:cs="Times New Roman"/>
          <w:color w:val="auto"/>
          <w:sz w:val="28"/>
          <w:szCs w:val="28"/>
          <w:bdr w:val="none" w:sz="0" w:space="0" w:color="auto"/>
          <w:lang w:val="es-ES_tradnl"/>
        </w:rPr>
        <w:t xml:space="preserve"> </w:t>
      </w:r>
    </w:p>
    <w:p w14:paraId="21F3F59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2722522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6AB5FB3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 xml:space="preserve">Las desviaciones del Presupuesto de explotación, comentadas y </w:t>
      </w:r>
      <w:r w:rsidRPr="00CD27CE">
        <w:rPr>
          <w:rFonts w:ascii="Times" w:eastAsia="Times" w:hAnsi="Times" w:cs="Times New Roman"/>
          <w:color w:val="auto"/>
          <w:sz w:val="28"/>
          <w:szCs w:val="28"/>
          <w:bdr w:val="none" w:sz="0" w:space="0" w:color="auto"/>
          <w:lang w:val="es-ES_tradnl" w:eastAsia="es-ES"/>
        </w:rPr>
        <w:tab/>
        <w:t xml:space="preserve">reflejadas en el Anexo I.A., cumplen con la normativa </w:t>
      </w:r>
      <w:r w:rsidRPr="00CD27CE">
        <w:rPr>
          <w:rFonts w:ascii="Times" w:eastAsia="Times" w:hAnsi="Times" w:cs="Times New Roman"/>
          <w:color w:val="auto"/>
          <w:sz w:val="28"/>
          <w:szCs w:val="28"/>
          <w:bdr w:val="none" w:sz="0" w:space="0" w:color="auto"/>
          <w:lang w:val="es-ES_tradnl" w:eastAsia="es-ES"/>
        </w:rPr>
        <w:tab/>
        <w:t xml:space="preserve">vigente. Por un lado, el gasto de personal y de explotación es inferior al previsto en el </w:t>
      </w:r>
      <w:proofErr w:type="spellStart"/>
      <w:r w:rsidRPr="00CD27CE">
        <w:rPr>
          <w:rFonts w:ascii="Times" w:eastAsia="Times" w:hAnsi="Times" w:cs="Times New Roman"/>
          <w:color w:val="auto"/>
          <w:sz w:val="28"/>
          <w:szCs w:val="28"/>
          <w:bdr w:val="none" w:sz="0" w:space="0" w:color="auto"/>
          <w:lang w:val="es-ES_tradnl" w:eastAsia="es-ES"/>
        </w:rPr>
        <w:t>paif</w:t>
      </w:r>
      <w:proofErr w:type="spellEnd"/>
      <w:r w:rsidRPr="00CD27CE">
        <w:rPr>
          <w:rFonts w:ascii="Times" w:eastAsia="Times" w:hAnsi="Times" w:cs="Times New Roman"/>
          <w:color w:val="auto"/>
          <w:sz w:val="28"/>
          <w:szCs w:val="28"/>
          <w:bdr w:val="none" w:sz="0" w:space="0" w:color="auto"/>
          <w:lang w:val="es-ES_tradnl" w:eastAsia="es-ES"/>
        </w:rPr>
        <w:t xml:space="preserve">, y por otro lado, el mayor gasto en la actividad promocional viene derivada de una mayor financiación a través de ingresos accesorios y </w:t>
      </w:r>
      <w:r w:rsidR="00085E4C">
        <w:rPr>
          <w:rFonts w:ascii="Times" w:eastAsia="Times" w:hAnsi="Times" w:cs="Times New Roman"/>
          <w:color w:val="auto"/>
          <w:sz w:val="28"/>
          <w:szCs w:val="28"/>
          <w:bdr w:val="none" w:sz="0" w:space="0" w:color="auto"/>
          <w:lang w:val="es-ES_tradnl" w:eastAsia="es-ES"/>
        </w:rPr>
        <w:t xml:space="preserve">la ampliación de una </w:t>
      </w:r>
      <w:r w:rsidRPr="00CD27CE">
        <w:rPr>
          <w:rFonts w:ascii="Times" w:eastAsia="Times" w:hAnsi="Times" w:cs="Times New Roman"/>
          <w:color w:val="auto"/>
          <w:sz w:val="28"/>
          <w:szCs w:val="28"/>
          <w:bdr w:val="none" w:sz="0" w:space="0" w:color="auto"/>
          <w:lang w:val="es-ES_tradnl" w:eastAsia="es-ES"/>
        </w:rPr>
        <w:t>subvenci</w:t>
      </w:r>
      <w:r w:rsidR="00085E4C">
        <w:rPr>
          <w:rFonts w:ascii="Times" w:eastAsia="Times" w:hAnsi="Times" w:cs="Times New Roman"/>
          <w:color w:val="auto"/>
          <w:sz w:val="28"/>
          <w:szCs w:val="28"/>
          <w:bdr w:val="none" w:sz="0" w:space="0" w:color="auto"/>
          <w:lang w:val="es-ES_tradnl" w:eastAsia="es-ES"/>
        </w:rPr>
        <w:t>ón para el desarrollo de la actividad promocional, la cu</w:t>
      </w:r>
      <w:r w:rsidR="00BC6496">
        <w:rPr>
          <w:rFonts w:ascii="Times" w:eastAsia="Times" w:hAnsi="Times" w:cs="Times New Roman"/>
          <w:color w:val="auto"/>
          <w:sz w:val="28"/>
          <w:szCs w:val="28"/>
          <w:bdr w:val="none" w:sz="0" w:space="0" w:color="auto"/>
          <w:lang w:val="es-ES_tradnl" w:eastAsia="es-ES"/>
        </w:rPr>
        <w:t>a</w:t>
      </w:r>
      <w:r w:rsidR="00085E4C">
        <w:rPr>
          <w:rFonts w:ascii="Times" w:eastAsia="Times" w:hAnsi="Times" w:cs="Times New Roman"/>
          <w:color w:val="auto"/>
          <w:sz w:val="28"/>
          <w:szCs w:val="28"/>
          <w:bdr w:val="none" w:sz="0" w:space="0" w:color="auto"/>
          <w:lang w:val="es-ES_tradnl" w:eastAsia="es-ES"/>
        </w:rPr>
        <w:t>l no necesitó expediente de modificación de presupuestos debido a su importe</w:t>
      </w:r>
      <w:r w:rsidRPr="00CD27CE">
        <w:rPr>
          <w:rFonts w:ascii="Times" w:eastAsia="Times" w:hAnsi="Times" w:cs="Times New Roman"/>
          <w:color w:val="auto"/>
          <w:sz w:val="28"/>
          <w:szCs w:val="28"/>
          <w:bdr w:val="none" w:sz="0" w:space="0" w:color="auto"/>
          <w:lang w:val="es-ES_tradnl" w:eastAsia="es-ES"/>
        </w:rPr>
        <w:t xml:space="preserve">. </w:t>
      </w:r>
    </w:p>
    <w:p w14:paraId="6272E8B5" w14:textId="77777777"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6D565A64" w14:textId="77777777" w:rsidR="00040AD3" w:rsidRPr="00CD27CE" w:rsidRDefault="00040AD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4D6AB1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r>
      <w:r w:rsidRPr="00C42AA1">
        <w:rPr>
          <w:rFonts w:ascii="Times" w:eastAsia="Times" w:hAnsi="Times" w:cs="Times New Roman"/>
          <w:color w:val="auto"/>
          <w:sz w:val="28"/>
          <w:szCs w:val="28"/>
          <w:bdr w:val="none" w:sz="0" w:space="0" w:color="auto"/>
          <w:lang w:val="es-ES_tradnl" w:eastAsia="es-ES"/>
        </w:rPr>
        <w:t>PRESUPUESTO DE CAPITAL</w:t>
      </w:r>
      <w:r w:rsidRPr="00CD27CE">
        <w:rPr>
          <w:rFonts w:ascii="Times" w:eastAsia="Times" w:hAnsi="Times" w:cs="Times New Roman"/>
          <w:color w:val="auto"/>
          <w:sz w:val="28"/>
          <w:szCs w:val="28"/>
          <w:bdr w:val="none" w:sz="0" w:space="0" w:color="auto"/>
          <w:lang w:val="es-ES_tradnl" w:eastAsia="es-ES"/>
        </w:rPr>
        <w:t xml:space="preserve"> (Anexo I.B)</w:t>
      </w:r>
    </w:p>
    <w:p w14:paraId="5A6E2F1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011D68E" w14:textId="77777777" w:rsidR="00040AD3" w:rsidRDefault="00D83C44" w:rsidP="00040AD3">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Pr>
          <w:rFonts w:ascii="Times New Roman" w:eastAsia="Times New Roman" w:hAnsi="Times New Roman" w:cs="Times New Roman"/>
          <w:color w:val="auto"/>
          <w:sz w:val="28"/>
          <w:szCs w:val="28"/>
          <w:bdr w:val="none" w:sz="0" w:space="0" w:color="auto"/>
          <w:lang w:val="es-ES_tradnl"/>
        </w:rPr>
        <w:t>Dentro del Balance de situación, e</w:t>
      </w:r>
      <w:r w:rsidR="00040AD3">
        <w:rPr>
          <w:rFonts w:ascii="Times New Roman" w:eastAsia="Times New Roman" w:hAnsi="Times New Roman" w:cs="Times New Roman"/>
          <w:color w:val="auto"/>
          <w:sz w:val="28"/>
          <w:szCs w:val="28"/>
          <w:bdr w:val="none" w:sz="0" w:space="0" w:color="auto"/>
          <w:lang w:val="es-ES_tradnl"/>
        </w:rPr>
        <w:t>l importe contabilizado en la Cuenta de Reservas en negativo es debido al registro contable de dos expedientes de reintegro</w:t>
      </w:r>
      <w:r w:rsidR="00781F8E">
        <w:rPr>
          <w:rFonts w:ascii="Times New Roman" w:eastAsia="Times New Roman" w:hAnsi="Times New Roman" w:cs="Times New Roman"/>
          <w:color w:val="auto"/>
          <w:sz w:val="28"/>
          <w:szCs w:val="28"/>
          <w:bdr w:val="none" w:sz="0" w:space="0" w:color="auto"/>
          <w:lang w:val="es-ES_tradnl"/>
        </w:rPr>
        <w:t>,</w:t>
      </w:r>
      <w:r w:rsidR="00040AD3">
        <w:rPr>
          <w:rFonts w:ascii="Times New Roman" w:eastAsia="Times New Roman" w:hAnsi="Times New Roman" w:cs="Times New Roman"/>
          <w:color w:val="auto"/>
          <w:sz w:val="28"/>
          <w:szCs w:val="28"/>
          <w:bdr w:val="none" w:sz="0" w:space="0" w:color="auto"/>
          <w:lang w:val="es-ES_tradnl"/>
        </w:rPr>
        <w:t xml:space="preserve"> por un total de 727.870,96 euros</w:t>
      </w:r>
      <w:r w:rsidR="00781F8E">
        <w:rPr>
          <w:rFonts w:ascii="Times New Roman" w:eastAsia="Times New Roman" w:hAnsi="Times New Roman" w:cs="Times New Roman"/>
          <w:color w:val="auto"/>
          <w:sz w:val="28"/>
          <w:szCs w:val="28"/>
          <w:bdr w:val="none" w:sz="0" w:space="0" w:color="auto"/>
          <w:lang w:val="es-ES_tradnl"/>
        </w:rPr>
        <w:t>,</w:t>
      </w:r>
      <w:r w:rsidR="00040AD3">
        <w:rPr>
          <w:rFonts w:ascii="Times New Roman" w:eastAsia="Times New Roman" w:hAnsi="Times New Roman" w:cs="Times New Roman"/>
          <w:color w:val="auto"/>
          <w:sz w:val="28"/>
          <w:szCs w:val="28"/>
          <w:bdr w:val="none" w:sz="0" w:space="0" w:color="auto"/>
          <w:lang w:val="es-ES_tradnl"/>
        </w:rPr>
        <w:t xml:space="preserve"> originados por dos informes definitivos de Intervención General de la operación “Promoción turística de las Islas Canarias dirigidas a profesionales” y “Promoción turística de las Islas Canarias dirigidas al público” ejecutados en el ejercicio 2016 y 2017 cofinanciado por el FEDER. Esto ha hecho que los Fondos Propios de </w:t>
      </w:r>
      <w:proofErr w:type="spellStart"/>
      <w:r w:rsidR="00040AD3">
        <w:rPr>
          <w:rFonts w:ascii="Times New Roman" w:eastAsia="Times New Roman" w:hAnsi="Times New Roman" w:cs="Times New Roman"/>
          <w:color w:val="auto"/>
          <w:sz w:val="28"/>
          <w:szCs w:val="28"/>
          <w:bdr w:val="none" w:sz="0" w:space="0" w:color="auto"/>
          <w:lang w:val="es-ES_tradnl"/>
        </w:rPr>
        <w:t>Promotur</w:t>
      </w:r>
      <w:proofErr w:type="spellEnd"/>
      <w:r w:rsidR="00040AD3">
        <w:rPr>
          <w:rFonts w:ascii="Times New Roman" w:eastAsia="Times New Roman" w:hAnsi="Times New Roman" w:cs="Times New Roman"/>
          <w:color w:val="auto"/>
          <w:sz w:val="28"/>
          <w:szCs w:val="28"/>
          <w:bdr w:val="none" w:sz="0" w:space="0" w:color="auto"/>
          <w:lang w:val="es-ES_tradnl"/>
        </w:rPr>
        <w:t xml:space="preserve"> hayan bajado considerablemente, así como el Patrimonio Neto. Esta situación se revertirá en 2020 para el restablecimiento del equilibrio patrimonial de la empresa.</w:t>
      </w:r>
    </w:p>
    <w:p w14:paraId="5760E4D2" w14:textId="77777777"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3B3720F5" w14:textId="77777777" w:rsidR="00040AD3" w:rsidRPr="00CD27CE" w:rsidRDefault="00040AD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4CF83A95" w14:textId="77777777" w:rsidR="00CD27CE" w:rsidRPr="00CD27CE" w:rsidRDefault="00B750A1"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Pr>
          <w:rFonts w:ascii="Times" w:eastAsia="Times" w:hAnsi="Times" w:cs="Times New Roman"/>
          <w:color w:val="auto"/>
          <w:sz w:val="28"/>
          <w:szCs w:val="28"/>
          <w:bdr w:val="none" w:sz="0" w:space="0" w:color="auto"/>
          <w:lang w:val="es-ES_tradnl" w:eastAsia="es-ES"/>
        </w:rPr>
        <w:lastRenderedPageBreak/>
        <w:t xml:space="preserve">Dentro del Presupuesto de Capital, </w:t>
      </w:r>
      <w:proofErr w:type="spellStart"/>
      <w:r>
        <w:rPr>
          <w:rFonts w:ascii="Times" w:eastAsia="Times" w:hAnsi="Times" w:cs="Times New Roman"/>
          <w:color w:val="auto"/>
          <w:sz w:val="28"/>
          <w:szCs w:val="28"/>
          <w:bdr w:val="none" w:sz="0" w:space="0" w:color="auto"/>
          <w:lang w:val="es-ES_tradnl" w:eastAsia="es-ES"/>
        </w:rPr>
        <w:t>l</w:t>
      </w:r>
      <w:r w:rsidR="00CD27CE" w:rsidRPr="00CD27CE">
        <w:rPr>
          <w:rFonts w:ascii="Times" w:eastAsia="Times" w:hAnsi="Times" w:cs="Times New Roman"/>
          <w:color w:val="auto"/>
          <w:sz w:val="28"/>
          <w:szCs w:val="28"/>
          <w:bdr w:val="none" w:sz="0" w:space="0" w:color="auto"/>
          <w:lang w:val="es-ES_tradnl" w:eastAsia="es-ES"/>
        </w:rPr>
        <w:tab/>
      </w:r>
      <w:r w:rsidR="00CD27CE" w:rsidRPr="00CD27CE">
        <w:rPr>
          <w:rFonts w:ascii="Times" w:eastAsia="Times" w:hAnsi="Times" w:cs="Times New Roman"/>
          <w:color w:val="auto"/>
          <w:sz w:val="28"/>
          <w:szCs w:val="28"/>
          <w:bdr w:val="none" w:sz="0" w:space="0" w:color="auto"/>
          <w:lang w:val="es-ES_tradnl" w:eastAsia="es-ES"/>
        </w:rPr>
        <w:tab/>
      </w:r>
      <w:r w:rsidR="00CD27CE" w:rsidRPr="00CD27CE">
        <w:rPr>
          <w:rFonts w:ascii="Times" w:eastAsia="Times" w:hAnsi="Times" w:cs="Times New Roman"/>
          <w:color w:val="auto"/>
          <w:sz w:val="28"/>
          <w:szCs w:val="28"/>
          <w:bdr w:val="none" w:sz="0" w:space="0" w:color="auto"/>
          <w:lang w:val="es-ES_tradnl" w:eastAsia="es-ES"/>
        </w:rPr>
        <w:tab/>
        <w:t>as</w:t>
      </w:r>
      <w:proofErr w:type="spellEnd"/>
      <w:r w:rsidR="00CD27CE" w:rsidRPr="00CD27CE">
        <w:rPr>
          <w:rFonts w:ascii="Times" w:eastAsia="Times" w:hAnsi="Times" w:cs="Times New Roman"/>
          <w:color w:val="auto"/>
          <w:sz w:val="28"/>
          <w:szCs w:val="28"/>
          <w:bdr w:val="none" w:sz="0" w:space="0" w:color="auto"/>
          <w:lang w:val="es-ES_tradnl" w:eastAsia="es-ES"/>
        </w:rPr>
        <w:t xml:space="preserve"> desviaciones producidas se han </w:t>
      </w:r>
      <w:r w:rsidR="00CD27CE" w:rsidRPr="00CD27CE">
        <w:rPr>
          <w:rFonts w:ascii="Times" w:eastAsia="Times" w:hAnsi="Times" w:cs="Times New Roman"/>
          <w:color w:val="auto"/>
          <w:sz w:val="28"/>
          <w:szCs w:val="28"/>
          <w:bdr w:val="none" w:sz="0" w:space="0" w:color="auto"/>
          <w:lang w:val="es-ES_tradnl" w:eastAsia="es-ES"/>
        </w:rPr>
        <w:tab/>
        <w:t xml:space="preserve">materializado básicamente en el capital corriente. Se trata por </w:t>
      </w:r>
      <w:r w:rsidR="00CD27CE" w:rsidRPr="00CD27CE">
        <w:rPr>
          <w:rFonts w:ascii="Times" w:eastAsia="Times" w:hAnsi="Times" w:cs="Times New Roman"/>
          <w:color w:val="auto"/>
          <w:sz w:val="28"/>
          <w:szCs w:val="28"/>
          <w:bdr w:val="none" w:sz="0" w:space="0" w:color="auto"/>
          <w:lang w:val="es-ES_tradnl" w:eastAsia="es-ES"/>
        </w:rPr>
        <w:tab/>
        <w:t xml:space="preserve">tanto de  importes </w:t>
      </w:r>
      <w:r w:rsidR="00CD27CE" w:rsidRPr="00CD27CE">
        <w:rPr>
          <w:rFonts w:ascii="Times" w:eastAsia="Times" w:hAnsi="Times" w:cs="Times New Roman"/>
          <w:color w:val="auto"/>
          <w:sz w:val="28"/>
          <w:szCs w:val="28"/>
          <w:bdr w:val="none" w:sz="0" w:space="0" w:color="auto"/>
          <w:lang w:val="es-ES_tradnl" w:eastAsia="es-ES"/>
        </w:rPr>
        <w:tab/>
        <w:t xml:space="preserve">que varían mucho de un trimestre a otro y no </w:t>
      </w:r>
      <w:r w:rsidR="00CD27CE" w:rsidRPr="00CD27CE">
        <w:rPr>
          <w:rFonts w:ascii="Times" w:eastAsia="Times" w:hAnsi="Times" w:cs="Times New Roman"/>
          <w:color w:val="auto"/>
          <w:sz w:val="28"/>
          <w:szCs w:val="28"/>
          <w:bdr w:val="none" w:sz="0" w:space="0" w:color="auto"/>
          <w:lang w:val="es-ES_tradnl" w:eastAsia="es-ES"/>
        </w:rPr>
        <w:tab/>
        <w:t>son muy significativos para ver la evolución de la empresa.</w:t>
      </w:r>
    </w:p>
    <w:p w14:paraId="69EC4F5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highlight w:val="yellow"/>
          <w:bdr w:val="none" w:sz="0" w:space="0" w:color="auto"/>
          <w:lang w:val="es-ES_tradnl" w:eastAsia="es-ES"/>
        </w:rPr>
      </w:pPr>
    </w:p>
    <w:p w14:paraId="29AC2441" w14:textId="77777777"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 xml:space="preserve">La desviación en Deudores y otras cuentas a cobrar viene </w:t>
      </w:r>
      <w:r w:rsidRPr="00CD27CE">
        <w:rPr>
          <w:rFonts w:ascii="Times" w:eastAsia="Times" w:hAnsi="Times" w:cs="Times New Roman"/>
          <w:color w:val="auto"/>
          <w:sz w:val="28"/>
          <w:szCs w:val="28"/>
          <w:bdr w:val="none" w:sz="0" w:space="0" w:color="auto"/>
          <w:lang w:val="es-ES_tradnl" w:eastAsia="es-ES"/>
        </w:rPr>
        <w:tab/>
        <w:t xml:space="preserve">motivada sobre todo por los importes de las transferencias para </w:t>
      </w:r>
      <w:r w:rsidRPr="00CD27CE">
        <w:rPr>
          <w:rFonts w:ascii="Times" w:eastAsia="Times" w:hAnsi="Times" w:cs="Times New Roman"/>
          <w:color w:val="auto"/>
          <w:sz w:val="28"/>
          <w:szCs w:val="28"/>
          <w:bdr w:val="none" w:sz="0" w:space="0" w:color="auto"/>
          <w:lang w:val="es-ES_tradnl" w:eastAsia="es-ES"/>
        </w:rPr>
        <w:tab/>
      </w:r>
      <w:r w:rsidR="006959B0">
        <w:rPr>
          <w:rFonts w:ascii="Times" w:eastAsia="Times" w:hAnsi="Times" w:cs="Times New Roman"/>
          <w:color w:val="auto"/>
          <w:sz w:val="28"/>
          <w:szCs w:val="28"/>
          <w:bdr w:val="none" w:sz="0" w:space="0" w:color="auto"/>
          <w:lang w:val="es-ES_tradnl" w:eastAsia="es-ES"/>
        </w:rPr>
        <w:t xml:space="preserve">la actividad </w:t>
      </w:r>
      <w:r w:rsidRPr="00CD27CE">
        <w:rPr>
          <w:rFonts w:ascii="Times" w:eastAsia="Times" w:hAnsi="Times" w:cs="Times New Roman"/>
          <w:color w:val="auto"/>
          <w:sz w:val="28"/>
          <w:szCs w:val="28"/>
          <w:bdr w:val="none" w:sz="0" w:space="0" w:color="auto"/>
          <w:lang w:val="es-ES_tradnl" w:eastAsia="es-ES"/>
        </w:rPr>
        <w:t>promocional</w:t>
      </w:r>
      <w:r w:rsidR="006959B0">
        <w:rPr>
          <w:rFonts w:ascii="Times" w:eastAsia="Times" w:hAnsi="Times" w:cs="Times New Roman"/>
          <w:color w:val="auto"/>
          <w:sz w:val="28"/>
          <w:szCs w:val="28"/>
          <w:bdr w:val="none" w:sz="0" w:space="0" w:color="auto"/>
          <w:lang w:val="es-ES_tradnl" w:eastAsia="es-ES"/>
        </w:rPr>
        <w:t xml:space="preserve"> y </w:t>
      </w:r>
      <w:r w:rsidR="00781F8E">
        <w:rPr>
          <w:rFonts w:ascii="Times" w:eastAsia="Times" w:hAnsi="Times" w:cs="Times New Roman"/>
          <w:color w:val="auto"/>
          <w:sz w:val="28"/>
          <w:szCs w:val="28"/>
          <w:bdr w:val="none" w:sz="0" w:space="0" w:color="auto"/>
          <w:lang w:val="es-ES_tradnl" w:eastAsia="es-ES"/>
        </w:rPr>
        <w:t xml:space="preserve">los </w:t>
      </w:r>
      <w:r w:rsidR="006959B0">
        <w:rPr>
          <w:rFonts w:ascii="Times" w:eastAsia="Times" w:hAnsi="Times" w:cs="Times New Roman"/>
          <w:color w:val="auto"/>
          <w:sz w:val="28"/>
          <w:szCs w:val="28"/>
          <w:bdr w:val="none" w:sz="0" w:space="0" w:color="auto"/>
          <w:lang w:val="es-ES_tradnl" w:eastAsia="es-ES"/>
        </w:rPr>
        <w:t>gastos de explotación</w:t>
      </w:r>
      <w:r w:rsidRPr="00CD27CE">
        <w:rPr>
          <w:rFonts w:ascii="Times" w:eastAsia="Times" w:hAnsi="Times" w:cs="Times New Roman"/>
          <w:color w:val="auto"/>
          <w:sz w:val="28"/>
          <w:szCs w:val="28"/>
          <w:bdr w:val="none" w:sz="0" w:space="0" w:color="auto"/>
          <w:lang w:val="es-ES_tradnl" w:eastAsia="es-ES"/>
        </w:rPr>
        <w:t xml:space="preserve">  </w:t>
      </w:r>
      <w:r w:rsidR="00781F8E">
        <w:rPr>
          <w:rFonts w:ascii="Times" w:eastAsia="Times" w:hAnsi="Times" w:cs="Times New Roman"/>
          <w:color w:val="auto"/>
          <w:sz w:val="28"/>
          <w:szCs w:val="28"/>
          <w:bdr w:val="none" w:sz="0" w:space="0" w:color="auto"/>
          <w:lang w:val="es-ES_tradnl" w:eastAsia="es-ES"/>
        </w:rPr>
        <w:t xml:space="preserve">de la empresa </w:t>
      </w:r>
      <w:r w:rsidRPr="00CD27CE">
        <w:rPr>
          <w:rFonts w:ascii="Times" w:eastAsia="Times" w:hAnsi="Times" w:cs="Times New Roman"/>
          <w:color w:val="auto"/>
          <w:sz w:val="28"/>
          <w:szCs w:val="28"/>
          <w:bdr w:val="none" w:sz="0" w:space="0" w:color="auto"/>
          <w:lang w:val="es-ES_tradnl" w:eastAsia="es-ES"/>
        </w:rPr>
        <w:t xml:space="preserve">pendientes de cobro </w:t>
      </w:r>
      <w:r w:rsidRPr="00CD27CE">
        <w:rPr>
          <w:rFonts w:ascii="Times" w:eastAsia="Times" w:hAnsi="Times" w:cs="Times New Roman"/>
          <w:color w:val="auto"/>
          <w:sz w:val="28"/>
          <w:szCs w:val="28"/>
          <w:bdr w:val="none" w:sz="0" w:space="0" w:color="auto"/>
          <w:lang w:val="es-ES_tradnl" w:eastAsia="es-ES"/>
        </w:rPr>
        <w:tab/>
        <w:t>del Tesoro Canario. En 201</w:t>
      </w:r>
      <w:r w:rsidR="0093728F">
        <w:rPr>
          <w:rFonts w:ascii="Times" w:eastAsia="Times" w:hAnsi="Times" w:cs="Times New Roman"/>
          <w:color w:val="auto"/>
          <w:sz w:val="28"/>
          <w:szCs w:val="28"/>
          <w:bdr w:val="none" w:sz="0" w:space="0" w:color="auto"/>
          <w:lang w:val="es-ES_tradnl" w:eastAsia="es-ES"/>
        </w:rPr>
        <w:t>9</w:t>
      </w:r>
      <w:r w:rsidRPr="00CD27CE">
        <w:rPr>
          <w:rFonts w:ascii="Times" w:eastAsia="Times" w:hAnsi="Times" w:cs="Times New Roman"/>
          <w:color w:val="auto"/>
          <w:sz w:val="28"/>
          <w:szCs w:val="28"/>
          <w:bdr w:val="none" w:sz="0" w:space="0" w:color="auto"/>
          <w:lang w:val="es-ES_tradnl" w:eastAsia="es-ES"/>
        </w:rPr>
        <w:t xml:space="preserve"> estas cantidades pendientes de </w:t>
      </w:r>
      <w:r w:rsidRPr="00CD27CE">
        <w:rPr>
          <w:rFonts w:ascii="Times" w:eastAsia="Times" w:hAnsi="Times" w:cs="Times New Roman"/>
          <w:color w:val="auto"/>
          <w:sz w:val="28"/>
          <w:szCs w:val="28"/>
          <w:bdr w:val="none" w:sz="0" w:space="0" w:color="auto"/>
          <w:lang w:val="es-ES_tradnl" w:eastAsia="es-ES"/>
        </w:rPr>
        <w:tab/>
        <w:t>cobro eran inferiores a las del ejercicio 201</w:t>
      </w:r>
      <w:r w:rsidR="0093728F">
        <w:rPr>
          <w:rFonts w:ascii="Times" w:eastAsia="Times" w:hAnsi="Times" w:cs="Times New Roman"/>
          <w:color w:val="auto"/>
          <w:sz w:val="28"/>
          <w:szCs w:val="28"/>
          <w:bdr w:val="none" w:sz="0" w:space="0" w:color="auto"/>
          <w:lang w:val="es-ES_tradnl" w:eastAsia="es-ES"/>
        </w:rPr>
        <w:t>8</w:t>
      </w:r>
      <w:r w:rsidRPr="00CD27CE">
        <w:rPr>
          <w:rFonts w:ascii="Times" w:eastAsia="Times" w:hAnsi="Times" w:cs="Times New Roman"/>
          <w:color w:val="auto"/>
          <w:sz w:val="28"/>
          <w:szCs w:val="28"/>
          <w:bdr w:val="none" w:sz="0" w:space="0" w:color="auto"/>
          <w:lang w:val="es-ES_tradnl" w:eastAsia="es-ES"/>
        </w:rPr>
        <w:t>.</w:t>
      </w:r>
      <w:r w:rsidRPr="00CD27CE">
        <w:rPr>
          <w:rFonts w:ascii="Times" w:eastAsia="Times" w:hAnsi="Times" w:cs="Times New Roman"/>
          <w:color w:val="auto"/>
          <w:sz w:val="28"/>
          <w:szCs w:val="28"/>
          <w:bdr w:val="none" w:sz="0" w:space="0" w:color="auto"/>
          <w:lang w:val="es-ES_tradnl" w:eastAsia="es-ES"/>
        </w:rPr>
        <w:tab/>
      </w:r>
    </w:p>
    <w:p w14:paraId="4BF7AA2E" w14:textId="77777777" w:rsidR="006959B0" w:rsidRDefault="006959B0"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7487502" w14:textId="77777777" w:rsidR="006959B0" w:rsidRPr="00CD27CE" w:rsidRDefault="006959B0"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Pr>
          <w:rFonts w:ascii="Times" w:eastAsia="Times" w:hAnsi="Times" w:cs="Times New Roman"/>
          <w:color w:val="auto"/>
          <w:sz w:val="28"/>
          <w:szCs w:val="28"/>
          <w:bdr w:val="none" w:sz="0" w:space="0" w:color="auto"/>
          <w:lang w:val="es-ES_tradnl" w:eastAsia="es-ES"/>
        </w:rPr>
        <w:t>La desviación en Otros activos corrientes es debido a un mayor importe en gastos anticipados por las ferias del ejercicio siguiente.</w:t>
      </w:r>
    </w:p>
    <w:p w14:paraId="31BDC6D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880E16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5"/>
        <w:jc w:val="both"/>
        <w:outlineLvl w:val="9"/>
        <w:rPr>
          <w:rFonts w:ascii="Times" w:eastAsia="Times" w:hAnsi="Times" w:cs="Times New Roman"/>
          <w:color w:val="auto"/>
          <w:sz w:val="28"/>
          <w:szCs w:val="28"/>
          <w:bdr w:val="none" w:sz="0" w:space="0" w:color="auto"/>
          <w:lang w:val="es-ES_tradnl" w:eastAsia="es-ES"/>
        </w:rPr>
      </w:pPr>
      <w:r w:rsidRPr="002D2B8C">
        <w:rPr>
          <w:rFonts w:ascii="Times" w:eastAsia="Times" w:hAnsi="Times" w:cs="Times New Roman"/>
          <w:color w:val="auto"/>
          <w:sz w:val="28"/>
          <w:szCs w:val="28"/>
          <w:bdr w:val="none" w:sz="0" w:space="0" w:color="auto"/>
          <w:lang w:val="es-ES_tradnl" w:eastAsia="es-ES"/>
        </w:rPr>
        <w:t>La desviación del importe de Acreedores y otras cuentas a pagar se debe</w:t>
      </w:r>
      <w:r w:rsidRPr="002D2B8C">
        <w:rPr>
          <w:rFonts w:ascii="Times" w:eastAsia="Times" w:hAnsi="Times" w:cs="Times New Roman"/>
          <w:color w:val="auto"/>
          <w:sz w:val="28"/>
          <w:szCs w:val="28"/>
          <w:bdr w:val="none" w:sz="0" w:space="0" w:color="auto"/>
          <w:lang w:val="es-ES_tradnl" w:eastAsia="es-ES"/>
        </w:rPr>
        <w:tab/>
        <w:t xml:space="preserve">principalmente a que se quedó pendiente de pago, a 31 de diciembre, menos acreedores de los </w:t>
      </w:r>
      <w:r w:rsidR="005F4DF4" w:rsidRPr="002D2B8C">
        <w:rPr>
          <w:rFonts w:ascii="Times" w:eastAsia="Times" w:hAnsi="Times" w:cs="Times New Roman"/>
          <w:color w:val="auto"/>
          <w:sz w:val="28"/>
          <w:szCs w:val="28"/>
          <w:bdr w:val="none" w:sz="0" w:space="0" w:color="auto"/>
          <w:lang w:val="es-ES_tradnl" w:eastAsia="es-ES"/>
        </w:rPr>
        <w:t>pendientes en 2018</w:t>
      </w:r>
      <w:r w:rsidR="00781F8E">
        <w:rPr>
          <w:rFonts w:ascii="Times" w:eastAsia="Times" w:hAnsi="Times" w:cs="Times New Roman"/>
          <w:color w:val="auto"/>
          <w:sz w:val="28"/>
          <w:szCs w:val="28"/>
          <w:bdr w:val="none" w:sz="0" w:space="0" w:color="auto"/>
          <w:lang w:val="es-ES_tradnl" w:eastAsia="es-ES"/>
        </w:rPr>
        <w:t>, dado que vinieron menos facturas en diciembre que en años anteriores</w:t>
      </w:r>
      <w:r w:rsidRPr="002D2B8C">
        <w:rPr>
          <w:rFonts w:ascii="Times" w:eastAsia="Times" w:hAnsi="Times" w:cs="Times New Roman"/>
          <w:color w:val="auto"/>
          <w:sz w:val="28"/>
          <w:szCs w:val="28"/>
          <w:bdr w:val="none" w:sz="0" w:space="0" w:color="auto"/>
          <w:lang w:val="es-ES_tradnl" w:eastAsia="es-ES"/>
        </w:rPr>
        <w:t>.</w:t>
      </w:r>
      <w:r w:rsidR="002D2B8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  </w:t>
      </w:r>
    </w:p>
    <w:p w14:paraId="6354A72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08" w:right="44" w:hanging="708"/>
        <w:jc w:val="both"/>
        <w:outlineLvl w:val="9"/>
        <w:rPr>
          <w:rFonts w:ascii="Times" w:eastAsia="Times" w:hAnsi="Times" w:cs="Times New Roman"/>
          <w:color w:val="auto"/>
          <w:sz w:val="28"/>
          <w:szCs w:val="28"/>
          <w:bdr w:val="none" w:sz="0" w:space="0" w:color="auto"/>
          <w:lang w:val="es-ES_tradnl" w:eastAsia="es-ES"/>
        </w:rPr>
      </w:pPr>
    </w:p>
    <w:p w14:paraId="419C6DF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5"/>
        <w:jc w:val="both"/>
        <w:outlineLvl w:val="9"/>
        <w:rPr>
          <w:rFonts w:ascii="Times" w:eastAsia="Times" w:hAnsi="Times" w:cs="Times New Roman"/>
          <w:color w:val="auto"/>
          <w:sz w:val="28"/>
          <w:szCs w:val="28"/>
          <w:bdr w:val="none" w:sz="0" w:space="0" w:color="auto"/>
          <w:lang w:val="es-ES_tradnl" w:eastAsia="es-ES"/>
        </w:rPr>
      </w:pPr>
      <w:r w:rsidRPr="002D2B8C">
        <w:rPr>
          <w:rFonts w:ascii="Times" w:eastAsia="Times" w:hAnsi="Times" w:cs="Times New Roman"/>
          <w:color w:val="auto"/>
          <w:sz w:val="28"/>
          <w:szCs w:val="28"/>
          <w:bdr w:val="none" w:sz="0" w:space="0" w:color="auto"/>
          <w:lang w:val="es-ES_tradnl" w:eastAsia="es-ES"/>
        </w:rPr>
        <w:t>La diferencia del importe realizado de Otros pasivos corrientes, se debe a las periodificaciones a corto plazo de pasivo por la facturación anticipada a terceros por la asistencia a ferias del ejercicio siguiente, que fue superior a la prevista.</w:t>
      </w:r>
      <w:r w:rsidRPr="00CD27CE">
        <w:rPr>
          <w:rFonts w:ascii="Times" w:eastAsia="Times" w:hAnsi="Times" w:cs="Times New Roman"/>
          <w:color w:val="auto"/>
          <w:sz w:val="28"/>
          <w:szCs w:val="28"/>
          <w:bdr w:val="none" w:sz="0" w:space="0" w:color="auto"/>
          <w:lang w:val="es-ES_tradnl" w:eastAsia="es-ES"/>
        </w:rPr>
        <w:t xml:space="preserve"> </w:t>
      </w:r>
    </w:p>
    <w:p w14:paraId="293443F3" w14:textId="77777777"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551F8E3A" w14:textId="77777777" w:rsidR="00CD1F71" w:rsidRDefault="00CD1F71" w:rsidP="00CD1F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La desviación </w:t>
      </w:r>
      <w:r>
        <w:rPr>
          <w:rFonts w:ascii="Times" w:eastAsia="Times" w:hAnsi="Times" w:cs="Times New Roman"/>
          <w:color w:val="auto"/>
          <w:sz w:val="28"/>
          <w:szCs w:val="28"/>
          <w:bdr w:val="none" w:sz="0" w:space="0" w:color="auto"/>
          <w:lang w:val="es-ES_tradnl" w:eastAsia="es-ES"/>
        </w:rPr>
        <w:t>producida dentro d</w:t>
      </w:r>
      <w:r w:rsidRPr="00CD27CE">
        <w:rPr>
          <w:rFonts w:ascii="Times" w:eastAsia="Times" w:hAnsi="Times" w:cs="Times New Roman"/>
          <w:color w:val="auto"/>
          <w:sz w:val="28"/>
          <w:szCs w:val="28"/>
          <w:bdr w:val="none" w:sz="0" w:space="0" w:color="auto"/>
          <w:lang w:val="es-ES_tradnl" w:eastAsia="es-ES"/>
        </w:rPr>
        <w:t xml:space="preserve">el </w:t>
      </w:r>
      <w:r>
        <w:rPr>
          <w:rFonts w:ascii="Times" w:eastAsia="Times" w:hAnsi="Times" w:cs="Times New Roman"/>
          <w:color w:val="auto"/>
          <w:sz w:val="28"/>
          <w:szCs w:val="28"/>
          <w:bdr w:val="none" w:sz="0" w:space="0" w:color="auto"/>
          <w:lang w:val="es-ES_tradnl" w:eastAsia="es-ES"/>
        </w:rPr>
        <w:t xml:space="preserve">Pago por inversiones de </w:t>
      </w:r>
      <w:r w:rsidRPr="00CD27CE">
        <w:rPr>
          <w:rFonts w:ascii="Times" w:eastAsia="Times" w:hAnsi="Times" w:cs="Times New Roman"/>
          <w:color w:val="auto"/>
          <w:sz w:val="28"/>
          <w:szCs w:val="28"/>
          <w:bdr w:val="none" w:sz="0" w:space="0" w:color="auto"/>
          <w:lang w:val="es-ES_tradnl" w:eastAsia="es-ES"/>
        </w:rPr>
        <w:t xml:space="preserve">Inmovilizado Intangible es debido a </w:t>
      </w:r>
      <w:r>
        <w:rPr>
          <w:rFonts w:ascii="Times" w:eastAsia="Times" w:hAnsi="Times" w:cs="Times New Roman"/>
          <w:color w:val="auto"/>
          <w:sz w:val="28"/>
          <w:szCs w:val="28"/>
          <w:bdr w:val="none" w:sz="0" w:space="0" w:color="auto"/>
          <w:lang w:val="es-ES_tradnl" w:eastAsia="es-ES"/>
        </w:rPr>
        <w:t xml:space="preserve">la fecha de entrada en funcionamiento de </w:t>
      </w:r>
      <w:r w:rsidRPr="00CD27CE">
        <w:rPr>
          <w:rFonts w:ascii="Times" w:eastAsia="Times" w:hAnsi="Times" w:cs="Times New Roman"/>
          <w:color w:val="auto"/>
          <w:sz w:val="28"/>
          <w:szCs w:val="28"/>
          <w:bdr w:val="none" w:sz="0" w:space="0" w:color="auto"/>
          <w:lang w:val="es-ES_tradnl" w:eastAsia="es-ES"/>
        </w:rPr>
        <w:t>la nueva plataforma de licitación y contratación electrónica</w:t>
      </w:r>
      <w:r>
        <w:rPr>
          <w:rFonts w:ascii="Times" w:eastAsia="Times" w:hAnsi="Times" w:cs="Times New Roman"/>
          <w:color w:val="auto"/>
          <w:sz w:val="28"/>
          <w:szCs w:val="28"/>
          <w:bdr w:val="none" w:sz="0" w:space="0" w:color="auto"/>
          <w:lang w:val="es-ES_tradnl" w:eastAsia="es-ES"/>
        </w:rPr>
        <w:t xml:space="preserve"> que inicialmente estaba prevista en 2018 pero su implantación definitiva se produjo en 2019, lo </w:t>
      </w:r>
      <w:r>
        <w:rPr>
          <w:rFonts w:ascii="Times" w:eastAsia="Times" w:hAnsi="Times" w:cs="Times New Roman"/>
          <w:color w:val="auto"/>
          <w:sz w:val="28"/>
          <w:szCs w:val="28"/>
          <w:bdr w:val="none" w:sz="0" w:space="0" w:color="auto"/>
          <w:lang w:val="es-ES_tradnl" w:eastAsia="es-ES"/>
        </w:rPr>
        <w:tab/>
        <w:t>que hizo que la amortización devengada fuera inferior a la prevista en el PAIF.</w:t>
      </w:r>
      <w:r w:rsidRPr="00CD27CE">
        <w:rPr>
          <w:rFonts w:ascii="Times" w:eastAsia="Times" w:hAnsi="Times" w:cs="Times New Roman"/>
          <w:color w:val="auto"/>
          <w:sz w:val="28"/>
          <w:szCs w:val="28"/>
          <w:bdr w:val="none" w:sz="0" w:space="0" w:color="auto"/>
          <w:lang w:val="es-ES_tradnl" w:eastAsia="es-ES"/>
        </w:rPr>
        <w:t xml:space="preserve"> </w:t>
      </w:r>
    </w:p>
    <w:p w14:paraId="36A035D1" w14:textId="77777777" w:rsidR="00CD1F71" w:rsidRDefault="00CD1F71" w:rsidP="00CD1F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3B3D583C" w14:textId="77777777" w:rsidR="00CD1F71" w:rsidRDefault="00CD1F71" w:rsidP="00CD1F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8E3641">
        <w:rPr>
          <w:rFonts w:ascii="Times New Roman" w:eastAsia="Times New Roman" w:hAnsi="Times New Roman" w:cs="Times New Roman"/>
          <w:color w:val="auto"/>
          <w:sz w:val="28"/>
          <w:szCs w:val="28"/>
          <w:bdr w:val="none" w:sz="0" w:space="0" w:color="auto"/>
          <w:lang w:val="es-ES_tradnl"/>
        </w:rPr>
        <w:t xml:space="preserve">La desviación </w:t>
      </w:r>
      <w:r>
        <w:rPr>
          <w:rFonts w:ascii="Times New Roman" w:eastAsia="Times New Roman" w:hAnsi="Times New Roman" w:cs="Times New Roman"/>
          <w:color w:val="auto"/>
          <w:sz w:val="28"/>
          <w:szCs w:val="28"/>
          <w:bdr w:val="none" w:sz="0" w:space="0" w:color="auto"/>
          <w:lang w:val="es-ES_tradnl"/>
        </w:rPr>
        <w:t>producida dentro del Pago por inversiones</w:t>
      </w:r>
      <w:r w:rsidR="00BC2054">
        <w:rPr>
          <w:rFonts w:ascii="Times New Roman" w:eastAsia="Times New Roman" w:hAnsi="Times New Roman" w:cs="Times New Roman"/>
          <w:color w:val="auto"/>
          <w:sz w:val="28"/>
          <w:szCs w:val="28"/>
          <w:bdr w:val="none" w:sz="0" w:space="0" w:color="auto"/>
          <w:lang w:val="es-ES_tradnl"/>
        </w:rPr>
        <w:t xml:space="preserve"> de</w:t>
      </w:r>
      <w:r w:rsidRPr="008E3641">
        <w:rPr>
          <w:rFonts w:ascii="Times New Roman" w:eastAsia="Times New Roman" w:hAnsi="Times New Roman" w:cs="Times New Roman"/>
          <w:color w:val="auto"/>
          <w:sz w:val="28"/>
          <w:szCs w:val="28"/>
          <w:bdr w:val="none" w:sz="0" w:space="0" w:color="auto"/>
          <w:lang w:val="es-ES_tradnl"/>
        </w:rPr>
        <w:t xml:space="preserve"> Inmovilizado Material es debido </w:t>
      </w:r>
      <w:r w:rsidR="00BC2054">
        <w:rPr>
          <w:rFonts w:ascii="Times New Roman" w:eastAsia="Times New Roman" w:hAnsi="Times New Roman" w:cs="Times New Roman"/>
          <w:color w:val="auto"/>
          <w:sz w:val="28"/>
          <w:szCs w:val="28"/>
          <w:bdr w:val="none" w:sz="0" w:space="0" w:color="auto"/>
          <w:lang w:val="es-ES_tradnl"/>
        </w:rPr>
        <w:t xml:space="preserve">principalmente </w:t>
      </w:r>
      <w:r w:rsidRPr="008E3641">
        <w:rPr>
          <w:rFonts w:ascii="Times New Roman" w:eastAsia="Times New Roman" w:hAnsi="Times New Roman" w:cs="Times New Roman"/>
          <w:color w:val="auto"/>
          <w:sz w:val="28"/>
          <w:szCs w:val="28"/>
          <w:bdr w:val="none" w:sz="0" w:space="0" w:color="auto"/>
          <w:lang w:val="es-ES_tradnl"/>
        </w:rPr>
        <w:t xml:space="preserve">a que </w:t>
      </w:r>
      <w:r w:rsidR="00BC2054">
        <w:rPr>
          <w:rFonts w:ascii="Times New Roman" w:eastAsia="Times New Roman" w:hAnsi="Times New Roman" w:cs="Times New Roman"/>
          <w:color w:val="auto"/>
          <w:sz w:val="28"/>
          <w:szCs w:val="28"/>
          <w:bdr w:val="none" w:sz="0" w:space="0" w:color="auto"/>
          <w:lang w:val="es-ES_tradnl"/>
        </w:rPr>
        <w:t xml:space="preserve">las inversiones realizadas con motivo del Centro de difusión del conocimiento turístico (proyecto Place Marketing </w:t>
      </w:r>
      <w:proofErr w:type="spellStart"/>
      <w:r w:rsidR="00BC2054">
        <w:rPr>
          <w:rFonts w:ascii="Times New Roman" w:eastAsia="Times New Roman" w:hAnsi="Times New Roman" w:cs="Times New Roman"/>
          <w:color w:val="auto"/>
          <w:sz w:val="28"/>
          <w:szCs w:val="28"/>
          <w:bdr w:val="none" w:sz="0" w:space="0" w:color="auto"/>
          <w:lang w:val="es-ES_tradnl"/>
        </w:rPr>
        <w:t>Woermann</w:t>
      </w:r>
      <w:proofErr w:type="spellEnd"/>
      <w:r w:rsidR="00BC2054">
        <w:rPr>
          <w:rFonts w:ascii="Times New Roman" w:eastAsia="Times New Roman" w:hAnsi="Times New Roman" w:cs="Times New Roman"/>
          <w:color w:val="auto"/>
          <w:sz w:val="28"/>
          <w:szCs w:val="28"/>
          <w:bdr w:val="none" w:sz="0" w:space="0" w:color="auto"/>
          <w:lang w:val="es-ES_tradnl"/>
        </w:rPr>
        <w:t xml:space="preserve">) han sido superiores a lo previsto. </w:t>
      </w:r>
      <w:r w:rsidRPr="008E3641">
        <w:rPr>
          <w:rFonts w:ascii="Times New Roman" w:eastAsia="Times New Roman" w:hAnsi="Times New Roman" w:cs="Times New Roman"/>
          <w:color w:val="auto"/>
          <w:sz w:val="28"/>
          <w:szCs w:val="28"/>
          <w:bdr w:val="none" w:sz="0" w:space="0" w:color="auto"/>
          <w:lang w:val="es-ES_tradnl"/>
        </w:rPr>
        <w:t xml:space="preserve">   </w:t>
      </w:r>
    </w:p>
    <w:p w14:paraId="3B6ED050" w14:textId="77777777" w:rsidR="00CD1F71" w:rsidRDefault="00CD1F71" w:rsidP="00CD1F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253A50BA" w14:textId="77777777" w:rsidR="00CD1F71" w:rsidRPr="008E3641" w:rsidRDefault="00CD1F71" w:rsidP="00CD1F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8E3641">
        <w:rPr>
          <w:rFonts w:ascii="Times New Roman" w:eastAsia="Times New Roman" w:hAnsi="Times New Roman" w:cs="Times New Roman"/>
          <w:color w:val="auto"/>
          <w:sz w:val="28"/>
          <w:szCs w:val="28"/>
          <w:bdr w:val="none" w:sz="0" w:space="0" w:color="auto"/>
          <w:lang w:val="es-ES_tradnl"/>
        </w:rPr>
        <w:t>La desviación en Inversiones financieras a largo plazo viene motivada por el pago de la fianza de alquiler de las nuevas oficinas</w:t>
      </w:r>
      <w:r w:rsidR="00530104">
        <w:rPr>
          <w:rFonts w:ascii="Times New Roman" w:eastAsia="Times New Roman" w:hAnsi="Times New Roman" w:cs="Times New Roman"/>
          <w:color w:val="auto"/>
          <w:sz w:val="28"/>
          <w:szCs w:val="28"/>
          <w:bdr w:val="none" w:sz="0" w:space="0" w:color="auto"/>
          <w:lang w:val="es-ES_tradnl"/>
        </w:rPr>
        <w:t xml:space="preserve"> en el Edificio </w:t>
      </w:r>
      <w:proofErr w:type="spellStart"/>
      <w:r w:rsidR="00530104">
        <w:rPr>
          <w:rFonts w:ascii="Times New Roman" w:eastAsia="Times New Roman" w:hAnsi="Times New Roman" w:cs="Times New Roman"/>
          <w:color w:val="auto"/>
          <w:sz w:val="28"/>
          <w:szCs w:val="28"/>
          <w:bdr w:val="none" w:sz="0" w:space="0" w:color="auto"/>
          <w:lang w:val="es-ES_tradnl"/>
        </w:rPr>
        <w:t>Woermann</w:t>
      </w:r>
      <w:proofErr w:type="spellEnd"/>
      <w:r w:rsidRPr="008E3641">
        <w:rPr>
          <w:rFonts w:ascii="Times New Roman" w:eastAsia="Times New Roman" w:hAnsi="Times New Roman" w:cs="Times New Roman"/>
          <w:color w:val="auto"/>
          <w:sz w:val="28"/>
          <w:szCs w:val="28"/>
          <w:bdr w:val="none" w:sz="0" w:space="0" w:color="auto"/>
          <w:lang w:val="es-ES_tradnl"/>
        </w:rPr>
        <w:t>.</w:t>
      </w:r>
    </w:p>
    <w:p w14:paraId="4937A3DF" w14:textId="77777777" w:rsidR="00CD1F71" w:rsidRPr="00CD27CE" w:rsidRDefault="00CD1F71"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7696739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08" w:right="44" w:hanging="708"/>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r>
    </w:p>
    <w:p w14:paraId="04DDFA1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CD27CE">
        <w:rPr>
          <w:rFonts w:ascii="Times New Roman" w:eastAsia="Times New Roman" w:hAnsi="Times New Roman" w:cs="Times New Roman"/>
          <w:color w:val="auto"/>
          <w:sz w:val="28"/>
          <w:szCs w:val="28"/>
          <w:bdr w:val="none" w:sz="0" w:space="0" w:color="auto"/>
          <w:lang w:val="es-ES_tradnl"/>
        </w:rPr>
        <w:lastRenderedPageBreak/>
        <w:t xml:space="preserve">Por último, la desviación en Cobros y Pagos por instrumentos de Pasivo financiero es debida </w:t>
      </w:r>
      <w:r w:rsidR="00F768D3">
        <w:rPr>
          <w:rFonts w:ascii="Times New Roman" w:eastAsia="Times New Roman" w:hAnsi="Times New Roman" w:cs="Times New Roman"/>
          <w:color w:val="auto"/>
          <w:sz w:val="28"/>
          <w:szCs w:val="28"/>
          <w:bdr w:val="none" w:sz="0" w:space="0" w:color="auto"/>
          <w:lang w:val="es-ES_tradnl"/>
        </w:rPr>
        <w:t xml:space="preserve">principalmente a proveedores de inmovilizado pendientes de pago y a las fianzas depositadas por algunos licitadores. </w:t>
      </w:r>
    </w:p>
    <w:p w14:paraId="52D03D1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08" w:right="44" w:hanging="708"/>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r>
    </w:p>
    <w:p w14:paraId="19C3808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 xml:space="preserve">Las desviaciones del Presupuesto de </w:t>
      </w:r>
      <w:r w:rsidR="00623772">
        <w:rPr>
          <w:rFonts w:ascii="Times" w:eastAsia="Times" w:hAnsi="Times" w:cs="Times New Roman"/>
          <w:color w:val="auto"/>
          <w:sz w:val="28"/>
          <w:szCs w:val="28"/>
          <w:bdr w:val="none" w:sz="0" w:space="0" w:color="auto"/>
          <w:lang w:val="es-ES_tradnl" w:eastAsia="es-ES"/>
        </w:rPr>
        <w:t>C</w:t>
      </w:r>
      <w:r w:rsidRPr="00CD27CE">
        <w:rPr>
          <w:rFonts w:ascii="Times" w:eastAsia="Times" w:hAnsi="Times" w:cs="Times New Roman"/>
          <w:color w:val="auto"/>
          <w:sz w:val="28"/>
          <w:szCs w:val="28"/>
          <w:bdr w:val="none" w:sz="0" w:space="0" w:color="auto"/>
          <w:lang w:val="es-ES_tradnl" w:eastAsia="es-ES"/>
        </w:rPr>
        <w:t xml:space="preserve">apital, comentadas y </w:t>
      </w:r>
      <w:r w:rsidRPr="00CD27CE">
        <w:rPr>
          <w:rFonts w:ascii="Times" w:eastAsia="Times" w:hAnsi="Times" w:cs="Times New Roman"/>
          <w:color w:val="auto"/>
          <w:sz w:val="28"/>
          <w:szCs w:val="28"/>
          <w:bdr w:val="none" w:sz="0" w:space="0" w:color="auto"/>
          <w:lang w:val="es-ES_tradnl" w:eastAsia="es-ES"/>
        </w:rPr>
        <w:tab/>
        <w:t xml:space="preserve">reflejadas en el Anexo I.B, cumplen con la normativa </w:t>
      </w:r>
      <w:r w:rsidRPr="00CD27CE">
        <w:rPr>
          <w:rFonts w:ascii="Times" w:eastAsia="Times" w:hAnsi="Times" w:cs="Times New Roman"/>
          <w:color w:val="auto"/>
          <w:sz w:val="28"/>
          <w:szCs w:val="28"/>
          <w:bdr w:val="none" w:sz="0" w:space="0" w:color="auto"/>
          <w:lang w:val="es-ES_tradnl" w:eastAsia="es-ES"/>
        </w:rPr>
        <w:tab/>
        <w:t xml:space="preserve">vigente, puesto que se trata básicamente de modificaciones </w:t>
      </w:r>
      <w:r w:rsidRPr="00CD27CE">
        <w:rPr>
          <w:rFonts w:ascii="Times" w:eastAsia="Times" w:hAnsi="Times" w:cs="Times New Roman"/>
          <w:color w:val="auto"/>
          <w:sz w:val="28"/>
          <w:szCs w:val="28"/>
          <w:bdr w:val="none" w:sz="0" w:space="0" w:color="auto"/>
          <w:lang w:val="es-ES_tradnl" w:eastAsia="es-ES"/>
        </w:rPr>
        <w:tab/>
        <w:t>de capital circulante</w:t>
      </w:r>
      <w:r w:rsidR="00C42AA1">
        <w:rPr>
          <w:rFonts w:ascii="Times" w:eastAsia="Times" w:hAnsi="Times" w:cs="Times New Roman"/>
          <w:color w:val="auto"/>
          <w:sz w:val="28"/>
          <w:szCs w:val="28"/>
          <w:bdr w:val="none" w:sz="0" w:space="0" w:color="auto"/>
          <w:lang w:val="es-ES_tradnl" w:eastAsia="es-ES"/>
        </w:rPr>
        <w:t xml:space="preserve"> e inversiones realizadas por la empresa dentro de los límites presupuestarios</w:t>
      </w:r>
      <w:r w:rsidRPr="00CD27CE">
        <w:rPr>
          <w:rFonts w:ascii="Times" w:eastAsia="Times" w:hAnsi="Times" w:cs="Times New Roman"/>
          <w:color w:val="auto"/>
          <w:sz w:val="28"/>
          <w:szCs w:val="28"/>
          <w:bdr w:val="none" w:sz="0" w:space="0" w:color="auto"/>
          <w:lang w:val="es-ES_tradnl" w:eastAsia="es-ES"/>
        </w:rPr>
        <w:t xml:space="preserve">. </w:t>
      </w:r>
    </w:p>
    <w:p w14:paraId="7C27971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15DBF61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b/>
          <w:color w:val="auto"/>
          <w:sz w:val="28"/>
          <w:szCs w:val="28"/>
          <w:bdr w:val="none" w:sz="0" w:space="0" w:color="auto"/>
          <w:lang w:val="es-ES_tradnl" w:eastAsia="es-ES"/>
        </w:rPr>
      </w:pPr>
    </w:p>
    <w:p w14:paraId="327DAF8C" w14:textId="77777777" w:rsidR="00CD27CE" w:rsidRPr="00CD27CE" w:rsidRDefault="00CD27CE" w:rsidP="00CD27C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87CAC">
        <w:rPr>
          <w:rFonts w:ascii="Times" w:eastAsia="Times" w:hAnsi="Times" w:cs="Times New Roman"/>
          <w:b/>
          <w:color w:val="auto"/>
          <w:sz w:val="28"/>
          <w:szCs w:val="28"/>
          <w:bdr w:val="none" w:sz="0" w:space="0" w:color="auto"/>
          <w:lang w:val="es-ES_tradnl" w:eastAsia="es-ES"/>
        </w:rPr>
        <w:t>Información por islas de las inversiones</w:t>
      </w:r>
      <w:r w:rsidRPr="00CD27CE">
        <w:rPr>
          <w:rFonts w:ascii="Times" w:eastAsia="Times" w:hAnsi="Times" w:cs="Times New Roman"/>
          <w:b/>
          <w:color w:val="auto"/>
          <w:sz w:val="28"/>
          <w:szCs w:val="28"/>
          <w:bdr w:val="none" w:sz="0" w:space="0" w:color="auto"/>
          <w:lang w:val="es-ES_tradnl" w:eastAsia="es-ES"/>
        </w:rPr>
        <w:t xml:space="preserve"> (Anexo II)</w:t>
      </w:r>
    </w:p>
    <w:p w14:paraId="1AC44EC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b/>
          <w:color w:val="auto"/>
          <w:sz w:val="28"/>
          <w:szCs w:val="28"/>
          <w:bdr w:val="none" w:sz="0" w:space="0" w:color="auto"/>
          <w:lang w:val="es-ES_tradnl" w:eastAsia="es-ES"/>
        </w:rPr>
      </w:pPr>
    </w:p>
    <w:p w14:paraId="780DDAC3" w14:textId="77777777" w:rsidR="000D3F33"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 xml:space="preserve">La empresa no tiene </w:t>
      </w:r>
      <w:r w:rsidR="000A610E">
        <w:rPr>
          <w:rFonts w:ascii="Times" w:eastAsia="Times" w:hAnsi="Times" w:cs="Times New Roman"/>
          <w:color w:val="auto"/>
          <w:sz w:val="28"/>
          <w:szCs w:val="28"/>
          <w:bdr w:val="none" w:sz="0" w:space="0" w:color="auto"/>
          <w:lang w:val="es-ES_tradnl" w:eastAsia="es-ES"/>
        </w:rPr>
        <w:t>grandes in</w:t>
      </w:r>
      <w:r w:rsidRPr="00CD27CE">
        <w:rPr>
          <w:rFonts w:ascii="Times" w:eastAsia="Times" w:hAnsi="Times" w:cs="Times New Roman"/>
          <w:color w:val="auto"/>
          <w:sz w:val="28"/>
          <w:szCs w:val="28"/>
          <w:bdr w:val="none" w:sz="0" w:space="0" w:color="auto"/>
          <w:lang w:val="es-ES_tradnl" w:eastAsia="es-ES"/>
        </w:rPr>
        <w:t xml:space="preserve">versiones, sólo dispone del </w:t>
      </w:r>
      <w:r w:rsidRPr="00CD27CE">
        <w:rPr>
          <w:rFonts w:ascii="Times" w:eastAsia="Times" w:hAnsi="Times" w:cs="Times New Roman"/>
          <w:color w:val="auto"/>
          <w:sz w:val="28"/>
          <w:szCs w:val="28"/>
          <w:bdr w:val="none" w:sz="0" w:space="0" w:color="auto"/>
          <w:lang w:val="es-ES_tradnl" w:eastAsia="es-ES"/>
        </w:rPr>
        <w:tab/>
        <w:t>inmovilizado</w:t>
      </w:r>
      <w:r w:rsidR="003B4443">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material (mobiliario, equipos informáticos, etc.) e </w:t>
      </w:r>
      <w:r w:rsidRPr="00CD27CE">
        <w:rPr>
          <w:rFonts w:ascii="Times" w:eastAsia="Times" w:hAnsi="Times" w:cs="Times New Roman"/>
          <w:color w:val="auto"/>
          <w:sz w:val="28"/>
          <w:szCs w:val="28"/>
          <w:bdr w:val="none" w:sz="0" w:space="0" w:color="auto"/>
          <w:lang w:val="es-ES_tradnl" w:eastAsia="es-ES"/>
        </w:rPr>
        <w:tab/>
        <w:t xml:space="preserve">intangible (aplicaciones informáticas, etc.) necesario para el </w:t>
      </w:r>
      <w:r w:rsidRPr="00CD27CE">
        <w:rPr>
          <w:rFonts w:ascii="Times" w:eastAsia="Times" w:hAnsi="Times" w:cs="Times New Roman"/>
          <w:color w:val="auto"/>
          <w:sz w:val="28"/>
          <w:szCs w:val="28"/>
          <w:bdr w:val="none" w:sz="0" w:space="0" w:color="auto"/>
          <w:lang w:val="es-ES_tradnl" w:eastAsia="es-ES"/>
        </w:rPr>
        <w:tab/>
        <w:t xml:space="preserve">desarrollo de la actividad, para las oficinas de Gran Canaria y </w:t>
      </w:r>
      <w:r w:rsidRPr="00CD27CE">
        <w:rPr>
          <w:rFonts w:ascii="Times" w:eastAsia="Times" w:hAnsi="Times" w:cs="Times New Roman"/>
          <w:color w:val="auto"/>
          <w:sz w:val="28"/>
          <w:szCs w:val="28"/>
          <w:bdr w:val="none" w:sz="0" w:space="0" w:color="auto"/>
          <w:lang w:val="es-ES_tradnl" w:eastAsia="es-ES"/>
        </w:rPr>
        <w:tab/>
        <w:t xml:space="preserve">Tenerife. </w:t>
      </w:r>
    </w:p>
    <w:p w14:paraId="468E61D3" w14:textId="77777777" w:rsidR="000D3F33" w:rsidRDefault="000D3F3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F4BC693" w14:textId="77777777" w:rsidR="000D3F33" w:rsidRDefault="00623772"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bookmarkStart w:id="1" w:name="_Hlk38634950"/>
      <w:r>
        <w:rPr>
          <w:rFonts w:ascii="Times" w:eastAsia="Times" w:hAnsi="Times" w:cs="Times New Roman"/>
          <w:color w:val="auto"/>
          <w:sz w:val="28"/>
          <w:szCs w:val="28"/>
          <w:bdr w:val="none" w:sz="0" w:space="0" w:color="auto"/>
          <w:lang w:val="es-ES_tradnl" w:eastAsia="es-ES"/>
        </w:rPr>
        <w:t>Dentro d</w:t>
      </w:r>
      <w:r w:rsidR="00CD27CE" w:rsidRPr="00CD27CE">
        <w:rPr>
          <w:rFonts w:ascii="Times" w:eastAsia="Times" w:hAnsi="Times" w:cs="Times New Roman"/>
          <w:color w:val="auto"/>
          <w:sz w:val="28"/>
          <w:szCs w:val="28"/>
          <w:bdr w:val="none" w:sz="0" w:space="0" w:color="auto"/>
          <w:lang w:val="es-ES_tradnl" w:eastAsia="es-ES"/>
        </w:rPr>
        <w:t xml:space="preserve">el Inmovilizado Intangible </w:t>
      </w:r>
      <w:r>
        <w:rPr>
          <w:rFonts w:ascii="Times" w:eastAsia="Times" w:hAnsi="Times" w:cs="Times New Roman"/>
          <w:color w:val="auto"/>
          <w:sz w:val="28"/>
          <w:szCs w:val="28"/>
          <w:bdr w:val="none" w:sz="0" w:space="0" w:color="auto"/>
          <w:lang w:val="es-ES_tradnl" w:eastAsia="es-ES"/>
        </w:rPr>
        <w:t xml:space="preserve">destaca la nueva plataforma de licitación y contratación electrónica. Su </w:t>
      </w:r>
      <w:r w:rsidR="000D3F33">
        <w:rPr>
          <w:rFonts w:ascii="Times" w:eastAsia="Times" w:hAnsi="Times" w:cs="Times New Roman"/>
          <w:color w:val="auto"/>
          <w:sz w:val="28"/>
          <w:szCs w:val="28"/>
          <w:bdr w:val="none" w:sz="0" w:space="0" w:color="auto"/>
          <w:lang w:val="es-ES_tradnl" w:eastAsia="es-ES"/>
        </w:rPr>
        <w:t>fecha</w:t>
      </w:r>
      <w:r>
        <w:rPr>
          <w:rFonts w:ascii="Times" w:eastAsia="Times" w:hAnsi="Times" w:cs="Times New Roman"/>
          <w:color w:val="auto"/>
          <w:sz w:val="28"/>
          <w:szCs w:val="28"/>
          <w:bdr w:val="none" w:sz="0" w:space="0" w:color="auto"/>
          <w:lang w:val="es-ES_tradnl" w:eastAsia="es-ES"/>
        </w:rPr>
        <w:t xml:space="preserve"> prevista</w:t>
      </w:r>
      <w:r w:rsidR="000D3F33">
        <w:rPr>
          <w:rFonts w:ascii="Times" w:eastAsia="Times" w:hAnsi="Times" w:cs="Times New Roman"/>
          <w:color w:val="auto"/>
          <w:sz w:val="28"/>
          <w:szCs w:val="28"/>
          <w:bdr w:val="none" w:sz="0" w:space="0" w:color="auto"/>
          <w:lang w:val="es-ES_tradnl" w:eastAsia="es-ES"/>
        </w:rPr>
        <w:t xml:space="preserve"> de entrada en funcionamiento </w:t>
      </w:r>
      <w:r>
        <w:rPr>
          <w:rFonts w:ascii="Times" w:eastAsia="Times" w:hAnsi="Times" w:cs="Times New Roman"/>
          <w:color w:val="auto"/>
          <w:sz w:val="28"/>
          <w:szCs w:val="28"/>
          <w:bdr w:val="none" w:sz="0" w:space="0" w:color="auto"/>
          <w:lang w:val="es-ES_tradnl" w:eastAsia="es-ES"/>
        </w:rPr>
        <w:t>era</w:t>
      </w:r>
      <w:r w:rsidR="000D3F33">
        <w:rPr>
          <w:rFonts w:ascii="Times" w:eastAsia="Times" w:hAnsi="Times" w:cs="Times New Roman"/>
          <w:color w:val="auto"/>
          <w:sz w:val="28"/>
          <w:szCs w:val="28"/>
          <w:bdr w:val="none" w:sz="0" w:space="0" w:color="auto"/>
          <w:lang w:val="es-ES_tradnl" w:eastAsia="es-ES"/>
        </w:rPr>
        <w:t xml:space="preserve"> inicialmente </w:t>
      </w:r>
      <w:r>
        <w:rPr>
          <w:rFonts w:ascii="Times" w:eastAsia="Times" w:hAnsi="Times" w:cs="Times New Roman"/>
          <w:color w:val="auto"/>
          <w:sz w:val="28"/>
          <w:szCs w:val="28"/>
          <w:bdr w:val="none" w:sz="0" w:space="0" w:color="auto"/>
          <w:lang w:val="es-ES_tradnl" w:eastAsia="es-ES"/>
        </w:rPr>
        <w:t>en</w:t>
      </w:r>
      <w:r w:rsidR="000D3F33">
        <w:rPr>
          <w:rFonts w:ascii="Times" w:eastAsia="Times" w:hAnsi="Times" w:cs="Times New Roman"/>
          <w:color w:val="auto"/>
          <w:sz w:val="28"/>
          <w:szCs w:val="28"/>
          <w:bdr w:val="none" w:sz="0" w:space="0" w:color="auto"/>
          <w:lang w:val="es-ES_tradnl" w:eastAsia="es-ES"/>
        </w:rPr>
        <w:t xml:space="preserve"> 2018 pero su implantación definitiva se produjo en 2019, lo </w:t>
      </w:r>
      <w:r w:rsidR="000D3F33">
        <w:rPr>
          <w:rFonts w:ascii="Times" w:eastAsia="Times" w:hAnsi="Times" w:cs="Times New Roman"/>
          <w:color w:val="auto"/>
          <w:sz w:val="28"/>
          <w:szCs w:val="28"/>
          <w:bdr w:val="none" w:sz="0" w:space="0" w:color="auto"/>
          <w:lang w:val="es-ES_tradnl" w:eastAsia="es-ES"/>
        </w:rPr>
        <w:tab/>
        <w:t>que hizo que la amortización devengada fuera inferior a la prevista en el PAIF.</w:t>
      </w:r>
      <w:r w:rsidR="00CD27CE" w:rsidRPr="00CD27CE">
        <w:rPr>
          <w:rFonts w:ascii="Times" w:eastAsia="Times" w:hAnsi="Times" w:cs="Times New Roman"/>
          <w:color w:val="auto"/>
          <w:sz w:val="28"/>
          <w:szCs w:val="28"/>
          <w:bdr w:val="none" w:sz="0" w:space="0" w:color="auto"/>
          <w:lang w:val="es-ES_tradnl" w:eastAsia="es-ES"/>
        </w:rPr>
        <w:t xml:space="preserve"> </w:t>
      </w:r>
    </w:p>
    <w:p w14:paraId="790DD6F5" w14:textId="77777777" w:rsidR="000D3F33" w:rsidRDefault="000D3F3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2FC61E0" w14:textId="77777777" w:rsidR="000D3F33" w:rsidRDefault="00623772" w:rsidP="000D3F33">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Pr>
          <w:rFonts w:ascii="Times New Roman" w:eastAsia="Times New Roman" w:hAnsi="Times New Roman" w:cs="Times New Roman"/>
          <w:color w:val="auto"/>
          <w:sz w:val="28"/>
          <w:szCs w:val="28"/>
          <w:bdr w:val="none" w:sz="0" w:space="0" w:color="auto"/>
          <w:lang w:val="es-ES_tradnl"/>
        </w:rPr>
        <w:t xml:space="preserve">Dentro del </w:t>
      </w:r>
      <w:r w:rsidR="000D3F33" w:rsidRPr="008E3641">
        <w:rPr>
          <w:rFonts w:ascii="Times New Roman" w:eastAsia="Times New Roman" w:hAnsi="Times New Roman" w:cs="Times New Roman"/>
          <w:color w:val="auto"/>
          <w:sz w:val="28"/>
          <w:szCs w:val="28"/>
          <w:bdr w:val="none" w:sz="0" w:space="0" w:color="auto"/>
          <w:lang w:val="es-ES_tradnl"/>
        </w:rPr>
        <w:t xml:space="preserve">Inmovilizado Material </w:t>
      </w:r>
      <w:r>
        <w:rPr>
          <w:rFonts w:ascii="Times New Roman" w:eastAsia="Times New Roman" w:hAnsi="Times New Roman" w:cs="Times New Roman"/>
          <w:color w:val="auto"/>
          <w:sz w:val="28"/>
          <w:szCs w:val="28"/>
          <w:bdr w:val="none" w:sz="0" w:space="0" w:color="auto"/>
          <w:lang w:val="es-ES_tradnl"/>
        </w:rPr>
        <w:t>destaca la</w:t>
      </w:r>
      <w:r w:rsidR="000D3F33" w:rsidRPr="008E3641">
        <w:rPr>
          <w:rFonts w:ascii="Times New Roman" w:eastAsia="Times New Roman" w:hAnsi="Times New Roman" w:cs="Times New Roman"/>
          <w:color w:val="auto"/>
          <w:sz w:val="28"/>
          <w:szCs w:val="28"/>
          <w:bdr w:val="none" w:sz="0" w:space="0" w:color="auto"/>
          <w:lang w:val="es-ES_tradnl"/>
        </w:rPr>
        <w:t xml:space="preserve"> de baja el Derecho de Uso del local de Víctor Hugo el 22 de julio, con motivo del traslado de oficinas al Edificio </w:t>
      </w:r>
      <w:proofErr w:type="spellStart"/>
      <w:r w:rsidR="000D3F33" w:rsidRPr="008E3641">
        <w:rPr>
          <w:rFonts w:ascii="Times New Roman" w:eastAsia="Times New Roman" w:hAnsi="Times New Roman" w:cs="Times New Roman"/>
          <w:color w:val="auto"/>
          <w:sz w:val="28"/>
          <w:szCs w:val="28"/>
          <w:bdr w:val="none" w:sz="0" w:space="0" w:color="auto"/>
          <w:lang w:val="es-ES_tradnl"/>
        </w:rPr>
        <w:t>Woermann</w:t>
      </w:r>
      <w:proofErr w:type="spellEnd"/>
      <w:r w:rsidR="000D3F33" w:rsidRPr="008E3641">
        <w:rPr>
          <w:rFonts w:ascii="Times New Roman" w:eastAsia="Times New Roman" w:hAnsi="Times New Roman" w:cs="Times New Roman"/>
          <w:color w:val="auto"/>
          <w:sz w:val="28"/>
          <w:szCs w:val="28"/>
          <w:bdr w:val="none" w:sz="0" w:space="0" w:color="auto"/>
          <w:lang w:val="es-ES_tradnl"/>
        </w:rPr>
        <w:t xml:space="preserve">. Por otro lado, </w:t>
      </w:r>
      <w:r>
        <w:rPr>
          <w:rFonts w:ascii="Times New Roman" w:eastAsia="Times New Roman" w:hAnsi="Times New Roman" w:cs="Times New Roman"/>
          <w:color w:val="auto"/>
          <w:sz w:val="28"/>
          <w:szCs w:val="28"/>
          <w:bdr w:val="none" w:sz="0" w:space="0" w:color="auto"/>
          <w:lang w:val="es-ES_tradnl"/>
        </w:rPr>
        <w:t xml:space="preserve">destacan </w:t>
      </w:r>
      <w:r w:rsidR="000D3F33" w:rsidRPr="008E3641">
        <w:rPr>
          <w:rFonts w:ascii="Times New Roman" w:eastAsia="Times New Roman" w:hAnsi="Times New Roman" w:cs="Times New Roman"/>
          <w:color w:val="auto"/>
          <w:sz w:val="28"/>
          <w:szCs w:val="28"/>
          <w:bdr w:val="none" w:sz="0" w:space="0" w:color="auto"/>
          <w:lang w:val="es-ES_tradnl"/>
        </w:rPr>
        <w:t xml:space="preserve">las inversiones </w:t>
      </w:r>
      <w:r w:rsidR="00682DA0">
        <w:rPr>
          <w:rFonts w:ascii="Times New Roman" w:eastAsia="Times New Roman" w:hAnsi="Times New Roman" w:cs="Times New Roman"/>
          <w:color w:val="auto"/>
          <w:sz w:val="28"/>
          <w:szCs w:val="28"/>
          <w:bdr w:val="none" w:sz="0" w:space="0" w:color="auto"/>
          <w:lang w:val="es-ES_tradnl"/>
        </w:rPr>
        <w:t>realizadas</w:t>
      </w:r>
      <w:r w:rsidR="000D3F33" w:rsidRPr="008E3641">
        <w:rPr>
          <w:rFonts w:ascii="Times New Roman" w:eastAsia="Times New Roman" w:hAnsi="Times New Roman" w:cs="Times New Roman"/>
          <w:color w:val="auto"/>
          <w:sz w:val="28"/>
          <w:szCs w:val="28"/>
          <w:bdr w:val="none" w:sz="0" w:space="0" w:color="auto"/>
          <w:lang w:val="es-ES_tradnl"/>
        </w:rPr>
        <w:t xml:space="preserve"> con motivo del Centro de difusión del conocimiento turístico (proyecto Place Marketing </w:t>
      </w:r>
      <w:proofErr w:type="spellStart"/>
      <w:r w:rsidR="000D3F33" w:rsidRPr="008E3641">
        <w:rPr>
          <w:rFonts w:ascii="Times New Roman" w:eastAsia="Times New Roman" w:hAnsi="Times New Roman" w:cs="Times New Roman"/>
          <w:color w:val="auto"/>
          <w:sz w:val="28"/>
          <w:szCs w:val="28"/>
          <w:bdr w:val="none" w:sz="0" w:space="0" w:color="auto"/>
          <w:lang w:val="es-ES_tradnl"/>
        </w:rPr>
        <w:t>Woermann</w:t>
      </w:r>
      <w:proofErr w:type="spellEnd"/>
      <w:r w:rsidR="000D3F33" w:rsidRPr="008E3641">
        <w:rPr>
          <w:rFonts w:ascii="Times New Roman" w:eastAsia="Times New Roman" w:hAnsi="Times New Roman" w:cs="Times New Roman"/>
          <w:color w:val="auto"/>
          <w:sz w:val="28"/>
          <w:szCs w:val="28"/>
          <w:bdr w:val="none" w:sz="0" w:space="0" w:color="auto"/>
          <w:lang w:val="es-ES_tradnl"/>
        </w:rPr>
        <w:t xml:space="preserve">).   </w:t>
      </w:r>
    </w:p>
    <w:p w14:paraId="4743A55E" w14:textId="77777777" w:rsidR="003F37C2" w:rsidRDefault="003F37C2" w:rsidP="000D3F33">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092BDC92" w14:textId="77777777" w:rsidR="003F37C2" w:rsidRPr="008E3641" w:rsidRDefault="003F37C2" w:rsidP="003F37C2">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8E3641">
        <w:rPr>
          <w:rFonts w:ascii="Times New Roman" w:eastAsia="Times New Roman" w:hAnsi="Times New Roman" w:cs="Times New Roman"/>
          <w:color w:val="auto"/>
          <w:sz w:val="28"/>
          <w:szCs w:val="28"/>
          <w:bdr w:val="none" w:sz="0" w:space="0" w:color="auto"/>
          <w:lang w:val="es-ES_tradnl"/>
        </w:rPr>
        <w:t>La</w:t>
      </w:r>
      <w:r w:rsidR="00623772">
        <w:rPr>
          <w:rFonts w:ascii="Times New Roman" w:eastAsia="Times New Roman" w:hAnsi="Times New Roman" w:cs="Times New Roman"/>
          <w:color w:val="auto"/>
          <w:sz w:val="28"/>
          <w:szCs w:val="28"/>
          <w:bdr w:val="none" w:sz="0" w:space="0" w:color="auto"/>
          <w:lang w:val="es-ES_tradnl"/>
        </w:rPr>
        <w:t>s</w:t>
      </w:r>
      <w:r w:rsidRPr="008E3641">
        <w:rPr>
          <w:rFonts w:ascii="Times New Roman" w:eastAsia="Times New Roman" w:hAnsi="Times New Roman" w:cs="Times New Roman"/>
          <w:color w:val="auto"/>
          <w:sz w:val="28"/>
          <w:szCs w:val="28"/>
          <w:bdr w:val="none" w:sz="0" w:space="0" w:color="auto"/>
          <w:lang w:val="es-ES_tradnl"/>
        </w:rPr>
        <w:t xml:space="preserve"> Inversiones financieras a largo plazo viene</w:t>
      </w:r>
      <w:r w:rsidR="00623772">
        <w:rPr>
          <w:rFonts w:ascii="Times New Roman" w:eastAsia="Times New Roman" w:hAnsi="Times New Roman" w:cs="Times New Roman"/>
          <w:color w:val="auto"/>
          <w:sz w:val="28"/>
          <w:szCs w:val="28"/>
          <w:bdr w:val="none" w:sz="0" w:space="0" w:color="auto"/>
          <w:lang w:val="es-ES_tradnl"/>
        </w:rPr>
        <w:t>n derivadas del</w:t>
      </w:r>
      <w:r w:rsidRPr="008E3641">
        <w:rPr>
          <w:rFonts w:ascii="Times New Roman" w:eastAsia="Times New Roman" w:hAnsi="Times New Roman" w:cs="Times New Roman"/>
          <w:color w:val="auto"/>
          <w:sz w:val="28"/>
          <w:szCs w:val="28"/>
          <w:bdr w:val="none" w:sz="0" w:space="0" w:color="auto"/>
          <w:lang w:val="es-ES_tradnl"/>
        </w:rPr>
        <w:t xml:space="preserve"> pago de la fianza de alquiler de las nuevas oficinas</w:t>
      </w:r>
      <w:r w:rsidR="00623772">
        <w:rPr>
          <w:rFonts w:ascii="Times New Roman" w:eastAsia="Times New Roman" w:hAnsi="Times New Roman" w:cs="Times New Roman"/>
          <w:color w:val="auto"/>
          <w:sz w:val="28"/>
          <w:szCs w:val="28"/>
          <w:bdr w:val="none" w:sz="0" w:space="0" w:color="auto"/>
          <w:lang w:val="es-ES_tradnl"/>
        </w:rPr>
        <w:t xml:space="preserve"> en el </w:t>
      </w:r>
      <w:proofErr w:type="spellStart"/>
      <w:r w:rsidR="00623772">
        <w:rPr>
          <w:rFonts w:ascii="Times New Roman" w:eastAsia="Times New Roman" w:hAnsi="Times New Roman" w:cs="Times New Roman"/>
          <w:color w:val="auto"/>
          <w:sz w:val="28"/>
          <w:szCs w:val="28"/>
          <w:bdr w:val="none" w:sz="0" w:space="0" w:color="auto"/>
          <w:lang w:val="es-ES_tradnl"/>
        </w:rPr>
        <w:t>Woermann</w:t>
      </w:r>
      <w:proofErr w:type="spellEnd"/>
      <w:r w:rsidRPr="008E3641">
        <w:rPr>
          <w:rFonts w:ascii="Times New Roman" w:eastAsia="Times New Roman" w:hAnsi="Times New Roman" w:cs="Times New Roman"/>
          <w:color w:val="auto"/>
          <w:sz w:val="28"/>
          <w:szCs w:val="28"/>
          <w:bdr w:val="none" w:sz="0" w:space="0" w:color="auto"/>
          <w:lang w:val="es-ES_tradnl"/>
        </w:rPr>
        <w:t>.</w:t>
      </w:r>
    </w:p>
    <w:bookmarkEnd w:id="1"/>
    <w:p w14:paraId="72B98336" w14:textId="77777777" w:rsidR="003F37C2" w:rsidRPr="008E3641" w:rsidRDefault="003F37C2" w:rsidP="000D3F33">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51EB94F8" w14:textId="77777777" w:rsidR="000D3F33" w:rsidRDefault="000D3F3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5BECCB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En las Cuentas Anuales que acompañan a este </w:t>
      </w:r>
      <w:r w:rsidRPr="00CD27CE">
        <w:rPr>
          <w:rFonts w:ascii="Times" w:eastAsia="Times" w:hAnsi="Times" w:cs="Times New Roman"/>
          <w:color w:val="auto"/>
          <w:sz w:val="28"/>
          <w:szCs w:val="28"/>
          <w:bdr w:val="none" w:sz="0" w:space="0" w:color="auto"/>
          <w:lang w:val="es-ES_tradnl" w:eastAsia="es-ES"/>
        </w:rPr>
        <w:tab/>
        <w:t xml:space="preserve">informe se refleja bastante información al respecto. Cabe </w:t>
      </w:r>
      <w:r w:rsidRPr="00CD27CE">
        <w:rPr>
          <w:rFonts w:ascii="Times" w:eastAsia="Times" w:hAnsi="Times" w:cs="Times New Roman"/>
          <w:color w:val="auto"/>
          <w:sz w:val="28"/>
          <w:szCs w:val="28"/>
          <w:bdr w:val="none" w:sz="0" w:space="0" w:color="auto"/>
          <w:lang w:val="es-ES_tradnl" w:eastAsia="es-ES"/>
        </w:rPr>
        <w:tab/>
        <w:t xml:space="preserve">destacar que la empresa cumple con lo presupuestado, tal </w:t>
      </w:r>
      <w:r w:rsidRPr="00CD27CE">
        <w:rPr>
          <w:rFonts w:ascii="Times" w:eastAsia="Times" w:hAnsi="Times" w:cs="Times New Roman"/>
          <w:color w:val="auto"/>
          <w:sz w:val="28"/>
          <w:szCs w:val="28"/>
          <w:bdr w:val="none" w:sz="0" w:space="0" w:color="auto"/>
          <w:lang w:val="es-ES_tradnl" w:eastAsia="es-ES"/>
        </w:rPr>
        <w:tab/>
        <w:t xml:space="preserve">como se refleja en el epígrafe de Pagos por inversiones de </w:t>
      </w:r>
      <w:r w:rsidRPr="00CD27CE">
        <w:rPr>
          <w:rFonts w:ascii="Times" w:eastAsia="Times" w:hAnsi="Times" w:cs="Times New Roman"/>
          <w:color w:val="auto"/>
          <w:sz w:val="28"/>
          <w:szCs w:val="28"/>
          <w:bdr w:val="none" w:sz="0" w:space="0" w:color="auto"/>
          <w:lang w:val="es-ES_tradnl" w:eastAsia="es-ES"/>
        </w:rPr>
        <w:tab/>
        <w:t xml:space="preserve">inmovilizado que </w:t>
      </w:r>
      <w:r w:rsidRPr="00CD27CE">
        <w:rPr>
          <w:rFonts w:ascii="Times" w:eastAsia="Times" w:hAnsi="Times" w:cs="Times New Roman"/>
          <w:color w:val="auto"/>
          <w:sz w:val="28"/>
          <w:szCs w:val="28"/>
          <w:bdr w:val="none" w:sz="0" w:space="0" w:color="auto"/>
          <w:lang w:val="es-ES_tradnl" w:eastAsia="es-ES"/>
        </w:rPr>
        <w:tab/>
        <w:t xml:space="preserve">figura en el </w:t>
      </w:r>
      <w:r w:rsidRPr="00CD27CE">
        <w:rPr>
          <w:rFonts w:ascii="Times" w:eastAsia="Times" w:hAnsi="Times" w:cs="Times New Roman"/>
          <w:color w:val="auto"/>
          <w:sz w:val="28"/>
          <w:szCs w:val="28"/>
          <w:bdr w:val="none" w:sz="0" w:space="0" w:color="auto"/>
          <w:lang w:val="es-ES_tradnl" w:eastAsia="es-ES"/>
        </w:rPr>
        <w:tab/>
        <w:t>Estado de Flujo de Efectivos.</w:t>
      </w:r>
    </w:p>
    <w:p w14:paraId="13C0E53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6A267387" w14:textId="77777777" w:rsidR="00CD27CE" w:rsidRPr="000C3D71" w:rsidRDefault="000A610E" w:rsidP="000C3D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bookmarkStart w:id="2" w:name="_Hlk38615899"/>
      <w:r w:rsidRPr="008E3641">
        <w:rPr>
          <w:rFonts w:ascii="Times New Roman" w:eastAsia="Times New Roman" w:hAnsi="Times New Roman" w:cs="Times New Roman"/>
          <w:color w:val="auto"/>
          <w:sz w:val="28"/>
          <w:szCs w:val="28"/>
          <w:bdr w:val="none" w:sz="0" w:space="0" w:color="auto"/>
          <w:lang w:val="es-ES_tradnl"/>
        </w:rPr>
        <w:t xml:space="preserve">  </w:t>
      </w:r>
      <w:bookmarkEnd w:id="2"/>
    </w:p>
    <w:p w14:paraId="602AE83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p>
    <w:p w14:paraId="691C896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B) Información relativa a la ejecución de los contratos-programa, convenios, encomiendas, aportaciones dinerarias y subvenciones y su grado de cumplimiento (Anexo III)</w:t>
      </w:r>
    </w:p>
    <w:p w14:paraId="06D14B4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p>
    <w:p w14:paraId="2641C87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Esta información viene reflejada en los Anexos III.A y III.B.</w:t>
      </w:r>
    </w:p>
    <w:p w14:paraId="44B4901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E089CC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0B73FAC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 xml:space="preserve">C) </w:t>
      </w:r>
      <w:r w:rsidRPr="00FB3A30">
        <w:rPr>
          <w:rFonts w:ascii="Times" w:eastAsia="Times" w:hAnsi="Times" w:cs="Times New Roman"/>
          <w:b/>
          <w:color w:val="auto"/>
          <w:sz w:val="28"/>
          <w:szCs w:val="28"/>
          <w:bdr w:val="none" w:sz="0" w:space="0" w:color="auto"/>
          <w:lang w:val="es-ES_tradnl" w:eastAsia="es-ES"/>
        </w:rPr>
        <w:t>Información relativa al cumplimiento de la normativa en materia de contratación que han de cumplir las entidades del sector público</w:t>
      </w:r>
      <w:r w:rsidRPr="00CD27CE">
        <w:rPr>
          <w:rFonts w:ascii="Times" w:eastAsia="Times" w:hAnsi="Times" w:cs="Times New Roman"/>
          <w:b/>
          <w:color w:val="auto"/>
          <w:sz w:val="28"/>
          <w:szCs w:val="28"/>
          <w:bdr w:val="none" w:sz="0" w:space="0" w:color="auto"/>
          <w:lang w:val="es-ES_tradnl" w:eastAsia="es-ES"/>
        </w:rPr>
        <w:tab/>
      </w:r>
    </w:p>
    <w:p w14:paraId="7B69694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 w:val="28"/>
          <w:szCs w:val="28"/>
          <w:bdr w:val="none" w:sz="0" w:space="0" w:color="auto"/>
          <w:lang w:val="es-ES_tradnl" w:eastAsia="es-ES"/>
        </w:rPr>
      </w:pPr>
    </w:p>
    <w:p w14:paraId="1D80C8AA"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ind w:left="1" w:hanging="1"/>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 xml:space="preserve">Conforme al artículo 5 de la Orden de 24 de febrero de 2011, la presente información se detalla teniendo en cuenta la consideración de </w:t>
      </w:r>
      <w:r w:rsidRPr="00FB3A30">
        <w:rPr>
          <w:rFonts w:eastAsia="Times"/>
          <w:b/>
          <w:color w:val="auto"/>
          <w:sz w:val="22"/>
          <w:szCs w:val="22"/>
          <w:bdr w:val="none" w:sz="0" w:space="0" w:color="auto"/>
          <w:lang w:eastAsia="es-ES"/>
        </w:rPr>
        <w:t>PROMOTUR TURISMO CANARIAS, S.A.</w:t>
      </w:r>
      <w:r w:rsidRPr="00FB3A30">
        <w:rPr>
          <w:rFonts w:eastAsia="Times"/>
          <w:color w:val="auto"/>
          <w:sz w:val="22"/>
          <w:szCs w:val="22"/>
          <w:bdr w:val="none" w:sz="0" w:space="0" w:color="auto"/>
          <w:lang w:eastAsia="es-ES"/>
        </w:rPr>
        <w:t xml:space="preserve"> como </w:t>
      </w:r>
      <w:r w:rsidRPr="00FB3A30">
        <w:rPr>
          <w:rFonts w:eastAsia="Times"/>
          <w:b/>
          <w:color w:val="auto"/>
          <w:sz w:val="22"/>
          <w:szCs w:val="22"/>
          <w:u w:val="single"/>
          <w:bdr w:val="none" w:sz="0" w:space="0" w:color="auto"/>
          <w:lang w:eastAsia="es-ES"/>
        </w:rPr>
        <w:t>poder adjudicador</w:t>
      </w:r>
      <w:r w:rsidRPr="00FB3A30">
        <w:rPr>
          <w:rFonts w:eastAsia="Times"/>
          <w:color w:val="auto"/>
          <w:sz w:val="22"/>
          <w:szCs w:val="22"/>
          <w:bdr w:val="none" w:sz="0" w:space="0" w:color="auto"/>
          <w:lang w:eastAsia="es-ES"/>
        </w:rPr>
        <w:t xml:space="preserve"> no administración pública (</w:t>
      </w:r>
      <w:r w:rsidRPr="00FB3A30">
        <w:rPr>
          <w:rFonts w:eastAsia="Times"/>
          <w:b/>
          <w:color w:val="auto"/>
          <w:sz w:val="22"/>
          <w:szCs w:val="22"/>
          <w:bdr w:val="none" w:sz="0" w:space="0" w:color="auto"/>
          <w:lang w:eastAsia="es-ES"/>
        </w:rPr>
        <w:t>PANAP</w:t>
      </w:r>
      <w:r w:rsidRPr="00FB3A30">
        <w:rPr>
          <w:rFonts w:eastAsia="Times"/>
          <w:color w:val="auto"/>
          <w:sz w:val="22"/>
          <w:szCs w:val="22"/>
          <w:bdr w:val="none" w:sz="0" w:space="0" w:color="auto"/>
          <w:lang w:eastAsia="es-ES"/>
        </w:rPr>
        <w:t>).</w:t>
      </w:r>
    </w:p>
    <w:p w14:paraId="709EF5C0"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ind w:left="1" w:hanging="1"/>
        <w:jc w:val="both"/>
        <w:outlineLvl w:val="9"/>
        <w:rPr>
          <w:rFonts w:eastAsia="Times"/>
          <w:color w:val="auto"/>
          <w:sz w:val="22"/>
          <w:szCs w:val="22"/>
          <w:bdr w:val="none" w:sz="0" w:space="0" w:color="auto"/>
          <w:lang w:eastAsia="es-ES"/>
        </w:rPr>
      </w:pPr>
    </w:p>
    <w:p w14:paraId="1D46C3D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ind w:left="1" w:hanging="1"/>
        <w:jc w:val="both"/>
        <w:outlineLvl w:val="9"/>
        <w:rPr>
          <w:rFonts w:eastAsia="Times"/>
          <w:color w:val="auto"/>
          <w:sz w:val="22"/>
          <w:szCs w:val="22"/>
          <w:u w:val="single"/>
          <w:bdr w:val="none" w:sz="0" w:space="0" w:color="auto"/>
          <w:lang w:eastAsia="es-ES"/>
        </w:rPr>
      </w:pPr>
      <w:r w:rsidRPr="00FB3A30">
        <w:rPr>
          <w:rFonts w:eastAsia="Times"/>
          <w:color w:val="auto"/>
          <w:sz w:val="22"/>
          <w:szCs w:val="22"/>
          <w:bdr w:val="none" w:sz="0" w:space="0" w:color="auto"/>
          <w:lang w:eastAsia="es-ES"/>
        </w:rPr>
        <w:t xml:space="preserve">El 08 de marzo de </w:t>
      </w:r>
      <w:r w:rsidRPr="00FB3A30">
        <w:rPr>
          <w:rFonts w:eastAsia="Times"/>
          <w:b/>
          <w:color w:val="auto"/>
          <w:sz w:val="22"/>
          <w:szCs w:val="22"/>
          <w:bdr w:val="none" w:sz="0" w:space="0" w:color="auto"/>
          <w:lang w:eastAsia="es-ES"/>
        </w:rPr>
        <w:t>2018</w:t>
      </w:r>
      <w:r w:rsidRPr="00FB3A30">
        <w:rPr>
          <w:rFonts w:eastAsia="Times"/>
          <w:color w:val="auto"/>
          <w:sz w:val="22"/>
          <w:szCs w:val="22"/>
          <w:bdr w:val="none" w:sz="0" w:space="0" w:color="auto"/>
          <w:lang w:eastAsia="es-ES"/>
        </w:rPr>
        <w:t xml:space="preserve">, entra en vigor la Ley 9/2017, de 8 de noviembre, de Contratos del Sector Público, por la que se transponen al ordenamiento jurídico español las Directivas del Parlamento Europeo y del Consejo 2014/23/UE y 2014/24/UE, de 26 de febrero de 2014, a raíz de la cual, la contratación pública de </w:t>
      </w:r>
      <w:r w:rsidRPr="00FB3A30">
        <w:rPr>
          <w:rFonts w:eastAsia="Times"/>
          <w:b/>
          <w:color w:val="auto"/>
          <w:sz w:val="22"/>
          <w:szCs w:val="22"/>
          <w:bdr w:val="none" w:sz="0" w:space="0" w:color="auto"/>
          <w:lang w:eastAsia="es-ES"/>
        </w:rPr>
        <w:t>PROMOTUR</w:t>
      </w:r>
      <w:r w:rsidRPr="00FB3A30">
        <w:rPr>
          <w:rFonts w:eastAsia="Times"/>
          <w:color w:val="auto"/>
          <w:sz w:val="22"/>
          <w:szCs w:val="22"/>
          <w:bdr w:val="none" w:sz="0" w:space="0" w:color="auto"/>
          <w:lang w:eastAsia="es-ES"/>
        </w:rPr>
        <w:t xml:space="preserve">, se realiza conforme a dicha norma en cuanto </w:t>
      </w:r>
      <w:r w:rsidRPr="00FB3A30">
        <w:rPr>
          <w:rFonts w:eastAsia="Times"/>
          <w:b/>
          <w:color w:val="auto"/>
          <w:sz w:val="22"/>
          <w:szCs w:val="22"/>
          <w:u w:val="single"/>
          <w:bdr w:val="none" w:sz="0" w:space="0" w:color="auto"/>
          <w:lang w:eastAsia="es-ES"/>
        </w:rPr>
        <w:t>PROMOTUR</w:t>
      </w:r>
      <w:r w:rsidRPr="00FB3A30">
        <w:rPr>
          <w:rFonts w:eastAsia="Times"/>
          <w:color w:val="auto"/>
          <w:sz w:val="22"/>
          <w:szCs w:val="22"/>
          <w:u w:val="single"/>
          <w:bdr w:val="none" w:sz="0" w:space="0" w:color="auto"/>
          <w:lang w:eastAsia="es-ES"/>
        </w:rPr>
        <w:t xml:space="preserve"> tiene la consideración de Poder Adjudicador No Administración Pública (</w:t>
      </w:r>
      <w:r w:rsidRPr="00FB3A30">
        <w:rPr>
          <w:rFonts w:eastAsia="Times"/>
          <w:b/>
          <w:color w:val="auto"/>
          <w:sz w:val="22"/>
          <w:szCs w:val="22"/>
          <w:u w:val="single"/>
          <w:bdr w:val="none" w:sz="0" w:space="0" w:color="auto"/>
          <w:lang w:eastAsia="es-ES"/>
        </w:rPr>
        <w:t>PANAP)</w:t>
      </w:r>
      <w:r w:rsidRPr="00FB3A30">
        <w:rPr>
          <w:rFonts w:eastAsia="Times"/>
          <w:color w:val="auto"/>
          <w:sz w:val="22"/>
          <w:szCs w:val="22"/>
          <w:u w:val="single"/>
          <w:bdr w:val="none" w:sz="0" w:space="0" w:color="auto"/>
          <w:lang w:eastAsia="es-ES"/>
        </w:rPr>
        <w:t xml:space="preserve"> según el artículo 3.3.d) de dicha norma.</w:t>
      </w:r>
    </w:p>
    <w:p w14:paraId="3ED405B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66EC2BEC"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r w:rsidRPr="00FB3A30">
        <w:rPr>
          <w:rFonts w:eastAsia="Times New Roman"/>
          <w:color w:val="auto"/>
          <w:sz w:val="22"/>
          <w:szCs w:val="22"/>
          <w:bdr w:val="none" w:sz="0" w:space="0" w:color="auto"/>
        </w:rPr>
        <w:t xml:space="preserve">Dentro de la normativa antes citada, se relacionan los distintos contratos licitados, adjudicados y/o formalizados por </w:t>
      </w:r>
      <w:r w:rsidRPr="00FB3A30">
        <w:rPr>
          <w:rFonts w:eastAsia="Times New Roman"/>
          <w:b/>
          <w:color w:val="auto"/>
          <w:sz w:val="22"/>
          <w:szCs w:val="22"/>
          <w:bdr w:val="none" w:sz="0" w:space="0" w:color="auto"/>
        </w:rPr>
        <w:t>PROMOTUR TURISMO CANARIAS, S.A.</w:t>
      </w:r>
      <w:r w:rsidRPr="00FB3A30">
        <w:rPr>
          <w:rFonts w:eastAsia="Times New Roman"/>
          <w:color w:val="auto"/>
          <w:sz w:val="22"/>
          <w:szCs w:val="22"/>
          <w:bdr w:val="none" w:sz="0" w:space="0" w:color="auto"/>
        </w:rPr>
        <w:t xml:space="preserve"> desde el </w:t>
      </w:r>
      <w:r w:rsidRPr="00FB3A30">
        <w:rPr>
          <w:rFonts w:eastAsia="Times New Roman"/>
          <w:b/>
          <w:color w:val="auto"/>
          <w:sz w:val="22"/>
          <w:szCs w:val="22"/>
          <w:u w:val="single"/>
          <w:bdr w:val="none" w:sz="0" w:space="0" w:color="auto"/>
        </w:rPr>
        <w:t>1 de enero de 2019 al 31 de diciembre de 2019</w:t>
      </w:r>
      <w:r w:rsidRPr="00FB3A30">
        <w:rPr>
          <w:rFonts w:eastAsia="Times New Roman"/>
          <w:color w:val="auto"/>
          <w:sz w:val="22"/>
          <w:szCs w:val="22"/>
          <w:bdr w:val="none" w:sz="0" w:space="0" w:color="auto"/>
        </w:rPr>
        <w:t>:</w:t>
      </w:r>
    </w:p>
    <w:p w14:paraId="0D5DF2E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color w:val="auto"/>
          <w:sz w:val="22"/>
          <w:szCs w:val="22"/>
          <w:bdr w:val="none" w:sz="0" w:space="0" w:color="auto"/>
        </w:rPr>
      </w:pPr>
    </w:p>
    <w:tbl>
      <w:tblPr>
        <w:tblW w:w="4941" w:type="pct"/>
        <w:jc w:val="center"/>
        <w:tblCellMar>
          <w:left w:w="70" w:type="dxa"/>
          <w:right w:w="70" w:type="dxa"/>
        </w:tblCellMar>
        <w:tblLook w:val="04A0" w:firstRow="1" w:lastRow="0" w:firstColumn="1" w:lastColumn="0" w:noHBand="0" w:noVBand="1"/>
      </w:tblPr>
      <w:tblGrid>
        <w:gridCol w:w="4672"/>
        <w:gridCol w:w="1561"/>
        <w:gridCol w:w="2715"/>
      </w:tblGrid>
      <w:tr w:rsidR="00FB3A30" w:rsidRPr="00FB3A30" w14:paraId="38B859BB" w14:textId="77777777" w:rsidTr="001A60DF">
        <w:trPr>
          <w:trHeight w:val="468"/>
          <w:tblHeader/>
          <w:jc w:val="center"/>
        </w:trPr>
        <w:tc>
          <w:tcPr>
            <w:tcW w:w="261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83C2630"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r w:rsidRPr="00FB3A30">
              <w:rPr>
                <w:rFonts w:ascii="Calibri" w:eastAsia="Times New Roman" w:hAnsi="Calibri" w:cs="Calibri"/>
                <w:b/>
                <w:bCs/>
                <w:sz w:val="20"/>
                <w:szCs w:val="20"/>
                <w:bdr w:val="none" w:sz="0" w:space="0" w:color="auto"/>
                <w:lang w:eastAsia="es-ES"/>
              </w:rPr>
              <w:t>Tipo de Contratación</w:t>
            </w:r>
          </w:p>
        </w:tc>
        <w:tc>
          <w:tcPr>
            <w:tcW w:w="872" w:type="pct"/>
            <w:vMerge w:val="restart"/>
            <w:tcBorders>
              <w:top w:val="single" w:sz="4" w:space="0" w:color="auto"/>
              <w:left w:val="single" w:sz="4" w:space="0" w:color="auto"/>
              <w:bottom w:val="single" w:sz="4" w:space="0" w:color="auto"/>
              <w:right w:val="nil"/>
            </w:tcBorders>
            <w:shd w:val="clear" w:color="auto" w:fill="B4C6E7" w:themeFill="accent1" w:themeFillTint="66"/>
            <w:noWrap/>
            <w:vAlign w:val="center"/>
            <w:hideMark/>
          </w:tcPr>
          <w:p w14:paraId="6691E7F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proofErr w:type="spellStart"/>
            <w:r w:rsidRPr="00FB3A30">
              <w:rPr>
                <w:rFonts w:ascii="Calibri" w:eastAsia="Times New Roman" w:hAnsi="Calibri" w:cs="Calibri"/>
                <w:b/>
                <w:bCs/>
                <w:sz w:val="20"/>
                <w:szCs w:val="20"/>
                <w:bdr w:val="none" w:sz="0" w:space="0" w:color="auto"/>
                <w:lang w:eastAsia="es-ES"/>
              </w:rPr>
              <w:t>Nº</w:t>
            </w:r>
            <w:proofErr w:type="spellEnd"/>
            <w:r w:rsidRPr="00FB3A30">
              <w:rPr>
                <w:rFonts w:ascii="Calibri" w:eastAsia="Times New Roman" w:hAnsi="Calibri" w:cs="Calibri"/>
                <w:b/>
                <w:bCs/>
                <w:sz w:val="20"/>
                <w:szCs w:val="20"/>
                <w:bdr w:val="none" w:sz="0" w:space="0" w:color="auto"/>
                <w:lang w:eastAsia="es-ES"/>
              </w:rPr>
              <w:t xml:space="preserve"> Contratos</w:t>
            </w:r>
          </w:p>
        </w:tc>
        <w:tc>
          <w:tcPr>
            <w:tcW w:w="1518" w:type="pct"/>
            <w:vMerge w:val="restart"/>
            <w:tcBorders>
              <w:top w:val="single" w:sz="4" w:space="0" w:color="auto"/>
              <w:left w:val="nil"/>
              <w:right w:val="single" w:sz="4" w:space="0" w:color="auto"/>
            </w:tcBorders>
            <w:shd w:val="clear" w:color="auto" w:fill="B4C6E7" w:themeFill="accent1" w:themeFillTint="66"/>
            <w:noWrap/>
            <w:vAlign w:val="center"/>
            <w:hideMark/>
          </w:tcPr>
          <w:p w14:paraId="067CB11F"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r w:rsidRPr="00FB3A30">
              <w:rPr>
                <w:rFonts w:ascii="Calibri" w:eastAsia="Times New Roman" w:hAnsi="Calibri" w:cs="Calibri"/>
                <w:b/>
                <w:bCs/>
                <w:sz w:val="20"/>
                <w:szCs w:val="20"/>
                <w:bdr w:val="none" w:sz="0" w:space="0" w:color="auto"/>
                <w:lang w:eastAsia="es-ES"/>
              </w:rPr>
              <w:t>Total</w:t>
            </w:r>
          </w:p>
          <w:p w14:paraId="78A3A330"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r w:rsidRPr="00FB3A30">
              <w:rPr>
                <w:rFonts w:ascii="Calibri" w:eastAsia="Times New Roman" w:hAnsi="Calibri" w:cs="Calibri"/>
                <w:b/>
                <w:bCs/>
                <w:sz w:val="20"/>
                <w:szCs w:val="20"/>
                <w:bdr w:val="none" w:sz="0" w:space="0" w:color="auto"/>
                <w:lang w:eastAsia="es-ES"/>
              </w:rPr>
              <w:t>Importes</w:t>
            </w:r>
          </w:p>
        </w:tc>
      </w:tr>
      <w:tr w:rsidR="00FB3A30" w:rsidRPr="00FB3A30" w14:paraId="40744E29" w14:textId="77777777" w:rsidTr="001A60DF">
        <w:trPr>
          <w:trHeight w:val="468"/>
          <w:tblHeader/>
          <w:jc w:val="center"/>
        </w:trPr>
        <w:tc>
          <w:tcPr>
            <w:tcW w:w="2611"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35726FD"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p>
        </w:tc>
        <w:tc>
          <w:tcPr>
            <w:tcW w:w="872" w:type="pct"/>
            <w:vMerge/>
            <w:tcBorders>
              <w:left w:val="single" w:sz="4" w:space="0" w:color="auto"/>
              <w:bottom w:val="single" w:sz="4" w:space="0" w:color="auto"/>
              <w:right w:val="single" w:sz="4" w:space="0" w:color="auto"/>
            </w:tcBorders>
            <w:shd w:val="clear" w:color="auto" w:fill="B4C6E7" w:themeFill="accent1" w:themeFillTint="66"/>
            <w:noWrap/>
            <w:vAlign w:val="center"/>
            <w:hideMark/>
          </w:tcPr>
          <w:p w14:paraId="117F7967"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p>
        </w:tc>
        <w:tc>
          <w:tcPr>
            <w:tcW w:w="1518" w:type="pct"/>
            <w:vMerge/>
            <w:tcBorders>
              <w:left w:val="nil"/>
              <w:bottom w:val="single" w:sz="4" w:space="0" w:color="auto"/>
              <w:right w:val="single" w:sz="4" w:space="0" w:color="auto"/>
            </w:tcBorders>
            <w:shd w:val="clear" w:color="auto" w:fill="B4C6E7" w:themeFill="accent1" w:themeFillTint="66"/>
            <w:noWrap/>
            <w:vAlign w:val="center"/>
            <w:hideMark/>
          </w:tcPr>
          <w:p w14:paraId="62610E73"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p>
        </w:tc>
      </w:tr>
      <w:tr w:rsidR="00FB3A30" w:rsidRPr="00FB3A30" w14:paraId="7F1C51DE" w14:textId="77777777" w:rsidTr="001A60DF">
        <w:trPr>
          <w:trHeight w:val="288"/>
          <w:jc w:val="center"/>
        </w:trPr>
        <w:tc>
          <w:tcPr>
            <w:tcW w:w="2611" w:type="pct"/>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8E74273"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LCSP - Contratos Servicios</w:t>
            </w:r>
          </w:p>
        </w:tc>
        <w:tc>
          <w:tcPr>
            <w:tcW w:w="872" w:type="pct"/>
            <w:tcBorders>
              <w:top w:val="nil"/>
              <w:left w:val="nil"/>
              <w:bottom w:val="single" w:sz="4" w:space="0" w:color="auto"/>
              <w:right w:val="single" w:sz="4" w:space="0" w:color="auto"/>
            </w:tcBorders>
            <w:shd w:val="clear" w:color="auto" w:fill="D9E2F3" w:themeFill="accent1" w:themeFillTint="33"/>
            <w:noWrap/>
            <w:vAlign w:val="bottom"/>
          </w:tcPr>
          <w:p w14:paraId="6AED218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p>
        </w:tc>
        <w:tc>
          <w:tcPr>
            <w:tcW w:w="1518" w:type="pct"/>
            <w:tcBorders>
              <w:top w:val="nil"/>
              <w:left w:val="nil"/>
              <w:bottom w:val="single" w:sz="4" w:space="0" w:color="auto"/>
              <w:right w:val="single" w:sz="4" w:space="0" w:color="auto"/>
            </w:tcBorders>
            <w:shd w:val="clear" w:color="auto" w:fill="D9E2F3" w:themeFill="accent1" w:themeFillTint="33"/>
            <w:noWrap/>
            <w:vAlign w:val="bottom"/>
          </w:tcPr>
          <w:p w14:paraId="262BF32A"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p>
        </w:tc>
      </w:tr>
      <w:tr w:rsidR="00FB3A30" w:rsidRPr="00FB3A30" w14:paraId="2DC30AE8" w14:textId="77777777" w:rsidTr="001A60DF">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hideMark/>
          </w:tcPr>
          <w:p w14:paraId="7C7DBA04"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CM-BS</w:t>
            </w:r>
          </w:p>
        </w:tc>
        <w:tc>
          <w:tcPr>
            <w:tcW w:w="872" w:type="pct"/>
            <w:tcBorders>
              <w:top w:val="nil"/>
              <w:left w:val="nil"/>
              <w:bottom w:val="single" w:sz="4" w:space="0" w:color="auto"/>
              <w:right w:val="single" w:sz="4" w:space="0" w:color="auto"/>
            </w:tcBorders>
            <w:shd w:val="clear" w:color="auto" w:fill="auto"/>
            <w:noWrap/>
            <w:vAlign w:val="bottom"/>
          </w:tcPr>
          <w:p w14:paraId="7E561BC4"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1</w:t>
            </w:r>
          </w:p>
        </w:tc>
        <w:tc>
          <w:tcPr>
            <w:tcW w:w="1518" w:type="pct"/>
            <w:tcBorders>
              <w:top w:val="nil"/>
              <w:left w:val="nil"/>
              <w:bottom w:val="single" w:sz="4" w:space="0" w:color="auto"/>
              <w:right w:val="single" w:sz="4" w:space="0" w:color="auto"/>
            </w:tcBorders>
            <w:shd w:val="clear" w:color="auto" w:fill="auto"/>
            <w:noWrap/>
            <w:vAlign w:val="bottom"/>
          </w:tcPr>
          <w:p w14:paraId="48743932"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9.540,00€</w:t>
            </w:r>
          </w:p>
        </w:tc>
      </w:tr>
      <w:tr w:rsidR="00FB3A30" w:rsidRPr="00FB3A30" w14:paraId="75D5C52E" w14:textId="77777777" w:rsidTr="001A60DF">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tcPr>
          <w:p w14:paraId="2E8634A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CM</w:t>
            </w:r>
          </w:p>
        </w:tc>
        <w:tc>
          <w:tcPr>
            <w:tcW w:w="872" w:type="pct"/>
            <w:tcBorders>
              <w:top w:val="nil"/>
              <w:left w:val="nil"/>
              <w:bottom w:val="single" w:sz="4" w:space="0" w:color="auto"/>
              <w:right w:val="single" w:sz="4" w:space="0" w:color="auto"/>
            </w:tcBorders>
            <w:shd w:val="clear" w:color="auto" w:fill="auto"/>
            <w:noWrap/>
            <w:vAlign w:val="bottom"/>
          </w:tcPr>
          <w:p w14:paraId="6D9EEAB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43</w:t>
            </w:r>
          </w:p>
        </w:tc>
        <w:tc>
          <w:tcPr>
            <w:tcW w:w="1518" w:type="pct"/>
            <w:tcBorders>
              <w:top w:val="nil"/>
              <w:left w:val="nil"/>
              <w:bottom w:val="single" w:sz="4" w:space="0" w:color="auto"/>
              <w:right w:val="single" w:sz="4" w:space="0" w:color="auto"/>
            </w:tcBorders>
            <w:shd w:val="clear" w:color="auto" w:fill="auto"/>
            <w:noWrap/>
            <w:vAlign w:val="bottom"/>
          </w:tcPr>
          <w:p w14:paraId="049F7EF2"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458.886,44€</w:t>
            </w:r>
          </w:p>
        </w:tc>
      </w:tr>
      <w:tr w:rsidR="00FB3A30" w:rsidRPr="00FB3A30" w14:paraId="1F6B7B7F" w14:textId="77777777" w:rsidTr="001A60DF">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hideMark/>
          </w:tcPr>
          <w:p w14:paraId="24FA698D"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NE</w:t>
            </w:r>
          </w:p>
        </w:tc>
        <w:tc>
          <w:tcPr>
            <w:tcW w:w="872" w:type="pct"/>
            <w:tcBorders>
              <w:top w:val="nil"/>
              <w:left w:val="nil"/>
              <w:bottom w:val="single" w:sz="4" w:space="0" w:color="auto"/>
              <w:right w:val="single" w:sz="4" w:space="0" w:color="auto"/>
            </w:tcBorders>
            <w:shd w:val="clear" w:color="auto" w:fill="auto"/>
            <w:noWrap/>
            <w:vAlign w:val="bottom"/>
          </w:tcPr>
          <w:p w14:paraId="35B0192B"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4</w:t>
            </w:r>
          </w:p>
        </w:tc>
        <w:tc>
          <w:tcPr>
            <w:tcW w:w="1518" w:type="pct"/>
            <w:tcBorders>
              <w:top w:val="nil"/>
              <w:left w:val="nil"/>
              <w:bottom w:val="single" w:sz="4" w:space="0" w:color="auto"/>
              <w:right w:val="single" w:sz="4" w:space="0" w:color="auto"/>
            </w:tcBorders>
            <w:shd w:val="clear" w:color="auto" w:fill="auto"/>
            <w:noWrap/>
            <w:vAlign w:val="bottom"/>
          </w:tcPr>
          <w:p w14:paraId="3FC26362"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1.136.572,77€</w:t>
            </w:r>
          </w:p>
        </w:tc>
      </w:tr>
      <w:tr w:rsidR="00FB3A30" w:rsidRPr="00FB3A30" w14:paraId="30F0FB8B" w14:textId="77777777" w:rsidTr="001A60DF">
        <w:trPr>
          <w:trHeight w:val="288"/>
          <w:jc w:val="center"/>
        </w:trPr>
        <w:tc>
          <w:tcPr>
            <w:tcW w:w="2611" w:type="pct"/>
            <w:tcBorders>
              <w:top w:val="nil"/>
              <w:left w:val="single" w:sz="4" w:space="0" w:color="auto"/>
              <w:bottom w:val="single" w:sz="4" w:space="0" w:color="auto"/>
              <w:right w:val="single" w:sz="4" w:space="0" w:color="auto"/>
            </w:tcBorders>
            <w:shd w:val="clear" w:color="D9E1F2" w:fill="D9E1F2"/>
            <w:noWrap/>
            <w:vAlign w:val="bottom"/>
            <w:hideMark/>
          </w:tcPr>
          <w:p w14:paraId="796D8941"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 xml:space="preserve">Total </w:t>
            </w:r>
          </w:p>
        </w:tc>
        <w:tc>
          <w:tcPr>
            <w:tcW w:w="872" w:type="pct"/>
            <w:tcBorders>
              <w:top w:val="nil"/>
              <w:left w:val="nil"/>
              <w:bottom w:val="single" w:sz="4" w:space="0" w:color="auto"/>
              <w:right w:val="single" w:sz="4" w:space="0" w:color="auto"/>
            </w:tcBorders>
            <w:shd w:val="clear" w:color="D9E1F2" w:fill="D9E1F2"/>
            <w:noWrap/>
            <w:vAlign w:val="bottom"/>
          </w:tcPr>
          <w:p w14:paraId="7A3785CF"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48</w:t>
            </w:r>
          </w:p>
        </w:tc>
        <w:tc>
          <w:tcPr>
            <w:tcW w:w="1518" w:type="pct"/>
            <w:tcBorders>
              <w:top w:val="nil"/>
              <w:left w:val="nil"/>
              <w:bottom w:val="single" w:sz="4" w:space="0" w:color="auto"/>
              <w:right w:val="single" w:sz="4" w:space="0" w:color="auto"/>
            </w:tcBorders>
            <w:shd w:val="clear" w:color="D9E1F2" w:fill="D9E1F2"/>
            <w:noWrap/>
            <w:vAlign w:val="bottom"/>
          </w:tcPr>
          <w:p w14:paraId="3F155880"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1.604.999,21€</w:t>
            </w:r>
          </w:p>
        </w:tc>
      </w:tr>
    </w:tbl>
    <w:p w14:paraId="27EEE38E"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129C932F"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tbl>
      <w:tblPr>
        <w:tblW w:w="5000" w:type="pct"/>
        <w:tblCellMar>
          <w:left w:w="70" w:type="dxa"/>
          <w:right w:w="70" w:type="dxa"/>
        </w:tblCellMar>
        <w:tblLook w:val="04A0" w:firstRow="1" w:lastRow="0" w:firstColumn="1" w:lastColumn="0" w:noHBand="0" w:noVBand="1"/>
      </w:tblPr>
      <w:tblGrid>
        <w:gridCol w:w="4680"/>
        <w:gridCol w:w="1552"/>
        <w:gridCol w:w="2823"/>
      </w:tblGrid>
      <w:tr w:rsidR="00FB3A30" w:rsidRPr="00FB3A30" w14:paraId="7FA5B6DA" w14:textId="77777777" w:rsidTr="001A60DF">
        <w:trPr>
          <w:trHeight w:val="288"/>
        </w:trPr>
        <w:tc>
          <w:tcPr>
            <w:tcW w:w="258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BC72853"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Tipo de Contratación</w:t>
            </w:r>
          </w:p>
        </w:tc>
        <w:tc>
          <w:tcPr>
            <w:tcW w:w="8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262BF1C"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proofErr w:type="spellStart"/>
            <w:r w:rsidRPr="00FB3A30">
              <w:rPr>
                <w:rFonts w:ascii="Calibri" w:eastAsia="Times New Roman" w:hAnsi="Calibri" w:cs="Calibri"/>
                <w:b/>
                <w:bCs/>
                <w:sz w:val="22"/>
                <w:szCs w:val="22"/>
                <w:bdr w:val="none" w:sz="0" w:space="0" w:color="auto"/>
                <w:lang w:eastAsia="es-ES"/>
              </w:rPr>
              <w:t>Nº</w:t>
            </w:r>
            <w:proofErr w:type="spellEnd"/>
            <w:r w:rsidRPr="00FB3A30">
              <w:rPr>
                <w:rFonts w:ascii="Calibri" w:eastAsia="Times New Roman" w:hAnsi="Calibri" w:cs="Calibri"/>
                <w:b/>
                <w:bCs/>
                <w:sz w:val="22"/>
                <w:szCs w:val="22"/>
                <w:bdr w:val="none" w:sz="0" w:space="0" w:color="auto"/>
                <w:lang w:eastAsia="es-ES"/>
              </w:rPr>
              <w:t xml:space="preserve"> Facturas</w:t>
            </w:r>
          </w:p>
        </w:tc>
        <w:tc>
          <w:tcPr>
            <w:tcW w:w="155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14A6F89"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Total Importe</w:t>
            </w:r>
          </w:p>
        </w:tc>
      </w:tr>
      <w:tr w:rsidR="00FB3A30" w:rsidRPr="00FB3A30" w14:paraId="4AA0C320" w14:textId="77777777" w:rsidTr="001A60DF">
        <w:trPr>
          <w:trHeight w:val="288"/>
        </w:trPr>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D27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LCSP - Anticipo de caja fija</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AF015"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480</w:t>
            </w:r>
          </w:p>
        </w:tc>
        <w:tc>
          <w:tcPr>
            <w:tcW w:w="15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908BB"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52.654,26€</w:t>
            </w:r>
          </w:p>
        </w:tc>
      </w:tr>
      <w:tr w:rsidR="00FB3A30" w:rsidRPr="00FB3A30" w14:paraId="0EC3E879" w14:textId="77777777" w:rsidTr="001A60DF">
        <w:trPr>
          <w:trHeight w:val="288"/>
        </w:trPr>
        <w:tc>
          <w:tcPr>
            <w:tcW w:w="258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A909F"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Total</w:t>
            </w:r>
          </w:p>
        </w:tc>
        <w:tc>
          <w:tcPr>
            <w:tcW w:w="857" w:type="pct"/>
            <w:tcBorders>
              <w:top w:val="single" w:sz="4" w:space="0" w:color="auto"/>
              <w:left w:val="single" w:sz="4" w:space="0" w:color="auto"/>
              <w:bottom w:val="single" w:sz="4" w:space="0" w:color="auto"/>
              <w:right w:val="single" w:sz="4" w:space="0" w:color="auto"/>
            </w:tcBorders>
            <w:shd w:val="clear" w:color="D9E1F2" w:fill="D9E1F2"/>
            <w:noWrap/>
            <w:vAlign w:val="bottom"/>
          </w:tcPr>
          <w:p w14:paraId="573AF01D"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480</w:t>
            </w:r>
          </w:p>
        </w:tc>
        <w:tc>
          <w:tcPr>
            <w:tcW w:w="1559" w:type="pct"/>
            <w:tcBorders>
              <w:top w:val="single" w:sz="4" w:space="0" w:color="auto"/>
              <w:left w:val="single" w:sz="4" w:space="0" w:color="auto"/>
              <w:bottom w:val="single" w:sz="4" w:space="0" w:color="auto"/>
              <w:right w:val="single" w:sz="4" w:space="0" w:color="auto"/>
            </w:tcBorders>
            <w:shd w:val="clear" w:color="D9E1F2" w:fill="D9E1F2"/>
            <w:noWrap/>
            <w:vAlign w:val="bottom"/>
          </w:tcPr>
          <w:p w14:paraId="0B1A65E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52.654,26€</w:t>
            </w:r>
          </w:p>
        </w:tc>
      </w:tr>
    </w:tbl>
    <w:p w14:paraId="0CBA1B1D"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5AAEE101"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En dichas contrataciones se han seguido los siguientes procedimientos:</w:t>
      </w:r>
    </w:p>
    <w:p w14:paraId="01FAC96B"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0D0DD07C"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502"/>
        <w:contextualSpacing/>
        <w:jc w:val="both"/>
        <w:outlineLvl w:val="9"/>
        <w:rPr>
          <w:rFonts w:eastAsia="Times New Roman"/>
          <w:color w:val="auto"/>
          <w:sz w:val="22"/>
          <w:szCs w:val="22"/>
          <w:bdr w:val="none" w:sz="0" w:space="0" w:color="auto"/>
          <w:lang w:eastAsia="es-ES"/>
        </w:rPr>
      </w:pPr>
      <w:r w:rsidRPr="00FB3A30">
        <w:rPr>
          <w:rFonts w:eastAsia="Times New Roman"/>
          <w:color w:val="auto"/>
          <w:sz w:val="22"/>
          <w:szCs w:val="22"/>
          <w:bdr w:val="none" w:sz="0" w:space="0" w:color="auto"/>
          <w:lang w:eastAsia="es-ES"/>
        </w:rPr>
        <w:lastRenderedPageBreak/>
        <w:t xml:space="preserve">El procedimiento de adjudicación </w:t>
      </w:r>
      <w:r w:rsidRPr="00FB3A30">
        <w:rPr>
          <w:rFonts w:eastAsia="Times New Roman"/>
          <w:color w:val="auto"/>
          <w:sz w:val="22"/>
          <w:szCs w:val="22"/>
          <w:u w:val="single"/>
          <w:bdr w:val="none" w:sz="0" w:space="0" w:color="auto"/>
          <w:lang w:eastAsia="es-ES"/>
        </w:rPr>
        <w:t>negociado por exclusividad (</w:t>
      </w:r>
      <w:r w:rsidRPr="00FB3A30">
        <w:rPr>
          <w:rFonts w:eastAsia="Times New Roman"/>
          <w:b/>
          <w:color w:val="auto"/>
          <w:sz w:val="22"/>
          <w:szCs w:val="22"/>
          <w:u w:val="single"/>
          <w:bdr w:val="none" w:sz="0" w:space="0" w:color="auto"/>
          <w:lang w:eastAsia="es-ES"/>
        </w:rPr>
        <w:t>NE</w:t>
      </w:r>
      <w:r w:rsidRPr="00FB3A30">
        <w:rPr>
          <w:rFonts w:eastAsia="Times New Roman"/>
          <w:color w:val="auto"/>
          <w:sz w:val="22"/>
          <w:szCs w:val="22"/>
          <w:u w:val="single"/>
          <w:bdr w:val="none" w:sz="0" w:space="0" w:color="auto"/>
          <w:lang w:eastAsia="es-ES"/>
        </w:rPr>
        <w:t>)</w:t>
      </w:r>
      <w:r w:rsidRPr="00FB3A30">
        <w:rPr>
          <w:rFonts w:eastAsia="Times New Roman"/>
          <w:color w:val="auto"/>
          <w:sz w:val="22"/>
          <w:szCs w:val="22"/>
          <w:bdr w:val="none" w:sz="0" w:space="0" w:color="auto"/>
          <w:lang w:eastAsia="es-ES"/>
        </w:rPr>
        <w:t xml:space="preserve"> se ha aplicado cuando en el procedimiento concurren características técnicas o artísticas o </w:t>
      </w:r>
      <w:r w:rsidRPr="00FB3A30">
        <w:rPr>
          <w:color w:val="222222"/>
          <w:sz w:val="22"/>
          <w:szCs w:val="22"/>
          <w:shd w:val="clear" w:color="auto" w:fill="FFFFFF"/>
        </w:rPr>
        <w:t xml:space="preserve">que proceda la protección de derechos exclusivos, incluidos los derechos de propiedad intelectual e industrial y que </w:t>
      </w:r>
      <w:r w:rsidRPr="00FB3A30">
        <w:rPr>
          <w:rFonts w:eastAsia="Times New Roman"/>
          <w:color w:val="auto"/>
          <w:sz w:val="22"/>
          <w:szCs w:val="22"/>
          <w:bdr w:val="none" w:sz="0" w:space="0" w:color="auto"/>
          <w:lang w:eastAsia="es-ES"/>
        </w:rPr>
        <w:t>motivan que el contrato sólo pueda encomendarse a un empresario determinado, conforme a lo establecido en el Art.168.a.2 de la LCSP.</w:t>
      </w:r>
    </w:p>
    <w:p w14:paraId="6603EAE1"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outlineLvl w:val="9"/>
        <w:rPr>
          <w:rFonts w:eastAsia="Times"/>
          <w:color w:val="auto"/>
          <w:sz w:val="22"/>
          <w:szCs w:val="22"/>
          <w:bdr w:val="none" w:sz="0" w:space="0" w:color="auto"/>
          <w:lang w:eastAsia="es-ES"/>
        </w:rPr>
      </w:pPr>
    </w:p>
    <w:p w14:paraId="3F56B5A9"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 xml:space="preserve">Se ha aplicado el procedimiento de </w:t>
      </w:r>
      <w:r w:rsidRPr="00FB3A30">
        <w:rPr>
          <w:rFonts w:eastAsia="Times"/>
          <w:color w:val="auto"/>
          <w:sz w:val="22"/>
          <w:szCs w:val="22"/>
          <w:u w:val="single"/>
          <w:bdr w:val="none" w:sz="0" w:space="0" w:color="auto"/>
          <w:lang w:eastAsia="es-ES"/>
        </w:rPr>
        <w:t>contratación menor (</w:t>
      </w:r>
      <w:r w:rsidRPr="00FB3A30">
        <w:rPr>
          <w:rFonts w:eastAsia="Times New Roman"/>
          <w:b/>
          <w:color w:val="auto"/>
          <w:sz w:val="22"/>
          <w:szCs w:val="22"/>
          <w:u w:val="single"/>
          <w:bdr w:val="none" w:sz="0" w:space="0" w:color="auto"/>
          <w:lang w:eastAsia="es-ES"/>
        </w:rPr>
        <w:t>CM</w:t>
      </w:r>
      <w:r w:rsidRPr="00FB3A30">
        <w:rPr>
          <w:rFonts w:eastAsia="Times"/>
          <w:color w:val="auto"/>
          <w:sz w:val="22"/>
          <w:szCs w:val="22"/>
          <w:u w:val="single"/>
          <w:bdr w:val="none" w:sz="0" w:space="0" w:color="auto"/>
          <w:lang w:eastAsia="es-ES"/>
        </w:rPr>
        <w:t>)</w:t>
      </w:r>
      <w:r w:rsidRPr="00FB3A30">
        <w:rPr>
          <w:rFonts w:eastAsia="Times"/>
          <w:color w:val="auto"/>
          <w:sz w:val="22"/>
          <w:szCs w:val="22"/>
          <w:bdr w:val="none" w:sz="0" w:space="0" w:color="auto"/>
          <w:lang w:eastAsia="es-ES"/>
        </w:rPr>
        <w:t xml:space="preserve"> en aquellos casos en los que el importe de los contratos no supere los 14.999€ según lo previsto en el artículo 118, 63, 335 y 346 LCSP.</w:t>
      </w:r>
    </w:p>
    <w:p w14:paraId="7C83EF94"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p>
    <w:p w14:paraId="6C8B0323"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Se ha aplicado el procedimiento de contratación menor con las especificaciones establecidas por la Disposición Adicional Novena del TRLCSP, relativa a las Normas Especiales para la contratación de acceso a Bases de Datos y la suscripción a publicaciones (</w:t>
      </w:r>
      <w:r w:rsidRPr="00FB3A30">
        <w:rPr>
          <w:rFonts w:eastAsia="Times"/>
          <w:b/>
          <w:color w:val="auto"/>
          <w:sz w:val="22"/>
          <w:szCs w:val="22"/>
          <w:bdr w:val="none" w:sz="0" w:space="0" w:color="auto"/>
          <w:lang w:eastAsia="es-ES"/>
        </w:rPr>
        <w:t>CM-BS</w:t>
      </w:r>
      <w:r w:rsidRPr="00FB3A30">
        <w:rPr>
          <w:rFonts w:eastAsia="Times"/>
          <w:color w:val="auto"/>
          <w:sz w:val="22"/>
          <w:szCs w:val="22"/>
          <w:bdr w:val="none" w:sz="0" w:space="0" w:color="auto"/>
          <w:lang w:eastAsia="es-ES"/>
        </w:rPr>
        <w:t>).</w:t>
      </w:r>
    </w:p>
    <w:p w14:paraId="2C045804" w14:textId="77777777" w:rsidR="00FB3A30" w:rsidRPr="00FB3A30" w:rsidRDefault="00FB3A30" w:rsidP="00FB3A30">
      <w:pPr>
        <w:ind w:left="720"/>
        <w:outlineLvl w:val="9"/>
        <w:rPr>
          <w:rFonts w:ascii="Cambria" w:eastAsia="Times" w:hAnsi="Cambria" w:cs="Cambria"/>
          <w:color w:val="auto"/>
          <w:sz w:val="22"/>
          <w:szCs w:val="22"/>
          <w:bdr w:val="none" w:sz="0" w:space="0" w:color="auto"/>
          <w:lang w:val="es-ES_tradnl" w:eastAsia="es-ES"/>
        </w:rPr>
      </w:pPr>
    </w:p>
    <w:p w14:paraId="3DB1667F"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 xml:space="preserve">Se ha aplicado el procedimiento de Anticipo de Caja Fija, cuando el contrato tiene valor estimado inferior a 5.000€ y el sistema de pago utilizado por </w:t>
      </w:r>
      <w:r w:rsidRPr="00FB3A30">
        <w:rPr>
          <w:rFonts w:eastAsia="Times"/>
          <w:b/>
          <w:color w:val="auto"/>
          <w:sz w:val="22"/>
          <w:szCs w:val="22"/>
          <w:bdr w:val="none" w:sz="0" w:space="0" w:color="auto"/>
          <w:lang w:eastAsia="es-ES"/>
        </w:rPr>
        <w:t>PROMOTUR</w:t>
      </w:r>
      <w:r w:rsidRPr="00FB3A30">
        <w:rPr>
          <w:rFonts w:eastAsia="Times"/>
          <w:color w:val="auto"/>
          <w:sz w:val="22"/>
          <w:szCs w:val="22"/>
          <w:bdr w:val="none" w:sz="0" w:space="0" w:color="auto"/>
          <w:lang w:eastAsia="es-ES"/>
        </w:rPr>
        <w:t xml:space="preserve"> es el de anticipo de caja fija para realizar pagos menores aprobado por el Consejo de Administración de la entidad el 28 de marzo de 2018.</w:t>
      </w:r>
    </w:p>
    <w:p w14:paraId="791FF44D" w14:textId="384C8C5F"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 w:val="28"/>
          <w:szCs w:val="28"/>
          <w:bdr w:val="none" w:sz="0" w:space="0" w:color="auto"/>
          <w:lang w:eastAsia="es-ES"/>
        </w:rPr>
      </w:pPr>
    </w:p>
    <w:p w14:paraId="6BB1E65C" w14:textId="77777777" w:rsidR="00E61295" w:rsidRPr="00CD27CE" w:rsidRDefault="00E61295"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 w:val="28"/>
          <w:szCs w:val="28"/>
          <w:bdr w:val="none" w:sz="0" w:space="0" w:color="auto"/>
          <w:lang w:eastAsia="es-ES"/>
        </w:rPr>
      </w:pPr>
    </w:p>
    <w:p w14:paraId="59EC228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D) Información sobre garantías recibidas</w:t>
      </w:r>
      <w:r w:rsidRPr="00CD27CE">
        <w:rPr>
          <w:rFonts w:ascii="Times" w:eastAsia="Times" w:hAnsi="Times" w:cs="Times New Roman"/>
          <w:b/>
          <w:color w:val="auto"/>
          <w:sz w:val="28"/>
          <w:szCs w:val="28"/>
          <w:bdr w:val="none" w:sz="0" w:space="0" w:color="auto"/>
          <w:lang w:val="es-ES_tradnl" w:eastAsia="es-ES"/>
        </w:rPr>
        <w:tab/>
        <w:t xml:space="preserve"> (Anexo IV)</w:t>
      </w:r>
    </w:p>
    <w:p w14:paraId="52F6BA1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p>
    <w:p w14:paraId="5E4CEA2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Esta información viene reflejada en el Anexo IV.</w:t>
      </w:r>
    </w:p>
    <w:p w14:paraId="47BFBB0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p>
    <w:p w14:paraId="2177B63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p>
    <w:p w14:paraId="08973E2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E) Información sobre personal (Anexo V)</w:t>
      </w:r>
    </w:p>
    <w:p w14:paraId="2D38C2B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592270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highlight w:val="yellow"/>
          <w:bdr w:val="none" w:sz="0" w:space="0" w:color="auto"/>
          <w:lang w:val="es-ES_tradnl"/>
        </w:rPr>
      </w:pPr>
      <w:r w:rsidRPr="00CD27CE">
        <w:rPr>
          <w:rFonts w:ascii="Times New Roman" w:eastAsia="Times New Roman" w:hAnsi="Times New Roman" w:cs="Times New Roman"/>
          <w:color w:val="auto"/>
          <w:sz w:val="28"/>
          <w:szCs w:val="28"/>
          <w:bdr w:val="none" w:sz="0" w:space="0" w:color="auto"/>
          <w:lang w:val="es-ES_tradnl"/>
        </w:rPr>
        <w:t>A 31 de diciembre de 201</w:t>
      </w:r>
      <w:r w:rsidR="00996223">
        <w:rPr>
          <w:rFonts w:ascii="Times New Roman" w:eastAsia="Times New Roman" w:hAnsi="Times New Roman" w:cs="Times New Roman"/>
          <w:color w:val="auto"/>
          <w:sz w:val="28"/>
          <w:szCs w:val="28"/>
          <w:bdr w:val="none" w:sz="0" w:space="0" w:color="auto"/>
          <w:lang w:val="es-ES_tradnl"/>
        </w:rPr>
        <w:t>9</w:t>
      </w:r>
      <w:r w:rsidRPr="00CD27CE">
        <w:rPr>
          <w:rFonts w:ascii="Times New Roman" w:eastAsia="Times New Roman" w:hAnsi="Times New Roman" w:cs="Times New Roman"/>
          <w:color w:val="auto"/>
          <w:sz w:val="28"/>
          <w:szCs w:val="28"/>
          <w:bdr w:val="none" w:sz="0" w:space="0" w:color="auto"/>
          <w:lang w:val="es-ES_tradnl"/>
        </w:rPr>
        <w:t>, la plantilla de la empresa era de 4</w:t>
      </w:r>
      <w:r w:rsidR="00996223">
        <w:rPr>
          <w:rFonts w:ascii="Times New Roman" w:eastAsia="Times New Roman" w:hAnsi="Times New Roman" w:cs="Times New Roman"/>
          <w:color w:val="auto"/>
          <w:sz w:val="28"/>
          <w:szCs w:val="28"/>
          <w:bdr w:val="none" w:sz="0" w:space="0" w:color="auto"/>
          <w:lang w:val="es-ES_tradnl"/>
        </w:rPr>
        <w:t>2</w:t>
      </w:r>
      <w:r w:rsidRPr="00CD27CE">
        <w:rPr>
          <w:rFonts w:ascii="Times New Roman" w:eastAsia="Times New Roman" w:hAnsi="Times New Roman" w:cs="Times New Roman"/>
          <w:color w:val="auto"/>
          <w:sz w:val="28"/>
          <w:szCs w:val="28"/>
          <w:bdr w:val="none" w:sz="0" w:space="0" w:color="auto"/>
          <w:lang w:val="es-ES_tradnl"/>
        </w:rPr>
        <w:t xml:space="preserve"> personas, </w:t>
      </w:r>
      <w:r w:rsidR="00996223">
        <w:rPr>
          <w:rFonts w:ascii="Times New Roman" w:eastAsia="Times New Roman" w:hAnsi="Times New Roman" w:cs="Times New Roman"/>
          <w:color w:val="auto"/>
          <w:sz w:val="28"/>
          <w:szCs w:val="28"/>
          <w:bdr w:val="none" w:sz="0" w:space="0" w:color="auto"/>
          <w:lang w:val="es-ES_tradnl"/>
        </w:rPr>
        <w:t>dos efectivos menos de lo previsto en el P</w:t>
      </w:r>
      <w:r w:rsidRPr="00CD27CE">
        <w:rPr>
          <w:rFonts w:ascii="Times New Roman" w:eastAsia="Times New Roman" w:hAnsi="Times New Roman" w:cs="Times New Roman"/>
          <w:color w:val="auto"/>
          <w:sz w:val="28"/>
          <w:szCs w:val="28"/>
          <w:bdr w:val="none" w:sz="0" w:space="0" w:color="auto"/>
          <w:lang w:val="es-ES_tradnl"/>
        </w:rPr>
        <w:t>AIF</w:t>
      </w:r>
      <w:r w:rsidR="00996223">
        <w:rPr>
          <w:rFonts w:ascii="Times New Roman" w:eastAsia="Times New Roman" w:hAnsi="Times New Roman" w:cs="Times New Roman"/>
          <w:color w:val="auto"/>
          <w:sz w:val="28"/>
          <w:szCs w:val="28"/>
          <w:bdr w:val="none" w:sz="0" w:space="0" w:color="auto"/>
          <w:lang w:val="es-ES_tradnl"/>
        </w:rPr>
        <w:t>, por un trabajador en situación de excedencia y otro en situación de baja por IT definitiva</w:t>
      </w:r>
      <w:r w:rsidRPr="00CD27CE">
        <w:rPr>
          <w:rFonts w:ascii="Times New Roman" w:eastAsia="Times New Roman" w:hAnsi="Times New Roman" w:cs="Times New Roman"/>
          <w:color w:val="auto"/>
          <w:sz w:val="28"/>
          <w:szCs w:val="28"/>
          <w:bdr w:val="none" w:sz="0" w:space="0" w:color="auto"/>
          <w:lang w:val="es-ES_tradnl"/>
        </w:rPr>
        <w:t>.</w:t>
      </w:r>
    </w:p>
    <w:p w14:paraId="02EFA411" w14:textId="77777777"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3E75CAF6" w14:textId="77777777" w:rsidR="00996223" w:rsidRPr="00CD27CE" w:rsidRDefault="0099622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66E90">
        <w:rPr>
          <w:rFonts w:ascii="Times New Roman" w:eastAsia="Times New Roman" w:hAnsi="Times New Roman" w:cs="Times New Roman"/>
          <w:color w:val="auto"/>
          <w:sz w:val="28"/>
          <w:szCs w:val="28"/>
          <w:bdr w:val="none" w:sz="0" w:space="0" w:color="auto"/>
          <w:lang w:val="es-ES_tradnl"/>
        </w:rPr>
        <w:t xml:space="preserve">El Gasto de Personal es ligeramente inferior al previsto en el PAIF. </w:t>
      </w:r>
      <w:r>
        <w:rPr>
          <w:rFonts w:ascii="Times New Roman" w:eastAsia="Times New Roman" w:hAnsi="Times New Roman" w:cs="Times New Roman"/>
          <w:color w:val="auto"/>
          <w:sz w:val="28"/>
          <w:szCs w:val="28"/>
          <w:bdr w:val="none" w:sz="0" w:space="0" w:color="auto"/>
          <w:lang w:val="es-ES_tradnl"/>
        </w:rPr>
        <w:t>Dentro de l</w:t>
      </w:r>
      <w:r w:rsidRPr="00466E90">
        <w:rPr>
          <w:rFonts w:ascii="Times New Roman" w:eastAsia="Times New Roman" w:hAnsi="Times New Roman" w:cs="Times New Roman"/>
          <w:color w:val="auto"/>
          <w:sz w:val="28"/>
          <w:szCs w:val="28"/>
          <w:bdr w:val="none" w:sz="0" w:space="0" w:color="auto"/>
          <w:lang w:val="es-ES_tradnl"/>
        </w:rPr>
        <w:t xml:space="preserve">os salarios </w:t>
      </w:r>
      <w:r>
        <w:rPr>
          <w:rFonts w:ascii="Times New Roman" w:eastAsia="Times New Roman" w:hAnsi="Times New Roman" w:cs="Times New Roman"/>
          <w:color w:val="auto"/>
          <w:sz w:val="28"/>
          <w:szCs w:val="28"/>
          <w:bdr w:val="none" w:sz="0" w:space="0" w:color="auto"/>
          <w:lang w:val="es-ES_tradnl"/>
        </w:rPr>
        <w:t>devengados está</w:t>
      </w:r>
      <w:r w:rsidRPr="00466E90">
        <w:rPr>
          <w:rFonts w:ascii="Times New Roman" w:eastAsia="Times New Roman" w:hAnsi="Times New Roman" w:cs="Times New Roman"/>
          <w:color w:val="auto"/>
          <w:sz w:val="28"/>
          <w:szCs w:val="28"/>
          <w:bdr w:val="none" w:sz="0" w:space="0" w:color="auto"/>
          <w:lang w:val="es-ES_tradnl"/>
        </w:rPr>
        <w:t xml:space="preserve"> la recuperación, desde el 1 de enero de 2019, del 5% del salario base, bolsa de vacaciones y plus de antigüedad, que fue reducido en el ejercicio 2010. </w:t>
      </w:r>
      <w:r>
        <w:rPr>
          <w:rFonts w:ascii="Times New Roman" w:eastAsia="Times New Roman" w:hAnsi="Times New Roman" w:cs="Times New Roman"/>
          <w:color w:val="auto"/>
          <w:sz w:val="28"/>
          <w:szCs w:val="28"/>
          <w:bdr w:val="none" w:sz="0" w:space="0" w:color="auto"/>
          <w:lang w:val="es-ES_tradnl"/>
        </w:rPr>
        <w:t xml:space="preserve">Esta posibilidad se contempló en la Ley de Presupuestos Generales de la Comunidad Autónoma de Canarias para 2019 y tiene el visto bueno de la Dirección General de Planificación y Presupuesto, pendiente de su informe final. </w:t>
      </w:r>
      <w:r w:rsidRPr="00466E90">
        <w:rPr>
          <w:rFonts w:ascii="Times New Roman" w:eastAsia="Times New Roman" w:hAnsi="Times New Roman" w:cs="Times New Roman"/>
          <w:color w:val="auto"/>
          <w:sz w:val="28"/>
          <w:szCs w:val="28"/>
          <w:bdr w:val="none" w:sz="0" w:space="0" w:color="auto"/>
          <w:lang w:val="es-ES_tradnl"/>
        </w:rPr>
        <w:t>Sin embargo, este incremento salarial se ve compensado con la reducción de salarios y seguridad social de los dos efectivos menos en la empresa y por diversas bajas</w:t>
      </w:r>
      <w:r>
        <w:rPr>
          <w:rFonts w:ascii="Times New Roman" w:eastAsia="Times New Roman" w:hAnsi="Times New Roman" w:cs="Times New Roman"/>
          <w:color w:val="auto"/>
          <w:sz w:val="28"/>
          <w:szCs w:val="28"/>
          <w:bdr w:val="none" w:sz="0" w:space="0" w:color="auto"/>
          <w:lang w:val="es-ES_tradnl"/>
        </w:rPr>
        <w:t xml:space="preserve"> por IT durante el año, lo que hace que el total de gastos de personal esté por debajo del previsto en el PAIF.</w:t>
      </w:r>
    </w:p>
    <w:p w14:paraId="47F80E5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highlight w:val="yellow"/>
          <w:bdr w:val="none" w:sz="0" w:space="0" w:color="auto"/>
          <w:lang w:val="es-ES_tradnl"/>
        </w:rPr>
      </w:pPr>
    </w:p>
    <w:p w14:paraId="124B21A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rPr>
      </w:pPr>
      <w:r w:rsidRPr="00CD27CE">
        <w:rPr>
          <w:rFonts w:ascii="Times New Roman" w:eastAsia="Times New Roman" w:hAnsi="Times New Roman" w:cs="Times New Roman"/>
          <w:color w:val="auto"/>
          <w:sz w:val="28"/>
          <w:szCs w:val="28"/>
          <w:bdr w:val="none" w:sz="0" w:space="0" w:color="auto"/>
        </w:rPr>
        <w:t>Como resultado de lo anterior, los Gastos de Personal fueron inferiores a los previstos.</w:t>
      </w:r>
    </w:p>
    <w:p w14:paraId="6757F6A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eastAsia="es-ES"/>
        </w:rPr>
      </w:pPr>
    </w:p>
    <w:p w14:paraId="349DB0A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eastAsia="es-ES"/>
        </w:rPr>
      </w:pPr>
    </w:p>
    <w:p w14:paraId="208F67B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F</w:t>
      </w:r>
      <w:r w:rsidRPr="009C557F">
        <w:rPr>
          <w:rFonts w:ascii="Times" w:eastAsia="Times" w:hAnsi="Times" w:cs="Times New Roman"/>
          <w:b/>
          <w:color w:val="auto"/>
          <w:sz w:val="28"/>
          <w:szCs w:val="28"/>
          <w:bdr w:val="none" w:sz="0" w:space="0" w:color="auto"/>
          <w:lang w:val="es-ES_tradnl" w:eastAsia="es-ES"/>
        </w:rPr>
        <w:t>) Información sobre los ingresos por ventas y/o prestación de servicios de la entidad</w:t>
      </w:r>
      <w:r w:rsidRPr="00CD27CE">
        <w:rPr>
          <w:rFonts w:ascii="Times" w:eastAsia="Times" w:hAnsi="Times" w:cs="Times New Roman"/>
          <w:b/>
          <w:color w:val="auto"/>
          <w:sz w:val="28"/>
          <w:szCs w:val="28"/>
          <w:bdr w:val="none" w:sz="0" w:space="0" w:color="auto"/>
          <w:lang w:val="es-ES_tradnl" w:eastAsia="es-ES"/>
        </w:rPr>
        <w:t xml:space="preserve"> (Anexo VI)</w:t>
      </w:r>
    </w:p>
    <w:p w14:paraId="388A97E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37F2F44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La cifra de negocios de la empresa se compone de Prestaciones de Servicio a la Comunidad Autónoma, por </w:t>
      </w:r>
      <w:r w:rsidR="00B2352D">
        <w:rPr>
          <w:rFonts w:ascii="Times" w:eastAsia="Times" w:hAnsi="Times" w:cs="Times New Roman"/>
          <w:color w:val="auto"/>
          <w:sz w:val="28"/>
          <w:szCs w:val="28"/>
          <w:bdr w:val="none" w:sz="0" w:space="0" w:color="auto"/>
          <w:lang w:val="es-ES_tradnl" w:eastAsia="es-ES"/>
        </w:rPr>
        <w:t>do</w:t>
      </w:r>
      <w:r w:rsidR="00EB1029">
        <w:rPr>
          <w:rFonts w:ascii="Times" w:eastAsia="Times" w:hAnsi="Times" w:cs="Times New Roman"/>
          <w:color w:val="auto"/>
          <w:sz w:val="28"/>
          <w:szCs w:val="28"/>
          <w:bdr w:val="none" w:sz="0" w:space="0" w:color="auto"/>
          <w:lang w:val="es-ES_tradnl" w:eastAsia="es-ES"/>
        </w:rPr>
        <w:t>s</w:t>
      </w:r>
      <w:r w:rsidRPr="00CD27CE">
        <w:rPr>
          <w:rFonts w:ascii="Times" w:eastAsia="Times" w:hAnsi="Times" w:cs="Times New Roman"/>
          <w:color w:val="auto"/>
          <w:sz w:val="28"/>
          <w:szCs w:val="28"/>
          <w:bdr w:val="none" w:sz="0" w:space="0" w:color="auto"/>
          <w:lang w:val="es-ES_tradnl" w:eastAsia="es-ES"/>
        </w:rPr>
        <w:t xml:space="preserve"> enc</w:t>
      </w:r>
      <w:r w:rsidR="00B2352D">
        <w:rPr>
          <w:rFonts w:ascii="Times" w:eastAsia="Times" w:hAnsi="Times" w:cs="Times New Roman"/>
          <w:color w:val="auto"/>
          <w:sz w:val="28"/>
          <w:szCs w:val="28"/>
          <w:bdr w:val="none" w:sz="0" w:space="0" w:color="auto"/>
          <w:lang w:val="es-ES_tradnl" w:eastAsia="es-ES"/>
        </w:rPr>
        <w:t>omiendas</w:t>
      </w:r>
      <w:r w:rsidRPr="00CD27CE">
        <w:rPr>
          <w:rFonts w:ascii="Times" w:eastAsia="Times" w:hAnsi="Times" w:cs="Times New Roman"/>
          <w:color w:val="auto"/>
          <w:sz w:val="28"/>
          <w:szCs w:val="28"/>
          <w:bdr w:val="none" w:sz="0" w:space="0" w:color="auto"/>
          <w:lang w:val="es-ES_tradnl" w:eastAsia="es-ES"/>
        </w:rPr>
        <w:t xml:space="preserve"> de la Consejería de Turismo, Cultura y Deportes</w:t>
      </w:r>
      <w:r w:rsidR="00B2352D">
        <w:rPr>
          <w:rFonts w:ascii="Times" w:eastAsia="Times" w:hAnsi="Times" w:cs="Times New Roman"/>
          <w:color w:val="auto"/>
          <w:sz w:val="28"/>
          <w:szCs w:val="28"/>
          <w:bdr w:val="none" w:sz="0" w:space="0" w:color="auto"/>
          <w:lang w:val="es-ES_tradnl" w:eastAsia="es-ES"/>
        </w:rPr>
        <w:t xml:space="preserve"> y un encargo de la Consejería de Turismo, Industria y Comercio. Una de las encomiendas es par</w:t>
      </w:r>
      <w:r w:rsidRPr="00CD27CE">
        <w:rPr>
          <w:rFonts w:ascii="Times" w:eastAsia="Times" w:hAnsi="Times" w:cs="Times New Roman"/>
          <w:color w:val="auto"/>
          <w:sz w:val="28"/>
          <w:szCs w:val="28"/>
          <w:bdr w:val="none" w:sz="0" w:space="0" w:color="auto"/>
          <w:lang w:val="es-ES_tradnl" w:eastAsia="es-ES"/>
        </w:rPr>
        <w:t xml:space="preserve">a “El proyecto de información tecnológica </w:t>
      </w:r>
      <w:proofErr w:type="spellStart"/>
      <w:r w:rsidRPr="00CD27CE">
        <w:rPr>
          <w:rFonts w:ascii="Times" w:eastAsia="Times" w:hAnsi="Times" w:cs="Times New Roman"/>
          <w:color w:val="auto"/>
          <w:sz w:val="28"/>
          <w:szCs w:val="28"/>
          <w:bdr w:val="none" w:sz="0" w:space="0" w:color="auto"/>
          <w:lang w:val="es-ES_tradnl" w:eastAsia="es-ES"/>
        </w:rPr>
        <w:t>management</w:t>
      </w:r>
      <w:proofErr w:type="spellEnd"/>
      <w:r w:rsidRPr="00CD27CE">
        <w:rPr>
          <w:rFonts w:ascii="Times" w:eastAsia="Times" w:hAnsi="Times" w:cs="Times New Roman"/>
          <w:color w:val="auto"/>
          <w:sz w:val="28"/>
          <w:szCs w:val="28"/>
          <w:bdr w:val="none" w:sz="0" w:space="0" w:color="auto"/>
          <w:lang w:val="es-ES_tradnl" w:eastAsia="es-ES"/>
        </w:rPr>
        <w:t xml:space="preserve"> office (ITMO) del destino turístico de las Islas Canarias, que dirigirá y gestionará los proyectos para la tecnología de la información en la ejecución de la estrategia promocional </w:t>
      </w:r>
      <w:proofErr w:type="spellStart"/>
      <w:r w:rsidRPr="00CD27CE">
        <w:rPr>
          <w:rFonts w:ascii="Times" w:eastAsia="Times" w:hAnsi="Times" w:cs="Times New Roman"/>
          <w:color w:val="auto"/>
          <w:sz w:val="28"/>
          <w:szCs w:val="28"/>
          <w:bdr w:val="none" w:sz="0" w:space="0" w:color="auto"/>
          <w:lang w:val="es-ES_tradnl" w:eastAsia="es-ES"/>
        </w:rPr>
        <w:t>on</w:t>
      </w:r>
      <w:proofErr w:type="spellEnd"/>
      <w:r w:rsidRPr="00CD27CE">
        <w:rPr>
          <w:rFonts w:ascii="Times" w:eastAsia="Times" w:hAnsi="Times" w:cs="Times New Roman"/>
          <w:color w:val="auto"/>
          <w:sz w:val="28"/>
          <w:szCs w:val="28"/>
          <w:bdr w:val="none" w:sz="0" w:space="0" w:color="auto"/>
          <w:lang w:val="es-ES_tradnl" w:eastAsia="es-ES"/>
        </w:rPr>
        <w:t xml:space="preserve"> line del destino Islas Canarias” por importe de 40.434 euros y otra es para “El servicio consistente en la fase de inicio y puesta en marcha de un sistema de información turística sobre los diferentes perfiles de turistas que visitan las Islas Canarias” por importe de </w:t>
      </w:r>
      <w:r w:rsidR="00B2352D">
        <w:rPr>
          <w:rFonts w:ascii="Times" w:eastAsia="Times" w:hAnsi="Times" w:cs="Times New Roman"/>
          <w:color w:val="auto"/>
          <w:sz w:val="28"/>
          <w:szCs w:val="28"/>
          <w:bdr w:val="none" w:sz="0" w:space="0" w:color="auto"/>
          <w:lang w:val="es-ES_tradnl" w:eastAsia="es-ES"/>
        </w:rPr>
        <w:t>37</w:t>
      </w:r>
      <w:r w:rsidRPr="00CD27CE">
        <w:rPr>
          <w:rFonts w:ascii="Times" w:eastAsia="Times" w:hAnsi="Times" w:cs="Times New Roman"/>
          <w:color w:val="auto"/>
          <w:sz w:val="28"/>
          <w:szCs w:val="28"/>
          <w:bdr w:val="none" w:sz="0" w:space="0" w:color="auto"/>
          <w:lang w:val="es-ES_tradnl" w:eastAsia="es-ES"/>
        </w:rPr>
        <w:t>.</w:t>
      </w:r>
      <w:r w:rsidR="00B2352D">
        <w:rPr>
          <w:rFonts w:ascii="Times" w:eastAsia="Times" w:hAnsi="Times" w:cs="Times New Roman"/>
          <w:color w:val="auto"/>
          <w:sz w:val="28"/>
          <w:szCs w:val="28"/>
          <w:bdr w:val="none" w:sz="0" w:space="0" w:color="auto"/>
          <w:lang w:val="es-ES_tradnl" w:eastAsia="es-ES"/>
        </w:rPr>
        <w:t>5</w:t>
      </w:r>
      <w:r w:rsidRPr="00CD27CE">
        <w:rPr>
          <w:rFonts w:ascii="Times" w:eastAsia="Times" w:hAnsi="Times" w:cs="Times New Roman"/>
          <w:color w:val="auto"/>
          <w:sz w:val="28"/>
          <w:szCs w:val="28"/>
          <w:bdr w:val="none" w:sz="0" w:space="0" w:color="auto"/>
          <w:lang w:val="es-ES_tradnl" w:eastAsia="es-ES"/>
        </w:rPr>
        <w:t>00 euros.</w:t>
      </w:r>
      <w:r w:rsidR="00B2352D">
        <w:rPr>
          <w:rFonts w:ascii="Times" w:eastAsia="Times" w:hAnsi="Times" w:cs="Times New Roman"/>
          <w:color w:val="auto"/>
          <w:sz w:val="28"/>
          <w:szCs w:val="28"/>
          <w:bdr w:val="none" w:sz="0" w:space="0" w:color="auto"/>
          <w:lang w:val="es-ES_tradnl" w:eastAsia="es-ES"/>
        </w:rPr>
        <w:t xml:space="preserve"> El encargo es para “La revisión y ampliación del sistema de información turística sobre los distintos perfiles de turistas que visitan las Islas Canarias” por importe de 20.000,00 euros.</w:t>
      </w:r>
    </w:p>
    <w:p w14:paraId="7E93175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9"/>
        <w:rPr>
          <w:rFonts w:ascii="Times" w:eastAsia="Times" w:hAnsi="Times" w:cs="Times New Roman"/>
          <w:color w:val="auto"/>
          <w:sz w:val="28"/>
          <w:szCs w:val="28"/>
          <w:bdr w:val="none" w:sz="0" w:space="0" w:color="auto"/>
          <w:lang w:val="es-ES_tradnl" w:eastAsia="es-ES"/>
        </w:rPr>
      </w:pPr>
    </w:p>
    <w:p w14:paraId="6BF28D7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G) Información sobre las operaciones financieras (Anexo VII)</w:t>
      </w:r>
    </w:p>
    <w:p w14:paraId="5329DEA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084E9C9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La empresa no tiene operaciones financieras con entidades bancarias, a excepción de la utilización de tarjeta visa, que se usa para algunos pagos de escasa cuantía, sobre todo en ferias fuera de España, donde nos exigen este medio de pago para reservar estancias en hoteles, etc.</w:t>
      </w:r>
    </w:p>
    <w:p w14:paraId="4AD9CEA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0D9C44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H) Información sobre el Plan económico-financiero de saneamiento a medio plazo como consecuencia de situaciones de desequilibrio presupuestario (Anexo VIII)</w:t>
      </w:r>
    </w:p>
    <w:p w14:paraId="5D4C531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41CEED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Tal como figura en el Anexo VIII, la empresa no tiene obligación de presentar plan económico financiero de saneamiento a medio plazo porque no ha obtenido pérdidas.</w:t>
      </w:r>
    </w:p>
    <w:p w14:paraId="75030172" w14:textId="22DF4D10"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p>
    <w:p w14:paraId="6B9C192E" w14:textId="77777777" w:rsidR="00E61295" w:rsidRPr="00CD27CE" w:rsidRDefault="00E61295"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p>
    <w:p w14:paraId="0F5B68B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lastRenderedPageBreak/>
        <w:t xml:space="preserve">I) </w:t>
      </w:r>
      <w:r w:rsidRPr="00EE5739">
        <w:rPr>
          <w:rFonts w:ascii="Times" w:eastAsia="Times" w:hAnsi="Times" w:cs="Times New Roman"/>
          <w:b/>
          <w:color w:val="auto"/>
          <w:sz w:val="28"/>
          <w:szCs w:val="28"/>
          <w:bdr w:val="none" w:sz="0" w:space="0" w:color="auto"/>
          <w:lang w:val="es-ES_tradnl" w:eastAsia="es-ES"/>
        </w:rPr>
        <w:t>Proyección al cierre del ejercicio siguiente</w:t>
      </w:r>
    </w:p>
    <w:p w14:paraId="40CD7A3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5D6773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La previsión del resultado de las principales magnitudes al cierre del ejercicio 20</w:t>
      </w:r>
      <w:r w:rsidR="004D0D8C">
        <w:rPr>
          <w:rFonts w:ascii="Times" w:eastAsia="Times" w:hAnsi="Times" w:cs="Times New Roman"/>
          <w:color w:val="auto"/>
          <w:sz w:val="28"/>
          <w:szCs w:val="28"/>
          <w:bdr w:val="none" w:sz="0" w:space="0" w:color="auto"/>
          <w:lang w:val="es-ES_tradnl" w:eastAsia="es-ES"/>
        </w:rPr>
        <w:t>20</w:t>
      </w:r>
      <w:r w:rsidRPr="00CD27CE">
        <w:rPr>
          <w:rFonts w:ascii="Times" w:eastAsia="Times" w:hAnsi="Times" w:cs="Times New Roman"/>
          <w:color w:val="auto"/>
          <w:sz w:val="28"/>
          <w:szCs w:val="28"/>
          <w:bdr w:val="none" w:sz="0" w:space="0" w:color="auto"/>
          <w:lang w:val="es-ES_tradnl" w:eastAsia="es-ES"/>
        </w:rPr>
        <w:t xml:space="preserve"> son las siguientes:</w:t>
      </w:r>
    </w:p>
    <w:p w14:paraId="2FA8F7D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0037B731"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Resultado contable:                                  </w:t>
      </w:r>
      <w:r w:rsidR="002A17C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- 2.223.683,00 euros</w:t>
      </w:r>
    </w:p>
    <w:p w14:paraId="747B70FE"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Resultado ajustado:                                       </w:t>
      </w:r>
      <w:r w:rsidR="002A17C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            0,00 euros</w:t>
      </w:r>
    </w:p>
    <w:p w14:paraId="3EAAC832"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Tesorería:                                                     </w:t>
      </w:r>
      <w:r w:rsidR="002A17C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1.</w:t>
      </w:r>
      <w:r w:rsidR="002A17CC">
        <w:rPr>
          <w:rFonts w:ascii="Times" w:eastAsia="Times" w:hAnsi="Times" w:cs="Times New Roman"/>
          <w:color w:val="auto"/>
          <w:sz w:val="28"/>
          <w:szCs w:val="28"/>
          <w:bdr w:val="none" w:sz="0" w:space="0" w:color="auto"/>
          <w:lang w:val="es-ES_tradnl" w:eastAsia="es-ES"/>
        </w:rPr>
        <w:t>436</w:t>
      </w:r>
      <w:r w:rsidRPr="00CD27CE">
        <w:rPr>
          <w:rFonts w:ascii="Times" w:eastAsia="Times" w:hAnsi="Times" w:cs="Times New Roman"/>
          <w:color w:val="auto"/>
          <w:sz w:val="28"/>
          <w:szCs w:val="28"/>
          <w:bdr w:val="none" w:sz="0" w:space="0" w:color="auto"/>
          <w:lang w:val="es-ES_tradnl" w:eastAsia="es-ES"/>
        </w:rPr>
        <w:t>.</w:t>
      </w:r>
      <w:r w:rsidR="002A17CC">
        <w:rPr>
          <w:rFonts w:ascii="Times" w:eastAsia="Times" w:hAnsi="Times" w:cs="Times New Roman"/>
          <w:color w:val="auto"/>
          <w:sz w:val="28"/>
          <w:szCs w:val="28"/>
          <w:bdr w:val="none" w:sz="0" w:space="0" w:color="auto"/>
          <w:lang w:val="es-ES_tradnl" w:eastAsia="es-ES"/>
        </w:rPr>
        <w:t>535</w:t>
      </w:r>
      <w:r w:rsidRPr="00CD27CE">
        <w:rPr>
          <w:rFonts w:ascii="Times" w:eastAsia="Times" w:hAnsi="Times" w:cs="Times New Roman"/>
          <w:color w:val="auto"/>
          <w:sz w:val="28"/>
          <w:szCs w:val="28"/>
          <w:bdr w:val="none" w:sz="0" w:space="0" w:color="auto"/>
          <w:lang w:val="es-ES_tradnl" w:eastAsia="es-ES"/>
        </w:rPr>
        <w:t>,</w:t>
      </w:r>
      <w:r w:rsidR="002A17CC">
        <w:rPr>
          <w:rFonts w:ascii="Times" w:eastAsia="Times" w:hAnsi="Times" w:cs="Times New Roman"/>
          <w:color w:val="auto"/>
          <w:sz w:val="28"/>
          <w:szCs w:val="28"/>
          <w:bdr w:val="none" w:sz="0" w:space="0" w:color="auto"/>
          <w:lang w:val="es-ES_tradnl" w:eastAsia="es-ES"/>
        </w:rPr>
        <w:t>83</w:t>
      </w:r>
      <w:r w:rsidRPr="00CD27CE">
        <w:rPr>
          <w:rFonts w:ascii="Times" w:eastAsia="Times" w:hAnsi="Times" w:cs="Times New Roman"/>
          <w:color w:val="auto"/>
          <w:sz w:val="28"/>
          <w:szCs w:val="28"/>
          <w:bdr w:val="none" w:sz="0" w:space="0" w:color="auto"/>
          <w:lang w:val="es-ES_tradnl" w:eastAsia="es-ES"/>
        </w:rPr>
        <w:t xml:space="preserve"> euros</w:t>
      </w:r>
    </w:p>
    <w:p w14:paraId="38CEFB0F"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Gastos de personal:                                      </w:t>
      </w:r>
      <w:r w:rsidR="002A17C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2.</w:t>
      </w:r>
      <w:r w:rsidR="002A17CC">
        <w:rPr>
          <w:rFonts w:ascii="Times" w:eastAsia="Times" w:hAnsi="Times" w:cs="Times New Roman"/>
          <w:color w:val="auto"/>
          <w:sz w:val="28"/>
          <w:szCs w:val="28"/>
          <w:bdr w:val="none" w:sz="0" w:space="0" w:color="auto"/>
          <w:lang w:val="es-ES_tradnl" w:eastAsia="es-ES"/>
        </w:rPr>
        <w:t>112</w:t>
      </w:r>
      <w:r w:rsidRPr="00CD27CE">
        <w:rPr>
          <w:rFonts w:ascii="Times" w:eastAsia="Times" w:hAnsi="Times" w:cs="Times New Roman"/>
          <w:color w:val="auto"/>
          <w:sz w:val="28"/>
          <w:szCs w:val="28"/>
          <w:bdr w:val="none" w:sz="0" w:space="0" w:color="auto"/>
          <w:lang w:val="es-ES_tradnl" w:eastAsia="es-ES"/>
        </w:rPr>
        <w:t>.</w:t>
      </w:r>
      <w:r w:rsidR="002A17CC">
        <w:rPr>
          <w:rFonts w:ascii="Times" w:eastAsia="Times" w:hAnsi="Times" w:cs="Times New Roman"/>
          <w:color w:val="auto"/>
          <w:sz w:val="28"/>
          <w:szCs w:val="28"/>
          <w:bdr w:val="none" w:sz="0" w:space="0" w:color="auto"/>
          <w:lang w:val="es-ES_tradnl" w:eastAsia="es-ES"/>
        </w:rPr>
        <w:t>134</w:t>
      </w:r>
      <w:r w:rsidRPr="00CD27CE">
        <w:rPr>
          <w:rFonts w:ascii="Times" w:eastAsia="Times" w:hAnsi="Times" w:cs="Times New Roman"/>
          <w:color w:val="auto"/>
          <w:sz w:val="28"/>
          <w:szCs w:val="28"/>
          <w:bdr w:val="none" w:sz="0" w:space="0" w:color="auto"/>
          <w:lang w:val="es-ES_tradnl" w:eastAsia="es-ES"/>
        </w:rPr>
        <w:t>,</w:t>
      </w:r>
      <w:r w:rsidR="002A17CC">
        <w:rPr>
          <w:rFonts w:ascii="Times" w:eastAsia="Times" w:hAnsi="Times" w:cs="Times New Roman"/>
          <w:color w:val="auto"/>
          <w:sz w:val="28"/>
          <w:szCs w:val="28"/>
          <w:bdr w:val="none" w:sz="0" w:space="0" w:color="auto"/>
          <w:lang w:val="es-ES_tradnl" w:eastAsia="es-ES"/>
        </w:rPr>
        <w:t>30</w:t>
      </w:r>
      <w:r w:rsidRPr="00CD27CE">
        <w:rPr>
          <w:rFonts w:ascii="Times" w:eastAsia="Times" w:hAnsi="Times" w:cs="Times New Roman"/>
          <w:color w:val="auto"/>
          <w:sz w:val="28"/>
          <w:szCs w:val="28"/>
          <w:bdr w:val="none" w:sz="0" w:space="0" w:color="auto"/>
          <w:lang w:val="es-ES_tradnl" w:eastAsia="es-ES"/>
        </w:rPr>
        <w:t xml:space="preserve"> euros</w:t>
      </w:r>
    </w:p>
    <w:p w14:paraId="77824091"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Ingresos de la CAC (prestación de servicios): </w:t>
      </w:r>
      <w:r w:rsidR="002A17CC">
        <w:rPr>
          <w:rFonts w:ascii="Times" w:eastAsia="Times" w:hAnsi="Times" w:cs="Times New Roman"/>
          <w:color w:val="auto"/>
          <w:sz w:val="28"/>
          <w:szCs w:val="28"/>
          <w:bdr w:val="none" w:sz="0" w:space="0" w:color="auto"/>
          <w:lang w:val="es-ES_tradnl" w:eastAsia="es-ES"/>
        </w:rPr>
        <w:t>12</w:t>
      </w:r>
      <w:r w:rsidRPr="00CD27CE">
        <w:rPr>
          <w:rFonts w:ascii="Times" w:eastAsia="Times" w:hAnsi="Times" w:cs="Times New Roman"/>
          <w:color w:val="auto"/>
          <w:sz w:val="28"/>
          <w:szCs w:val="28"/>
          <w:bdr w:val="none" w:sz="0" w:space="0" w:color="auto"/>
          <w:lang w:val="es-ES_tradnl" w:eastAsia="es-ES"/>
        </w:rPr>
        <w:t>0.434,00 euros</w:t>
      </w:r>
    </w:p>
    <w:p w14:paraId="5AF3FDE0"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Resto de ingresos (prestación de servicios):            </w:t>
      </w:r>
      <w:r w:rsidR="004645DD">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  0,00 euros</w:t>
      </w:r>
    </w:p>
    <w:p w14:paraId="5D5F565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D7F100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E96DBF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 xml:space="preserve">J) Información sobre objetivos e indicadores de gestión </w:t>
      </w:r>
    </w:p>
    <w:p w14:paraId="7C829E5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(Anexo IX)</w:t>
      </w:r>
    </w:p>
    <w:p w14:paraId="3A01BEE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p>
    <w:p w14:paraId="7006A16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Los objetivos e indicadores de gestión que ha establecido la empresa son los que figuran en el Anexo IX. </w:t>
      </w:r>
    </w:p>
    <w:p w14:paraId="4969D5D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C3C62C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Se adjunta Plan de Marketing 201</w:t>
      </w:r>
      <w:r w:rsidR="00400472">
        <w:rPr>
          <w:rFonts w:ascii="Times" w:eastAsia="Times" w:hAnsi="Times" w:cs="Times New Roman"/>
          <w:color w:val="auto"/>
          <w:sz w:val="28"/>
          <w:szCs w:val="28"/>
          <w:bdr w:val="none" w:sz="0" w:space="0" w:color="auto"/>
          <w:lang w:val="es-ES_tradnl" w:eastAsia="es-ES"/>
        </w:rPr>
        <w:t>9</w:t>
      </w:r>
      <w:r w:rsidRPr="00CD27CE">
        <w:rPr>
          <w:rFonts w:ascii="Times" w:eastAsia="Times" w:hAnsi="Times" w:cs="Times New Roman"/>
          <w:color w:val="auto"/>
          <w:sz w:val="28"/>
          <w:szCs w:val="28"/>
          <w:bdr w:val="none" w:sz="0" w:space="0" w:color="auto"/>
          <w:lang w:val="es-ES_tradnl" w:eastAsia="es-ES"/>
        </w:rPr>
        <w:t xml:space="preserve"> de la empresa en documento adjunto.</w:t>
      </w:r>
    </w:p>
    <w:p w14:paraId="33A7554C" w14:textId="77777777" w:rsidR="00274CE3" w:rsidRDefault="00274CE3" w:rsidP="00481B8A">
      <w:pPr>
        <w:pStyle w:val="bullet"/>
        <w:numPr>
          <w:ilvl w:val="0"/>
          <w:numId w:val="0"/>
        </w:numPr>
        <w:jc w:val="both"/>
      </w:pPr>
    </w:p>
    <w:p w14:paraId="35802425" w14:textId="77777777" w:rsidR="00274CE3" w:rsidRDefault="00274CE3" w:rsidP="00481B8A">
      <w:pPr>
        <w:pStyle w:val="bullet"/>
        <w:numPr>
          <w:ilvl w:val="0"/>
          <w:numId w:val="0"/>
        </w:numPr>
        <w:jc w:val="both"/>
      </w:pPr>
    </w:p>
    <w:p w14:paraId="0FF769A0" w14:textId="77777777" w:rsidR="00274CE3" w:rsidRDefault="00274CE3" w:rsidP="00274CE3">
      <w:pPr>
        <w:pStyle w:val="bullet"/>
        <w:numPr>
          <w:ilvl w:val="0"/>
          <w:numId w:val="0"/>
        </w:numPr>
        <w:spacing w:line="276" w:lineRule="auto"/>
        <w:jc w:val="both"/>
      </w:pPr>
    </w:p>
    <w:sectPr w:rsidR="00274CE3" w:rsidSect="0072632B">
      <w:headerReference w:type="default" r:id="rId8"/>
      <w:footerReference w:type="default" r:id="rId9"/>
      <w:headerReference w:type="first" r:id="rId10"/>
      <w:footerReference w:type="first" r:id="rId11"/>
      <w:pgSz w:w="11900" w:h="16840"/>
      <w:pgMar w:top="2769"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A7BA9" w14:textId="77777777" w:rsidR="00612C28" w:rsidRDefault="00612C28" w:rsidP="00A06021">
      <w:r>
        <w:separator/>
      </w:r>
    </w:p>
  </w:endnote>
  <w:endnote w:type="continuationSeparator" w:id="0">
    <w:p w14:paraId="0E4A0A46" w14:textId="77777777" w:rsidR="00612C28" w:rsidRDefault="00612C28"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66EAAB1B"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0B933" w14:textId="77777777" w:rsidR="00B33A26" w:rsidRDefault="00B33A26" w:rsidP="00A06021">
    <w:pPr>
      <w:pStyle w:val="Piedepgina"/>
    </w:pPr>
    <w:r>
      <w:rPr>
        <w:noProof/>
      </w:rPr>
      <w:drawing>
        <wp:anchor distT="0" distB="0" distL="114300" distR="114300" simplePos="0" relativeHeight="251673600" behindDoc="1" locked="0" layoutInCell="1" allowOverlap="1" wp14:anchorId="319CCC08" wp14:editId="674C182F">
          <wp:simplePos x="0" y="0"/>
          <wp:positionH relativeFrom="column">
            <wp:posOffset>-678455</wp:posOffset>
          </wp:positionH>
          <wp:positionV relativeFrom="page">
            <wp:posOffset>9634220</wp:posOffset>
          </wp:positionV>
          <wp:extent cx="7111365" cy="10452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D5FA1" w14:textId="77777777" w:rsidR="00612C28" w:rsidRDefault="00612C28" w:rsidP="00A06021">
      <w:r>
        <w:separator/>
      </w:r>
    </w:p>
  </w:footnote>
  <w:footnote w:type="continuationSeparator" w:id="0">
    <w:p w14:paraId="7DFE5D15" w14:textId="77777777" w:rsidR="00612C28" w:rsidRDefault="00612C28"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13BE" w14:textId="77777777" w:rsidR="00481B8A" w:rsidRPr="00481B8A" w:rsidRDefault="00481B8A" w:rsidP="00481B8A">
    <w:pPr>
      <w:pStyle w:val="Encabezado"/>
      <w:ind w:left="-1701"/>
    </w:pPr>
    <w:r>
      <w:rPr>
        <w:b/>
        <w:noProof/>
      </w:rPr>
      <w:drawing>
        <wp:inline distT="0" distB="0" distL="0" distR="0" wp14:anchorId="5373D221" wp14:editId="1D510D37">
          <wp:extent cx="8381784" cy="11770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B991A" w14:textId="77777777" w:rsidR="007804E8" w:rsidRDefault="00F6248F" w:rsidP="00F6248F">
    <w:pPr>
      <w:pStyle w:val="Encabezado"/>
      <w:ind w:left="-1701"/>
    </w:pPr>
    <w:r>
      <w:rPr>
        <w:b/>
        <w:noProof/>
      </w:rPr>
      <w:drawing>
        <wp:inline distT="0" distB="0" distL="0" distR="0" wp14:anchorId="4974A68F" wp14:editId="1B26A2E7">
          <wp:extent cx="8073657" cy="1134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3444416C" wp14:editId="398EAD58">
          <wp:simplePos x="0" y="0"/>
          <wp:positionH relativeFrom="column">
            <wp:posOffset>-1102995</wp:posOffset>
          </wp:positionH>
          <wp:positionV relativeFrom="page">
            <wp:posOffset>1697990</wp:posOffset>
          </wp:positionV>
          <wp:extent cx="640715" cy="69475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4037673"/>
    <w:multiLevelType w:val="hybridMultilevel"/>
    <w:tmpl w:val="7FFA0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217193"/>
    <w:multiLevelType w:val="hybridMultilevel"/>
    <w:tmpl w:val="9EEC5842"/>
    <w:lvl w:ilvl="0" w:tplc="B540F35C">
      <w:start w:val="1"/>
      <w:numFmt w:val="upp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7" w15:restartNumberingAfterBreak="0">
    <w:nsid w:val="3AAC1BC9"/>
    <w:multiLevelType w:val="hybridMultilevel"/>
    <w:tmpl w:val="3B9EA8DA"/>
    <w:numStyleLink w:val="Estiloimportado3"/>
  </w:abstractNum>
  <w:abstractNum w:abstractNumId="8"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13753D"/>
    <w:multiLevelType w:val="hybridMultilevel"/>
    <w:tmpl w:val="2F24D73C"/>
    <w:numStyleLink w:val="Estiloimportado10"/>
  </w:abstractNum>
  <w:abstractNum w:abstractNumId="10" w15:restartNumberingAfterBreak="0">
    <w:nsid w:val="656400B3"/>
    <w:multiLevelType w:val="hybridMultilevel"/>
    <w:tmpl w:val="3B56AB82"/>
    <w:lvl w:ilvl="0" w:tplc="6AD4A234">
      <w:start w:val="1"/>
      <w:numFmt w:val="bullet"/>
      <w:lvlText w:val="-"/>
      <w:lvlJc w:val="left"/>
      <w:pPr>
        <w:ind w:left="720" w:hanging="360"/>
      </w:pPr>
      <w:rPr>
        <w:rFonts w:ascii="Times" w:eastAsia="Times"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786537"/>
    <w:multiLevelType w:val="hybridMultilevel"/>
    <w:tmpl w:val="995E1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8"/>
  </w:num>
  <w:num w:numId="2">
    <w:abstractNumId w:val="0"/>
  </w:num>
  <w:num w:numId="3">
    <w:abstractNumId w:val="3"/>
  </w:num>
  <w:num w:numId="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0"/>
    <w:lvlOverride w:ilvl="0">
      <w:startOverride w:val="2"/>
      <w:lvl w:ilvl="0" w:tplc="BEA2C808">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1CF4B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90C7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48814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74C79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D4E4F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54E2D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DED68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364AA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tplc="BEA2C808">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C1CF4B4">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490C728">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1488140">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374C79E">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1D4E4FC">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254E2DE">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6DED684">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3364AA8">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num>
  <w:num w:numId="12">
    <w:abstractNumId w:val="9"/>
  </w:num>
  <w:num w:numId="13">
    <w:abstractNumId w:val="9"/>
    <w:lvlOverride w:ilvl="0">
      <w:lvl w:ilvl="0" w:tplc="47A848E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241A70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4552E3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1C0EBA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D0EEED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461C0D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727A31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AC1AD8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186891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0"/>
    <w:lvlOverride w:ilvl="0">
      <w:startOverride w:val="4"/>
      <w:lvl w:ilvl="0" w:tplc="BEA2C808">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1CF4B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90C7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48814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74C79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D4E4F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54E2D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DED68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364AA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abstractNumId w:val="12"/>
  </w:num>
  <w:num w:numId="19">
    <w:abstractNumId w:val="7"/>
  </w:num>
  <w:num w:numId="20">
    <w:abstractNumId w:val="0"/>
    <w:lvlOverride w:ilvl="0">
      <w:startOverride w:val="5"/>
      <w:lvl w:ilvl="0" w:tplc="BEA2C808">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C1CF4B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90C728">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48814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374C79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D4E4F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54E2D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DED68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364AA8">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15"/>
  </w:num>
  <w:num w:numId="30">
    <w:abstractNumId w:val="4"/>
  </w:num>
  <w:num w:numId="31">
    <w:abstractNumId w:val="5"/>
  </w:num>
  <w:num w:numId="32">
    <w:abstractNumId w:val="11"/>
  </w:num>
  <w:num w:numId="33">
    <w:abstractNumId w:val="14"/>
  </w:num>
  <w:num w:numId="34">
    <w:abstractNumId w:val="6"/>
  </w:num>
  <w:num w:numId="35">
    <w:abstractNumId w:val="13"/>
  </w:num>
  <w:num w:numId="36">
    <w:abstractNumId w:val="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40AD3"/>
    <w:rsid w:val="00061F97"/>
    <w:rsid w:val="00085E4C"/>
    <w:rsid w:val="000868A4"/>
    <w:rsid w:val="000942C6"/>
    <w:rsid w:val="000A1698"/>
    <w:rsid w:val="000A610E"/>
    <w:rsid w:val="000C3D71"/>
    <w:rsid w:val="000D3F33"/>
    <w:rsid w:val="001A27C0"/>
    <w:rsid w:val="001D63F5"/>
    <w:rsid w:val="001F7A68"/>
    <w:rsid w:val="00200238"/>
    <w:rsid w:val="00203B25"/>
    <w:rsid w:val="00204098"/>
    <w:rsid w:val="002174D8"/>
    <w:rsid w:val="00232D19"/>
    <w:rsid w:val="00274CE3"/>
    <w:rsid w:val="00291B23"/>
    <w:rsid w:val="002A17CC"/>
    <w:rsid w:val="002D2B8C"/>
    <w:rsid w:val="00306A4F"/>
    <w:rsid w:val="003B4443"/>
    <w:rsid w:val="003D3F6E"/>
    <w:rsid w:val="003F37C2"/>
    <w:rsid w:val="00400472"/>
    <w:rsid w:val="00416FC5"/>
    <w:rsid w:val="00421F84"/>
    <w:rsid w:val="0044471E"/>
    <w:rsid w:val="004645DD"/>
    <w:rsid w:val="00481B8A"/>
    <w:rsid w:val="004908DE"/>
    <w:rsid w:val="00497BA8"/>
    <w:rsid w:val="004B7FF4"/>
    <w:rsid w:val="004D0D8C"/>
    <w:rsid w:val="00530104"/>
    <w:rsid w:val="005434FC"/>
    <w:rsid w:val="00546AFE"/>
    <w:rsid w:val="00560469"/>
    <w:rsid w:val="005A1CFC"/>
    <w:rsid w:val="005F4DF4"/>
    <w:rsid w:val="00605AA3"/>
    <w:rsid w:val="00612C28"/>
    <w:rsid w:val="00623772"/>
    <w:rsid w:val="00682DA0"/>
    <w:rsid w:val="006959B0"/>
    <w:rsid w:val="006B789B"/>
    <w:rsid w:val="006D502E"/>
    <w:rsid w:val="006F5361"/>
    <w:rsid w:val="00725D74"/>
    <w:rsid w:val="0072632B"/>
    <w:rsid w:val="0075646D"/>
    <w:rsid w:val="0075792A"/>
    <w:rsid w:val="00772EF7"/>
    <w:rsid w:val="007804E8"/>
    <w:rsid w:val="00781F8E"/>
    <w:rsid w:val="0078563B"/>
    <w:rsid w:val="00787B38"/>
    <w:rsid w:val="007973E4"/>
    <w:rsid w:val="007F48B7"/>
    <w:rsid w:val="00807933"/>
    <w:rsid w:val="00813C69"/>
    <w:rsid w:val="008B4094"/>
    <w:rsid w:val="008D7FF4"/>
    <w:rsid w:val="008F635C"/>
    <w:rsid w:val="00920E21"/>
    <w:rsid w:val="0093728F"/>
    <w:rsid w:val="00963C64"/>
    <w:rsid w:val="00964D0D"/>
    <w:rsid w:val="00985004"/>
    <w:rsid w:val="00991F63"/>
    <w:rsid w:val="00996223"/>
    <w:rsid w:val="009A4A35"/>
    <w:rsid w:val="009C2CBA"/>
    <w:rsid w:val="009C557F"/>
    <w:rsid w:val="009E43BB"/>
    <w:rsid w:val="00A06021"/>
    <w:rsid w:val="00A62EFB"/>
    <w:rsid w:val="00A648CF"/>
    <w:rsid w:val="00A95AD9"/>
    <w:rsid w:val="00B2352D"/>
    <w:rsid w:val="00B33A26"/>
    <w:rsid w:val="00B750A1"/>
    <w:rsid w:val="00B84CC7"/>
    <w:rsid w:val="00BA74DA"/>
    <w:rsid w:val="00BB3F72"/>
    <w:rsid w:val="00BC2054"/>
    <w:rsid w:val="00BC6496"/>
    <w:rsid w:val="00BF47F0"/>
    <w:rsid w:val="00C113FE"/>
    <w:rsid w:val="00C42AA1"/>
    <w:rsid w:val="00C87CAC"/>
    <w:rsid w:val="00C90531"/>
    <w:rsid w:val="00C95AAF"/>
    <w:rsid w:val="00CD1F71"/>
    <w:rsid w:val="00CD27CE"/>
    <w:rsid w:val="00D053E6"/>
    <w:rsid w:val="00D06769"/>
    <w:rsid w:val="00D80D91"/>
    <w:rsid w:val="00D83C44"/>
    <w:rsid w:val="00D875CD"/>
    <w:rsid w:val="00D95B27"/>
    <w:rsid w:val="00DC4B4F"/>
    <w:rsid w:val="00DF3680"/>
    <w:rsid w:val="00E15B19"/>
    <w:rsid w:val="00E2762C"/>
    <w:rsid w:val="00E32D7C"/>
    <w:rsid w:val="00E61295"/>
    <w:rsid w:val="00E72AE3"/>
    <w:rsid w:val="00EB1029"/>
    <w:rsid w:val="00EC5B36"/>
    <w:rsid w:val="00ED2050"/>
    <w:rsid w:val="00EE5739"/>
    <w:rsid w:val="00F6248F"/>
    <w:rsid w:val="00F768D3"/>
    <w:rsid w:val="00F86F16"/>
    <w:rsid w:val="00FB3A30"/>
    <w:rsid w:val="00FD1B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720B549E"/>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styleId="Textonotapie">
    <w:name w:val="footnote text"/>
    <w:basedOn w:val="Normal"/>
    <w:link w:val="TextonotapieCar"/>
    <w:uiPriority w:val="99"/>
    <w:semiHidden/>
    <w:unhideWhenUsed/>
    <w:rsid w:val="00CD27CE"/>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heme="minorHAnsi" w:eastAsiaTheme="minorEastAsia" w:hAnsiTheme="minorHAnsi" w:cstheme="minorBidi"/>
      <w:color w:val="auto"/>
      <w:sz w:val="20"/>
      <w:szCs w:val="20"/>
      <w:bdr w:val="none" w:sz="0" w:space="0" w:color="auto"/>
      <w:lang w:val="es-ES_tradnl" w:eastAsia="en-US"/>
    </w:rPr>
  </w:style>
  <w:style w:type="character" w:customStyle="1" w:styleId="TextonotapieCar">
    <w:name w:val="Texto nota pie Car"/>
    <w:basedOn w:val="Fuentedeprrafopredeter"/>
    <w:link w:val="Textonotapie"/>
    <w:uiPriority w:val="99"/>
    <w:semiHidden/>
    <w:rsid w:val="00CD27CE"/>
    <w:rPr>
      <w:rFonts w:eastAsiaTheme="minorEastAsia"/>
      <w:sz w:val="20"/>
      <w:szCs w:val="20"/>
    </w:rPr>
  </w:style>
  <w:style w:type="character" w:styleId="Refdenotaalpie">
    <w:name w:val="footnote reference"/>
    <w:uiPriority w:val="99"/>
    <w:unhideWhenUsed/>
    <w:rsid w:val="00CD2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5E70-91CE-4257-876E-04FDB1AB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11</Pages>
  <Words>2491</Words>
  <Characters>13705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Ana Rodríguez Guerra</cp:lastModifiedBy>
  <cp:revision>41</cp:revision>
  <cp:lastPrinted>2020-06-15T12:52:00Z</cp:lastPrinted>
  <dcterms:created xsi:type="dcterms:W3CDTF">2020-04-13T21:44:00Z</dcterms:created>
  <dcterms:modified xsi:type="dcterms:W3CDTF">2020-06-15T12:53:00Z</dcterms:modified>
</cp:coreProperties>
</file>