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7B1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38D5F4A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31743F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noProof/>
          <w:color w:val="auto"/>
          <w:szCs w:val="20"/>
          <w:bdr w:val="none" w:sz="0" w:space="0" w:color="auto"/>
          <w:lang w:val="es-ES_tradnl" w:eastAsia="es-ES"/>
        </w:rPr>
        <mc:AlternateContent>
          <mc:Choice Requires="wps">
            <w:drawing>
              <wp:anchor distT="0" distB="0" distL="114300" distR="114300" simplePos="0" relativeHeight="251659264" behindDoc="0" locked="0" layoutInCell="1" allowOverlap="1" wp14:anchorId="219BCBDC" wp14:editId="70E87B41">
                <wp:simplePos x="0" y="0"/>
                <wp:positionH relativeFrom="column">
                  <wp:posOffset>-34290</wp:posOffset>
                </wp:positionH>
                <wp:positionV relativeFrom="paragraph">
                  <wp:posOffset>86360</wp:posOffset>
                </wp:positionV>
                <wp:extent cx="5440680" cy="1485900"/>
                <wp:effectExtent l="13335" t="12065" r="13335" b="6985"/>
                <wp:wrapNone/>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680" cy="1485900"/>
                        </a:xfrm>
                        <a:prstGeom prst="roundRect">
                          <a:avLst>
                            <a:gd name="adj" fmla="val 16667"/>
                          </a:avLst>
                        </a:prstGeom>
                        <a:solidFill>
                          <a:srgbClr val="DDDDDD"/>
                        </a:solidFill>
                        <a:ln w="9525">
                          <a:solidFill>
                            <a:srgbClr val="000000"/>
                          </a:solidFill>
                          <a:round/>
                          <a:headEnd/>
                          <a:tailEnd/>
                        </a:ln>
                      </wps:spPr>
                      <wps:txbx>
                        <w:txbxContent>
                          <w:p w14:paraId="41AF50C3" w14:textId="65AB6090" w:rsidR="00CD27CE" w:rsidRPr="002419A9" w:rsidRDefault="00CD27CE" w:rsidP="00D875CD">
                            <w:pPr>
                              <w:pStyle w:val="Ttulo1"/>
                              <w:numPr>
                                <w:ilvl w:val="0"/>
                                <w:numId w:val="0"/>
                              </w:numPr>
                              <w:ind w:left="360"/>
                              <w:jc w:val="both"/>
                              <w:rPr>
                                <w:b w:val="0"/>
                                <w:sz w:val="28"/>
                              </w:rPr>
                            </w:pPr>
                            <w:r w:rsidRPr="002419A9">
                              <w:rPr>
                                <w:sz w:val="28"/>
                              </w:rPr>
                              <w:t>INFORME DE PROMOTUR TURISMO CANARIAS, S.A., RELATIVO AL CUMPLIMIENTO DE LAS OBLIGACIONES DE CARÁCTER ECONÓMICO-FINANCIERO QUE ASUME ESTA EMPRESA PÚBLICA COMO CONSECUENCIA DE SU PERTENENCIA AL SECTOR PÚBLICO DURANTE EL EJERCICIO 20</w:t>
                            </w:r>
                            <w:r w:rsidR="004C24B4">
                              <w:rPr>
                                <w:sz w:val="28"/>
                              </w:rPr>
                              <w:t>20</w:t>
                            </w:r>
                          </w:p>
                          <w:p w14:paraId="7DBA2E11" w14:textId="77777777" w:rsidR="00CD27CE" w:rsidRPr="00A34096" w:rsidRDefault="00CD27CE" w:rsidP="00CD27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9BCBDC" id="Rectángulo: esquinas redondeadas 2" o:spid="_x0000_s1026" style="position:absolute;margin-left:-2.7pt;margin-top:6.8pt;width:428.4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" fillcolor="#ddd">
                <v:textbox>
                  <w:txbxContent>
                    <w:p w14:paraId="41AF50C3" w14:textId="65AB6090" w:rsidR="00CD27CE" w:rsidRPr="002419A9" w:rsidRDefault="00CD27CE" w:rsidP="00D875CD">
                      <w:pPr>
                        <w:pStyle w:val="Ttulo1"/>
                        <w:numPr>
                          <w:ilvl w:val="0"/>
                          <w:numId w:val="0"/>
                        </w:numPr>
                        <w:ind w:left="360"/>
                        <w:jc w:val="both"/>
                        <w:rPr>
                          <w:b w:val="0"/>
                          <w:sz w:val="28"/>
                        </w:rPr>
                      </w:pPr>
                      <w:r w:rsidRPr="002419A9">
                        <w:rPr>
                          <w:sz w:val="28"/>
                        </w:rPr>
                        <w:t>INFORME DE PROMOTUR TURISMO CANARIAS, S.A., RELATIVO AL CUMPLIMIENTO DE LAS OBLIGACIONES DE CARÁCTER ECONÓMICO-FINANCIERO QUE ASUME ESTA EMPRESA PÚBLICA COMO CONSECUENCIA DE SU PERTENENCIA AL SECTOR PÚBLICO DURANTE EL EJERCICIO 20</w:t>
                      </w:r>
                      <w:r w:rsidR="004C24B4">
                        <w:rPr>
                          <w:sz w:val="28"/>
                        </w:rPr>
                        <w:t>20</w:t>
                      </w:r>
                    </w:p>
                    <w:p w14:paraId="7DBA2E11" w14:textId="77777777" w:rsidR="00CD27CE" w:rsidRPr="00A34096" w:rsidRDefault="00CD27CE" w:rsidP="00CD27CE"/>
                  </w:txbxContent>
                </v:textbox>
              </v:roundrect>
            </w:pict>
          </mc:Fallback>
        </mc:AlternateContent>
      </w:r>
    </w:p>
    <w:p w14:paraId="2E98504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244B6D1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7CA4BA8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695EA6C"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04F0F6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40F6214"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D324373"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6C5276B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32A1C99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3C0523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41FF5E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92A8A65"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00C23D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7CC82FE4"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26E24BE5"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28652A7"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61DAEEE"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3BCCA745"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3539CE7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5B39C1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678739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65F7B2D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6A94980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619A2288"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712BA64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3295E634"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3BAD2398"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7C3B5BB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C3AE2C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4A1B085E"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A1CE5B4"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11A4DEE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7D089D82"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4E8F70A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6FE163D9"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34C069F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4AE7642"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43FBA508"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27F702B1"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4A2F118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AC017A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65715B8"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5E8D6FC"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608C62A7"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7920"/>
        </w:tabs>
        <w:outlineLvl w:val="9"/>
        <w:rPr>
          <w:rFonts w:ascii="Times" w:eastAsia="Times" w:hAnsi="Times" w:cs="Times New Roman"/>
          <w:b/>
          <w:color w:val="auto"/>
          <w:szCs w:val="20"/>
          <w:bdr w:val="none" w:sz="0" w:space="0" w:color="auto"/>
          <w:lang w:val="es-ES_tradnl" w:eastAsia="es-ES"/>
        </w:rPr>
      </w:pPr>
      <w:r w:rsidRPr="00CD27CE">
        <w:rPr>
          <w:rFonts w:ascii="Times" w:eastAsia="Times" w:hAnsi="Times" w:cs="Times New Roman"/>
          <w:b/>
          <w:color w:val="auto"/>
          <w:szCs w:val="20"/>
          <w:bdr w:val="none" w:sz="0" w:space="0" w:color="auto"/>
          <w:lang w:val="es-ES_tradnl" w:eastAsia="es-ES"/>
        </w:rPr>
        <w:t xml:space="preserve">                                                    INDICE</w:t>
      </w:r>
      <w:r w:rsidRPr="00CD27CE">
        <w:rPr>
          <w:rFonts w:ascii="Times" w:eastAsia="Times" w:hAnsi="Times" w:cs="Times New Roman"/>
          <w:b/>
          <w:color w:val="auto"/>
          <w:szCs w:val="20"/>
          <w:bdr w:val="none" w:sz="0" w:space="0" w:color="auto"/>
          <w:lang w:val="es-ES_tradnl" w:eastAsia="es-ES"/>
        </w:rPr>
        <w:tab/>
        <w:t>PAG</w:t>
      </w:r>
    </w:p>
    <w:p w14:paraId="04B18A19"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7920"/>
        </w:tabs>
        <w:outlineLvl w:val="9"/>
        <w:rPr>
          <w:rFonts w:ascii="Times" w:eastAsia="Times" w:hAnsi="Times" w:cs="Times New Roman"/>
          <w:b/>
          <w:color w:val="auto"/>
          <w:szCs w:val="20"/>
          <w:bdr w:val="none" w:sz="0" w:space="0" w:color="auto"/>
          <w:lang w:val="es-ES_tradnl" w:eastAsia="es-ES"/>
        </w:rPr>
      </w:pPr>
    </w:p>
    <w:p w14:paraId="2A0B840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7920"/>
        </w:tabs>
        <w:outlineLvl w:val="9"/>
        <w:rPr>
          <w:rFonts w:ascii="Times" w:eastAsia="Times" w:hAnsi="Times" w:cs="Times New Roman"/>
          <w:b/>
          <w:color w:val="auto"/>
          <w:szCs w:val="20"/>
          <w:bdr w:val="none" w:sz="0" w:space="0" w:color="auto"/>
          <w:lang w:val="es-ES_tradnl" w:eastAsia="es-ES"/>
        </w:rPr>
      </w:pPr>
    </w:p>
    <w:p w14:paraId="16D3C034"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outlineLvl w:val="9"/>
        <w:rPr>
          <w:rFonts w:ascii="Times" w:eastAsia="Times" w:hAnsi="Times" w:cs="Times New Roman"/>
          <w:b/>
          <w:color w:val="auto"/>
          <w:szCs w:val="20"/>
          <w:bdr w:val="none" w:sz="0" w:space="0" w:color="auto"/>
          <w:lang w:val="es-ES_tradnl" w:eastAsia="es-ES"/>
        </w:rPr>
      </w:pPr>
      <w:r w:rsidRPr="00CD27CE">
        <w:rPr>
          <w:rFonts w:ascii="Times" w:eastAsia="Times" w:hAnsi="Times" w:cs="Times New Roman"/>
          <w:b/>
          <w:color w:val="auto"/>
          <w:szCs w:val="20"/>
          <w:bdr w:val="none" w:sz="0" w:space="0" w:color="auto"/>
          <w:lang w:val="es-ES_tradnl" w:eastAsia="es-ES"/>
        </w:rPr>
        <w:t>Introducción</w:t>
      </w:r>
      <w:r w:rsidRPr="00CD27CE">
        <w:rPr>
          <w:rFonts w:ascii="Times" w:eastAsia="Times" w:hAnsi="Times" w:cs="Times New Roman"/>
          <w:b/>
          <w:color w:val="auto"/>
          <w:szCs w:val="20"/>
          <w:bdr w:val="none" w:sz="0" w:space="0" w:color="auto"/>
          <w:lang w:val="es-ES_tradnl" w:eastAsia="es-ES"/>
        </w:rPr>
        <w:tab/>
        <w:t>3</w:t>
      </w:r>
    </w:p>
    <w:p w14:paraId="54815A5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1729D96" w14:textId="77777777" w:rsidR="00CD27CE" w:rsidRPr="00CD27CE" w:rsidRDefault="00CD27CE" w:rsidP="00CD27C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692"/>
        <w:jc w:val="both"/>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color w:val="auto"/>
          <w:szCs w:val="20"/>
          <w:bdr w:val="none" w:sz="0" w:space="0" w:color="auto"/>
          <w:lang w:val="es-ES_tradnl" w:eastAsia="es-ES"/>
        </w:rPr>
        <w:t>Información de carácter presupuestario.</w:t>
      </w:r>
      <w:r w:rsidRPr="00CD27CE">
        <w:rPr>
          <w:rFonts w:ascii="Times" w:eastAsia="Times" w:hAnsi="Times" w:cs="Times New Roman"/>
          <w:color w:val="auto"/>
          <w:szCs w:val="20"/>
          <w:bdr w:val="none" w:sz="0" w:space="0" w:color="auto"/>
          <w:lang w:val="es-ES_tradnl" w:eastAsia="es-ES"/>
        </w:rPr>
        <w:tab/>
        <w:t>4</w:t>
      </w:r>
    </w:p>
    <w:p w14:paraId="251433E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left="-540" w:right="2744"/>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color w:val="auto"/>
          <w:szCs w:val="20"/>
          <w:bdr w:val="none" w:sz="0" w:space="0" w:color="auto"/>
          <w:lang w:val="es-ES_tradnl" w:eastAsia="es-ES"/>
        </w:rPr>
        <w:tab/>
      </w:r>
    </w:p>
    <w:p w14:paraId="1317BF12" w14:textId="381CD5EB" w:rsidR="00CD27CE" w:rsidRPr="00CD27CE" w:rsidRDefault="00CD27CE" w:rsidP="00CD27C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744"/>
        <w:jc w:val="both"/>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color w:val="auto"/>
          <w:szCs w:val="20"/>
          <w:bdr w:val="none" w:sz="0" w:space="0" w:color="auto"/>
          <w:lang w:val="es-ES_tradnl" w:eastAsia="es-ES"/>
        </w:rPr>
        <w:t xml:space="preserve">Información relativa a la ejecución de los contratos-programa, convenios, encomiendas, aportaciones dinerarias y subvenciones y su grado de cumplimiento. </w:t>
      </w:r>
      <w:r w:rsidRPr="00CD27CE">
        <w:rPr>
          <w:rFonts w:ascii="Times" w:eastAsia="Times" w:hAnsi="Times" w:cs="Times New Roman"/>
          <w:color w:val="auto"/>
          <w:szCs w:val="20"/>
          <w:bdr w:val="none" w:sz="0" w:space="0" w:color="auto"/>
          <w:lang w:val="es-ES_tradnl" w:eastAsia="es-ES"/>
        </w:rPr>
        <w:tab/>
      </w:r>
      <w:r w:rsidR="00C60202">
        <w:rPr>
          <w:rFonts w:ascii="Times" w:eastAsia="Times" w:hAnsi="Times" w:cs="Times New Roman"/>
          <w:color w:val="auto"/>
          <w:szCs w:val="20"/>
          <w:bdr w:val="none" w:sz="0" w:space="0" w:color="auto"/>
          <w:lang w:val="es-ES_tradnl" w:eastAsia="es-ES"/>
        </w:rPr>
        <w:t>7</w:t>
      </w:r>
      <w:r w:rsidRPr="00CD27CE">
        <w:rPr>
          <w:rFonts w:ascii="Times" w:eastAsia="Times" w:hAnsi="Times" w:cs="Times New Roman"/>
          <w:color w:val="auto"/>
          <w:szCs w:val="20"/>
          <w:bdr w:val="none" w:sz="0" w:space="0" w:color="auto"/>
          <w:lang w:val="es-ES_tradnl" w:eastAsia="es-ES"/>
        </w:rPr>
        <w:tab/>
      </w:r>
      <w:r w:rsidRPr="00CD27CE">
        <w:rPr>
          <w:rFonts w:ascii="Times" w:eastAsia="Times" w:hAnsi="Times" w:cs="Times New Roman"/>
          <w:color w:val="auto"/>
          <w:szCs w:val="20"/>
          <w:bdr w:val="none" w:sz="0" w:space="0" w:color="auto"/>
          <w:lang w:val="es-ES_tradnl" w:eastAsia="es-ES"/>
        </w:rPr>
        <w:tab/>
      </w:r>
    </w:p>
    <w:p w14:paraId="1109E394"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744"/>
        <w:outlineLvl w:val="9"/>
        <w:rPr>
          <w:rFonts w:ascii="Times" w:eastAsia="Times" w:hAnsi="Times" w:cs="Times New Roman"/>
          <w:color w:val="auto"/>
          <w:szCs w:val="20"/>
          <w:bdr w:val="none" w:sz="0" w:space="0" w:color="auto"/>
          <w:lang w:val="es-ES_tradnl" w:eastAsia="es-ES"/>
        </w:rPr>
      </w:pPr>
    </w:p>
    <w:p w14:paraId="436C7247" w14:textId="60A7B6C7" w:rsidR="00CD27CE" w:rsidRPr="00CD27CE" w:rsidRDefault="00CD27CE" w:rsidP="00CD27C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744"/>
        <w:jc w:val="both"/>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color w:val="auto"/>
          <w:szCs w:val="20"/>
          <w:bdr w:val="none" w:sz="0" w:space="0" w:color="auto"/>
          <w:lang w:val="es-ES_tradnl" w:eastAsia="es-ES"/>
        </w:rPr>
        <w:t xml:space="preserve">Información relativa al cumplimiento de la normativa en materia de contratación que han de cumplir las entidades del sector público. </w:t>
      </w:r>
      <w:r w:rsidRPr="00CD27CE">
        <w:rPr>
          <w:rFonts w:ascii="Times" w:eastAsia="Times" w:hAnsi="Times" w:cs="Times New Roman"/>
          <w:color w:val="auto"/>
          <w:szCs w:val="20"/>
          <w:bdr w:val="none" w:sz="0" w:space="0" w:color="auto"/>
          <w:lang w:val="es-ES_tradnl" w:eastAsia="es-ES"/>
        </w:rPr>
        <w:tab/>
      </w:r>
      <w:r w:rsidR="00C60202">
        <w:rPr>
          <w:rFonts w:ascii="Times" w:eastAsia="Times" w:hAnsi="Times" w:cs="Times New Roman"/>
          <w:color w:val="auto"/>
          <w:szCs w:val="20"/>
          <w:bdr w:val="none" w:sz="0" w:space="0" w:color="auto"/>
          <w:lang w:val="es-ES_tradnl" w:eastAsia="es-ES"/>
        </w:rPr>
        <w:t>7</w:t>
      </w:r>
      <w:r w:rsidRPr="00CD27CE">
        <w:rPr>
          <w:rFonts w:ascii="Times" w:eastAsia="Times" w:hAnsi="Times" w:cs="Times New Roman"/>
          <w:color w:val="auto"/>
          <w:szCs w:val="20"/>
          <w:bdr w:val="none" w:sz="0" w:space="0" w:color="auto"/>
          <w:lang w:val="es-ES_tradnl" w:eastAsia="es-ES"/>
        </w:rPr>
        <w:tab/>
      </w:r>
    </w:p>
    <w:p w14:paraId="3268F741"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744"/>
        <w:jc w:val="both"/>
        <w:outlineLvl w:val="9"/>
        <w:rPr>
          <w:rFonts w:ascii="Times" w:eastAsia="Times" w:hAnsi="Times" w:cs="Times New Roman"/>
          <w:color w:val="auto"/>
          <w:szCs w:val="20"/>
          <w:bdr w:val="none" w:sz="0" w:space="0" w:color="auto"/>
          <w:lang w:val="es-ES_tradnl" w:eastAsia="es-ES"/>
        </w:rPr>
      </w:pPr>
    </w:p>
    <w:p w14:paraId="7FE25885" w14:textId="3C0C2830" w:rsidR="00CD27CE" w:rsidRPr="00CD27CE" w:rsidRDefault="00CD27CE" w:rsidP="00CD27C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744"/>
        <w:jc w:val="both"/>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color w:val="auto"/>
          <w:szCs w:val="20"/>
          <w:bdr w:val="none" w:sz="0" w:space="0" w:color="auto"/>
          <w:lang w:val="es-ES_tradnl" w:eastAsia="es-ES"/>
        </w:rPr>
        <w:t>Información sobre garantías recibidas.</w:t>
      </w:r>
      <w:r w:rsidRPr="00CD27CE">
        <w:rPr>
          <w:rFonts w:ascii="Times" w:eastAsia="Times" w:hAnsi="Times" w:cs="Times New Roman"/>
          <w:color w:val="auto"/>
          <w:szCs w:val="20"/>
          <w:bdr w:val="none" w:sz="0" w:space="0" w:color="auto"/>
          <w:lang w:val="es-ES_tradnl" w:eastAsia="es-ES"/>
        </w:rPr>
        <w:tab/>
      </w:r>
      <w:r w:rsidR="00D053E6">
        <w:rPr>
          <w:rFonts w:ascii="Times" w:eastAsia="Times" w:hAnsi="Times" w:cs="Times New Roman"/>
          <w:color w:val="auto"/>
          <w:szCs w:val="20"/>
          <w:bdr w:val="none" w:sz="0" w:space="0" w:color="auto"/>
          <w:lang w:val="es-ES_tradnl" w:eastAsia="es-ES"/>
        </w:rPr>
        <w:t>9</w:t>
      </w:r>
    </w:p>
    <w:p w14:paraId="296AD357"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left="-540" w:right="2744"/>
        <w:outlineLvl w:val="9"/>
        <w:rPr>
          <w:rFonts w:ascii="Times" w:eastAsia="Times" w:hAnsi="Times" w:cs="Times New Roman"/>
          <w:color w:val="auto"/>
          <w:szCs w:val="20"/>
          <w:bdr w:val="none" w:sz="0" w:space="0" w:color="auto"/>
          <w:lang w:val="es-ES_tradnl" w:eastAsia="es-ES"/>
        </w:rPr>
      </w:pPr>
    </w:p>
    <w:p w14:paraId="023A6F2D" w14:textId="794A3B43" w:rsidR="00CD27CE" w:rsidRPr="00CD27CE" w:rsidRDefault="00CD27CE" w:rsidP="00CD27C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744"/>
        <w:jc w:val="both"/>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color w:val="auto"/>
          <w:szCs w:val="20"/>
          <w:bdr w:val="none" w:sz="0" w:space="0" w:color="auto"/>
          <w:lang w:val="es-ES_tradnl" w:eastAsia="es-ES"/>
        </w:rPr>
        <w:t>Información sobre personal.</w:t>
      </w:r>
      <w:r w:rsidRPr="00CD27CE">
        <w:rPr>
          <w:rFonts w:ascii="Times" w:eastAsia="Times" w:hAnsi="Times" w:cs="Times New Roman"/>
          <w:color w:val="auto"/>
          <w:szCs w:val="20"/>
          <w:bdr w:val="none" w:sz="0" w:space="0" w:color="auto"/>
          <w:lang w:val="es-ES_tradnl" w:eastAsia="es-ES"/>
        </w:rPr>
        <w:tab/>
      </w:r>
      <w:r w:rsidR="00D053E6">
        <w:rPr>
          <w:rFonts w:ascii="Times" w:eastAsia="Times" w:hAnsi="Times" w:cs="Times New Roman"/>
          <w:color w:val="auto"/>
          <w:szCs w:val="20"/>
          <w:bdr w:val="none" w:sz="0" w:space="0" w:color="auto"/>
          <w:lang w:val="es-ES_tradnl" w:eastAsia="es-ES"/>
        </w:rPr>
        <w:t>9</w:t>
      </w:r>
    </w:p>
    <w:p w14:paraId="16C7B82A" w14:textId="77777777" w:rsidR="00CD27CE" w:rsidRPr="00CD27CE" w:rsidRDefault="00CD27CE" w:rsidP="00CD27CE">
      <w:pPr>
        <w:ind w:left="720"/>
        <w:outlineLvl w:val="9"/>
        <w:rPr>
          <w:rFonts w:ascii="Cambria" w:hAnsi="Cambria" w:cs="Cambria"/>
          <w:lang w:val="es-ES_tradnl"/>
        </w:rPr>
      </w:pPr>
    </w:p>
    <w:p w14:paraId="06F0DA30" w14:textId="2D658FD3" w:rsidR="00CD27CE" w:rsidRPr="00CD27CE" w:rsidRDefault="00CD27CE" w:rsidP="00CD27C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744"/>
        <w:jc w:val="both"/>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color w:val="auto"/>
          <w:szCs w:val="20"/>
          <w:bdr w:val="none" w:sz="0" w:space="0" w:color="auto"/>
          <w:lang w:val="es-ES_tradnl" w:eastAsia="es-ES"/>
        </w:rPr>
        <w:t>Información sobre los ingresos por ventas y/o prestaciones de servicios de la entidad.</w:t>
      </w:r>
      <w:r w:rsidRPr="00CD27CE">
        <w:rPr>
          <w:rFonts w:ascii="Times" w:eastAsia="Times" w:hAnsi="Times" w:cs="Times New Roman"/>
          <w:color w:val="auto"/>
          <w:szCs w:val="20"/>
          <w:bdr w:val="none" w:sz="0" w:space="0" w:color="auto"/>
          <w:lang w:val="es-ES_tradnl" w:eastAsia="es-ES"/>
        </w:rPr>
        <w:tab/>
      </w:r>
      <w:r w:rsidR="00C60202">
        <w:rPr>
          <w:rFonts w:ascii="Times" w:eastAsia="Times" w:hAnsi="Times" w:cs="Times New Roman"/>
          <w:color w:val="auto"/>
          <w:szCs w:val="20"/>
          <w:bdr w:val="none" w:sz="0" w:space="0" w:color="auto"/>
          <w:lang w:val="es-ES_tradnl" w:eastAsia="es-ES"/>
        </w:rPr>
        <w:t>9</w:t>
      </w:r>
    </w:p>
    <w:p w14:paraId="60EF0D05" w14:textId="77777777" w:rsidR="00CD27CE" w:rsidRPr="00CD27CE" w:rsidRDefault="00CD27CE" w:rsidP="00CD27CE">
      <w:pPr>
        <w:ind w:left="720"/>
        <w:outlineLvl w:val="9"/>
        <w:rPr>
          <w:rFonts w:ascii="Cambria" w:hAnsi="Cambria" w:cs="Cambria"/>
          <w:lang w:val="es-ES_tradnl"/>
        </w:rPr>
      </w:pPr>
    </w:p>
    <w:p w14:paraId="4DD371C0" w14:textId="1C7C45A5" w:rsidR="00CD27CE" w:rsidRPr="00CD27CE" w:rsidRDefault="00CD27CE" w:rsidP="00CD27C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744"/>
        <w:jc w:val="both"/>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color w:val="auto"/>
          <w:szCs w:val="20"/>
          <w:bdr w:val="none" w:sz="0" w:space="0" w:color="auto"/>
          <w:lang w:val="es-ES_tradnl" w:eastAsia="es-ES"/>
        </w:rPr>
        <w:t>Información sobre las operaciones financieras.</w:t>
      </w:r>
      <w:r w:rsidRPr="00CD27CE">
        <w:rPr>
          <w:rFonts w:ascii="Times" w:eastAsia="Times" w:hAnsi="Times" w:cs="Times New Roman"/>
          <w:color w:val="auto"/>
          <w:szCs w:val="20"/>
          <w:bdr w:val="none" w:sz="0" w:space="0" w:color="auto"/>
          <w:lang w:val="es-ES_tradnl" w:eastAsia="es-ES"/>
        </w:rPr>
        <w:tab/>
        <w:t>1</w:t>
      </w:r>
      <w:r w:rsidR="00D053E6">
        <w:rPr>
          <w:rFonts w:ascii="Times" w:eastAsia="Times" w:hAnsi="Times" w:cs="Times New Roman"/>
          <w:color w:val="auto"/>
          <w:szCs w:val="20"/>
          <w:bdr w:val="none" w:sz="0" w:space="0" w:color="auto"/>
          <w:lang w:val="es-ES_tradnl" w:eastAsia="es-ES"/>
        </w:rPr>
        <w:t>0</w:t>
      </w:r>
    </w:p>
    <w:p w14:paraId="43BFB308" w14:textId="77777777" w:rsidR="00CD27CE" w:rsidRPr="00CD27CE" w:rsidRDefault="00CD27CE" w:rsidP="00CD27CE">
      <w:pPr>
        <w:ind w:left="720"/>
        <w:outlineLvl w:val="9"/>
        <w:rPr>
          <w:rFonts w:ascii="Cambria" w:hAnsi="Cambria" w:cs="Cambria"/>
          <w:lang w:val="es-ES_tradnl"/>
        </w:rPr>
      </w:pPr>
    </w:p>
    <w:p w14:paraId="2C442368" w14:textId="20439F91" w:rsidR="00CD27CE" w:rsidRPr="00CD27CE" w:rsidRDefault="00CD27CE" w:rsidP="00CD27C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744"/>
        <w:jc w:val="both"/>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color w:val="auto"/>
          <w:szCs w:val="20"/>
          <w:bdr w:val="none" w:sz="0" w:space="0" w:color="auto"/>
          <w:lang w:val="es-ES_tradnl" w:eastAsia="es-ES"/>
        </w:rPr>
        <w:t>Información sobre el Plan económico-financiero de saneamiento a medio plazo como consecuencia de situaciones de desequilibrio presupuestario.</w:t>
      </w:r>
      <w:r w:rsidRPr="00CD27CE">
        <w:rPr>
          <w:rFonts w:ascii="Times" w:eastAsia="Times" w:hAnsi="Times" w:cs="Times New Roman"/>
          <w:color w:val="auto"/>
          <w:szCs w:val="20"/>
          <w:bdr w:val="none" w:sz="0" w:space="0" w:color="auto"/>
          <w:lang w:val="es-ES_tradnl" w:eastAsia="es-ES"/>
        </w:rPr>
        <w:tab/>
        <w:t>1</w:t>
      </w:r>
      <w:r w:rsidR="00D053E6">
        <w:rPr>
          <w:rFonts w:ascii="Times" w:eastAsia="Times" w:hAnsi="Times" w:cs="Times New Roman"/>
          <w:color w:val="auto"/>
          <w:szCs w:val="20"/>
          <w:bdr w:val="none" w:sz="0" w:space="0" w:color="auto"/>
          <w:lang w:val="es-ES_tradnl" w:eastAsia="es-ES"/>
        </w:rPr>
        <w:t>0</w:t>
      </w:r>
    </w:p>
    <w:p w14:paraId="4D0F1D07" w14:textId="77777777" w:rsidR="00CD27CE" w:rsidRPr="00CD27CE" w:rsidRDefault="00CD27CE" w:rsidP="00CD27CE">
      <w:pPr>
        <w:ind w:left="720"/>
        <w:outlineLvl w:val="9"/>
        <w:rPr>
          <w:rFonts w:ascii="Cambria" w:hAnsi="Cambria" w:cs="Cambria"/>
          <w:lang w:val="es-ES_tradnl"/>
        </w:rPr>
      </w:pPr>
    </w:p>
    <w:p w14:paraId="57D983FC" w14:textId="5F76CB59" w:rsidR="00CD27CE" w:rsidRPr="00CD27CE" w:rsidRDefault="00CD27CE" w:rsidP="00CD27C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744"/>
        <w:jc w:val="both"/>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color w:val="auto"/>
          <w:szCs w:val="20"/>
          <w:bdr w:val="none" w:sz="0" w:space="0" w:color="auto"/>
          <w:lang w:val="es-ES_tradnl" w:eastAsia="es-ES"/>
        </w:rPr>
        <w:t>Proyección al cierre del ejercicio siguiente.</w:t>
      </w:r>
      <w:r w:rsidRPr="00CD27CE">
        <w:rPr>
          <w:rFonts w:ascii="Times" w:eastAsia="Times" w:hAnsi="Times" w:cs="Times New Roman"/>
          <w:color w:val="auto"/>
          <w:szCs w:val="20"/>
          <w:bdr w:val="none" w:sz="0" w:space="0" w:color="auto"/>
          <w:lang w:val="es-ES_tradnl" w:eastAsia="es-ES"/>
        </w:rPr>
        <w:tab/>
        <w:t>1</w:t>
      </w:r>
      <w:r w:rsidR="00C60202">
        <w:rPr>
          <w:rFonts w:ascii="Times" w:eastAsia="Times" w:hAnsi="Times" w:cs="Times New Roman"/>
          <w:color w:val="auto"/>
          <w:szCs w:val="20"/>
          <w:bdr w:val="none" w:sz="0" w:space="0" w:color="auto"/>
          <w:lang w:val="es-ES_tradnl" w:eastAsia="es-ES"/>
        </w:rPr>
        <w:t>0</w:t>
      </w:r>
    </w:p>
    <w:p w14:paraId="4EA950B5" w14:textId="77777777" w:rsidR="00CD27CE" w:rsidRPr="00CD27CE" w:rsidRDefault="00CD27CE" w:rsidP="00CD27CE">
      <w:pPr>
        <w:ind w:left="720"/>
        <w:outlineLvl w:val="9"/>
        <w:rPr>
          <w:rFonts w:ascii="Cambria" w:hAnsi="Cambria" w:cs="Cambria"/>
          <w:lang w:val="es-ES_tradnl"/>
        </w:rPr>
      </w:pPr>
    </w:p>
    <w:p w14:paraId="508A1AC0" w14:textId="3C26375B" w:rsidR="00CD27CE" w:rsidRPr="00CD27CE" w:rsidRDefault="00CD27CE" w:rsidP="00CD27C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right="2744"/>
        <w:jc w:val="both"/>
        <w:outlineLvl w:val="9"/>
        <w:rPr>
          <w:rFonts w:ascii="Times" w:eastAsia="Times" w:hAnsi="Times" w:cs="Times New Roman"/>
          <w:color w:val="auto"/>
          <w:szCs w:val="20"/>
          <w:bdr w:val="none" w:sz="0" w:space="0" w:color="auto"/>
          <w:lang w:val="es-ES_tradnl" w:eastAsia="es-ES"/>
        </w:rPr>
      </w:pPr>
      <w:r w:rsidRPr="00CD27CE">
        <w:rPr>
          <w:rFonts w:ascii="Times" w:eastAsia="Times" w:hAnsi="Times" w:cs="Times New Roman"/>
          <w:color w:val="auto"/>
          <w:szCs w:val="20"/>
          <w:bdr w:val="none" w:sz="0" w:space="0" w:color="auto"/>
          <w:lang w:val="es-ES_tradnl" w:eastAsia="es-ES"/>
        </w:rPr>
        <w:t>Información sobre objetivos e indicadores de gestión.</w:t>
      </w:r>
      <w:r w:rsidRPr="00CD27CE">
        <w:rPr>
          <w:rFonts w:ascii="Times" w:eastAsia="Times" w:hAnsi="Times" w:cs="Times New Roman"/>
          <w:color w:val="auto"/>
          <w:szCs w:val="20"/>
          <w:bdr w:val="none" w:sz="0" w:space="0" w:color="auto"/>
          <w:lang w:val="es-ES_tradnl" w:eastAsia="es-ES"/>
        </w:rPr>
        <w:tab/>
        <w:t>1</w:t>
      </w:r>
      <w:r w:rsidR="00D053E6">
        <w:rPr>
          <w:rFonts w:ascii="Times" w:eastAsia="Times" w:hAnsi="Times" w:cs="Times New Roman"/>
          <w:color w:val="auto"/>
          <w:szCs w:val="20"/>
          <w:bdr w:val="none" w:sz="0" w:space="0" w:color="auto"/>
          <w:lang w:val="es-ES_tradnl" w:eastAsia="es-ES"/>
        </w:rPr>
        <w:t>1</w:t>
      </w:r>
    </w:p>
    <w:p w14:paraId="5D31204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7740"/>
        </w:tabs>
        <w:ind w:left="-540" w:right="2744"/>
        <w:outlineLvl w:val="9"/>
        <w:rPr>
          <w:rFonts w:ascii="Times" w:eastAsia="Times" w:hAnsi="Times" w:cs="Times New Roman"/>
          <w:color w:val="auto"/>
          <w:szCs w:val="20"/>
          <w:bdr w:val="none" w:sz="0" w:space="0" w:color="auto"/>
          <w:lang w:val="es-ES_tradnl" w:eastAsia="es-ES"/>
        </w:rPr>
      </w:pPr>
    </w:p>
    <w:p w14:paraId="40B0062E"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num" w:pos="-180"/>
        </w:tabs>
        <w:ind w:left="-180"/>
        <w:outlineLvl w:val="9"/>
        <w:rPr>
          <w:rFonts w:ascii="Times" w:eastAsia="Times" w:hAnsi="Times" w:cs="Times New Roman"/>
          <w:color w:val="auto"/>
          <w:szCs w:val="20"/>
          <w:bdr w:val="none" w:sz="0" w:space="0" w:color="auto"/>
          <w:lang w:val="es-ES_tradnl" w:eastAsia="es-ES"/>
        </w:rPr>
      </w:pPr>
    </w:p>
    <w:p w14:paraId="3BE9EA01"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17C2F34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2CFC504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66A15B75"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73E8E44"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15E49CB9"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7E5D2CC3"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78B209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F6DFC21"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b/>
          <w:color w:val="auto"/>
          <w:szCs w:val="20"/>
          <w:bdr w:val="none" w:sz="0" w:space="0" w:color="auto"/>
          <w:lang w:val="es-ES_tradnl" w:eastAsia="es-ES"/>
        </w:rPr>
      </w:pPr>
    </w:p>
    <w:p w14:paraId="096E251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b/>
          <w:color w:val="auto"/>
          <w:szCs w:val="20"/>
          <w:bdr w:val="none" w:sz="0" w:space="0" w:color="auto"/>
          <w:lang w:val="es-ES_tradnl" w:eastAsia="es-ES"/>
        </w:rPr>
      </w:pPr>
    </w:p>
    <w:p w14:paraId="6192293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b/>
          <w:color w:val="auto"/>
          <w:szCs w:val="20"/>
          <w:bdr w:val="none" w:sz="0" w:space="0" w:color="auto"/>
          <w:lang w:val="es-ES_tradnl" w:eastAsia="es-ES"/>
        </w:rPr>
      </w:pPr>
      <w:r w:rsidRPr="00CD27CE">
        <w:rPr>
          <w:rFonts w:ascii="Times" w:eastAsia="Times" w:hAnsi="Times" w:cs="Times New Roman"/>
          <w:b/>
          <w:color w:val="auto"/>
          <w:szCs w:val="20"/>
          <w:bdr w:val="none" w:sz="0" w:space="0" w:color="auto"/>
          <w:lang w:val="es-ES_tradnl" w:eastAsia="es-ES"/>
        </w:rPr>
        <w:tab/>
        <w:t>INTRODUCCIÓN</w:t>
      </w:r>
    </w:p>
    <w:p w14:paraId="3F44FE59"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4DE7978" w14:textId="7DD94B35" w:rsidR="00CD27CE" w:rsidRPr="00CD27CE" w:rsidRDefault="00CD27CE" w:rsidP="00CD27CE">
      <w:pPr>
        <w:keepNext/>
        <w:widowControl w:val="0"/>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imes New Roman" w:eastAsia="Times New Roman" w:hAnsi="Times New Roman" w:cs="Times New Roman"/>
          <w:snapToGrid w:val="0"/>
          <w:color w:val="auto"/>
          <w:sz w:val="28"/>
          <w:szCs w:val="28"/>
          <w:bdr w:val="none" w:sz="0" w:space="0" w:color="auto"/>
          <w:lang w:val="es-ES_tradnl" w:eastAsia="es-ES"/>
        </w:rPr>
      </w:pPr>
      <w:r w:rsidRPr="00CD27CE">
        <w:rPr>
          <w:rFonts w:ascii="Times New Roman" w:eastAsia="Times New Roman" w:hAnsi="Times New Roman" w:cs="Times New Roman"/>
          <w:snapToGrid w:val="0"/>
          <w:color w:val="auto"/>
          <w:sz w:val="28"/>
          <w:szCs w:val="28"/>
          <w:bdr w:val="none" w:sz="0" w:space="0" w:color="auto"/>
          <w:lang w:val="es-ES_tradnl" w:eastAsia="es-ES"/>
        </w:rPr>
        <w:tab/>
        <w:t xml:space="preserve">El presente informe se realiza de conformidad con lo previsto </w:t>
      </w:r>
      <w:r w:rsidRPr="00CD27CE">
        <w:rPr>
          <w:rFonts w:ascii="Times New Roman" w:eastAsia="Times New Roman" w:hAnsi="Times New Roman" w:cs="Times New Roman"/>
          <w:snapToGrid w:val="0"/>
          <w:color w:val="auto"/>
          <w:sz w:val="28"/>
          <w:szCs w:val="28"/>
          <w:bdr w:val="none" w:sz="0" w:space="0" w:color="auto"/>
          <w:lang w:val="es-ES_tradnl" w:eastAsia="es-ES"/>
        </w:rPr>
        <w:tab/>
        <w:t xml:space="preserve">en la Ley 11/2006, de 11 de diciembre, de </w:t>
      </w:r>
      <w:smartTag w:uri="urn:schemas-microsoft-com:office:smarttags" w:element="PersonName">
        <w:smartTagPr>
          <w:attr w:name="ProductID" w:val="la Hacienda P￺blica  Canaria"/>
        </w:smartTagPr>
        <w:r w:rsidRPr="00CD27CE">
          <w:rPr>
            <w:rFonts w:ascii="Times New Roman" w:eastAsia="Times New Roman" w:hAnsi="Times New Roman" w:cs="Times New Roman"/>
            <w:snapToGrid w:val="0"/>
            <w:color w:val="auto"/>
            <w:sz w:val="28"/>
            <w:szCs w:val="28"/>
            <w:bdr w:val="none" w:sz="0" w:space="0" w:color="auto"/>
            <w:lang w:val="es-ES_tradnl" w:eastAsia="es-ES"/>
          </w:rPr>
          <w:t xml:space="preserve">la Hacienda Pública </w:t>
        </w:r>
        <w:r w:rsidRPr="00CD27CE">
          <w:rPr>
            <w:rFonts w:ascii="Times New Roman" w:eastAsia="Times New Roman" w:hAnsi="Times New Roman" w:cs="Times New Roman"/>
            <w:snapToGrid w:val="0"/>
            <w:color w:val="auto"/>
            <w:sz w:val="28"/>
            <w:szCs w:val="28"/>
            <w:bdr w:val="none" w:sz="0" w:space="0" w:color="auto"/>
            <w:lang w:val="es-ES_tradnl" w:eastAsia="es-ES"/>
          </w:rPr>
          <w:tab/>
          <w:t>Canaria</w:t>
        </w:r>
      </w:smartTag>
      <w:r w:rsidRPr="00CD27CE">
        <w:rPr>
          <w:rFonts w:ascii="Times New Roman" w:eastAsia="Times New Roman" w:hAnsi="Times New Roman" w:cs="Times New Roman"/>
          <w:snapToGrid w:val="0"/>
          <w:color w:val="auto"/>
          <w:sz w:val="28"/>
          <w:szCs w:val="28"/>
          <w:bdr w:val="none" w:sz="0" w:space="0" w:color="auto"/>
          <w:lang w:val="es-ES_tradnl" w:eastAsia="es-ES"/>
        </w:rPr>
        <w:t xml:space="preserve">, que establece en su artículo 116.3 que: </w:t>
      </w:r>
      <w:r w:rsidRPr="00CD27CE">
        <w:rPr>
          <w:rFonts w:ascii="Times New Roman" w:eastAsia="Times New Roman" w:hAnsi="Times New Roman" w:cs="Times New Roman"/>
          <w:i/>
          <w:snapToGrid w:val="0"/>
          <w:color w:val="auto"/>
          <w:sz w:val="28"/>
          <w:szCs w:val="28"/>
          <w:bdr w:val="none" w:sz="0" w:space="0" w:color="auto"/>
          <w:lang w:val="es-ES_tradnl" w:eastAsia="es-ES"/>
        </w:rPr>
        <w:t xml:space="preserve">“Las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sociedades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mercantiles públicas, las entidades públicas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empresariales y el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resto de entes del sector público sometidos a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los principios y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normas de contabilidad recogidos en el Plan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General de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Contabilidad de la empresa española y las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fundaciones del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sector público autonómico, presentarán,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junto con las cuentas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anuales, un informe relativo al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cumplimiento de las </w:t>
      </w:r>
      <w:r w:rsidRPr="00CD27CE">
        <w:rPr>
          <w:rFonts w:ascii="Times New Roman" w:eastAsia="Times New Roman" w:hAnsi="Times New Roman" w:cs="Times New Roman"/>
          <w:i/>
          <w:snapToGrid w:val="0"/>
          <w:color w:val="auto"/>
          <w:sz w:val="28"/>
          <w:szCs w:val="28"/>
          <w:bdr w:val="none" w:sz="0" w:space="0" w:color="auto"/>
          <w:lang w:val="es-ES_tradnl" w:eastAsia="es-ES"/>
        </w:rPr>
        <w:tab/>
        <w:t>obligaciones de carácter económico-</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financiero que asumen </w:t>
      </w:r>
      <w:r w:rsidRPr="00CD27CE">
        <w:rPr>
          <w:rFonts w:ascii="Times New Roman" w:eastAsia="Times New Roman" w:hAnsi="Times New Roman" w:cs="Times New Roman"/>
          <w:i/>
          <w:snapToGrid w:val="0"/>
          <w:color w:val="auto"/>
          <w:sz w:val="28"/>
          <w:szCs w:val="28"/>
          <w:bdr w:val="none" w:sz="0" w:space="0" w:color="auto"/>
          <w:lang w:val="es-ES_tradnl" w:eastAsia="es-ES"/>
        </w:rPr>
        <w:tab/>
        <w:t xml:space="preserve">dichas entidades como consecuencia </w:t>
      </w:r>
      <w:r w:rsidRPr="00CD27CE">
        <w:rPr>
          <w:rFonts w:ascii="Times New Roman" w:eastAsia="Times New Roman" w:hAnsi="Times New Roman" w:cs="Times New Roman"/>
          <w:i/>
          <w:snapToGrid w:val="0"/>
          <w:color w:val="auto"/>
          <w:sz w:val="28"/>
          <w:szCs w:val="28"/>
          <w:bdr w:val="none" w:sz="0" w:space="0" w:color="auto"/>
          <w:lang w:val="es-ES_tradnl" w:eastAsia="es-ES"/>
        </w:rPr>
        <w:tab/>
        <w:t>de su pertenencia al sector público”.</w:t>
      </w:r>
      <w:r w:rsidRPr="00CD27CE">
        <w:rPr>
          <w:rFonts w:ascii="Times New Roman" w:eastAsia="Times New Roman" w:hAnsi="Times New Roman" w:cs="Times New Roman"/>
          <w:snapToGrid w:val="0"/>
          <w:color w:val="auto"/>
          <w:sz w:val="28"/>
          <w:szCs w:val="28"/>
          <w:bdr w:val="none" w:sz="0" w:space="0" w:color="auto"/>
          <w:lang w:val="es-ES_tradnl" w:eastAsia="es-ES"/>
        </w:rPr>
        <w:t xml:space="preserve"> Este informe está </w:t>
      </w:r>
      <w:r w:rsidRPr="00CD27CE">
        <w:rPr>
          <w:rFonts w:ascii="Times New Roman" w:eastAsia="Times New Roman" w:hAnsi="Times New Roman" w:cs="Times New Roman"/>
          <w:snapToGrid w:val="0"/>
          <w:color w:val="auto"/>
          <w:sz w:val="28"/>
          <w:szCs w:val="28"/>
          <w:bdr w:val="none" w:sz="0" w:space="0" w:color="auto"/>
          <w:lang w:val="es-ES_tradnl" w:eastAsia="es-ES"/>
        </w:rPr>
        <w:tab/>
        <w:t>referido al ejercicio 20</w:t>
      </w:r>
      <w:r w:rsidR="004C24B4">
        <w:rPr>
          <w:rFonts w:ascii="Times New Roman" w:eastAsia="Times New Roman" w:hAnsi="Times New Roman" w:cs="Times New Roman"/>
          <w:snapToGrid w:val="0"/>
          <w:color w:val="auto"/>
          <w:sz w:val="28"/>
          <w:szCs w:val="28"/>
          <w:bdr w:val="none" w:sz="0" w:space="0" w:color="auto"/>
          <w:lang w:val="es-ES_tradnl" w:eastAsia="es-ES"/>
        </w:rPr>
        <w:t>20</w:t>
      </w:r>
      <w:r w:rsidRPr="00CD27CE">
        <w:rPr>
          <w:rFonts w:ascii="Times New Roman" w:eastAsia="Times New Roman" w:hAnsi="Times New Roman" w:cs="Times New Roman"/>
          <w:snapToGrid w:val="0"/>
          <w:color w:val="auto"/>
          <w:sz w:val="28"/>
          <w:szCs w:val="28"/>
          <w:bdr w:val="none" w:sz="0" w:space="0" w:color="auto"/>
          <w:lang w:val="es-ES_tradnl" w:eastAsia="es-ES"/>
        </w:rPr>
        <w:t xml:space="preserve">. </w:t>
      </w:r>
    </w:p>
    <w:p w14:paraId="75E6C1F7"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ascii="Times" w:eastAsia="Times" w:hAnsi="Times" w:cs="Times New Roman"/>
          <w:color w:val="auto"/>
          <w:sz w:val="28"/>
          <w:szCs w:val="28"/>
          <w:bdr w:val="none" w:sz="0" w:space="0" w:color="auto"/>
          <w:lang w:val="es-ES_tradnl" w:eastAsia="es-ES"/>
        </w:rPr>
      </w:pPr>
    </w:p>
    <w:p w14:paraId="30AC049C"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00" w:after="100"/>
        <w:jc w:val="both"/>
        <w:textAlignment w:val="baseline"/>
        <w:outlineLvl w:val="9"/>
        <w:rPr>
          <w:rFonts w:ascii="Times New Roman" w:eastAsia="Times New Roman" w:hAnsi="Times New Roman" w:cs="Times New Roman"/>
          <w:color w:val="auto"/>
          <w:sz w:val="28"/>
          <w:szCs w:val="28"/>
          <w:bdr w:val="none" w:sz="0" w:space="0" w:color="auto"/>
          <w:lang w:eastAsia="es-ES"/>
        </w:rPr>
      </w:pPr>
    </w:p>
    <w:p w14:paraId="5239B375"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AA660B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ascii="Times" w:eastAsia="Times" w:hAnsi="Times" w:cs="Times New Roman"/>
          <w:color w:val="auto"/>
          <w:sz w:val="28"/>
          <w:szCs w:val="28"/>
          <w:bdr w:val="none" w:sz="0" w:space="0" w:color="auto"/>
          <w:lang w:val="es-ES_tradnl" w:eastAsia="es-ES"/>
        </w:rPr>
      </w:pPr>
    </w:p>
    <w:p w14:paraId="2BD99584"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549A98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5FA0301"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6351F81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AA80D3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7C108013"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200E4B78"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F720A17"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34FA09D8"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7758761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17B81DC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D5B8D8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C52126C"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4399758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713F8487"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2CCC14D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2C498328"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1B396EB3"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558825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2F8D6873"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5EECCEA1"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3DBFE1F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054B79C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3B8C5722"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Cs w:val="20"/>
          <w:bdr w:val="none" w:sz="0" w:space="0" w:color="auto"/>
          <w:lang w:val="es-ES_tradnl" w:eastAsia="es-ES"/>
        </w:rPr>
      </w:pPr>
    </w:p>
    <w:p w14:paraId="11F78CE5"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lastRenderedPageBreak/>
        <w:t>A) Información de carácter presupuestario</w:t>
      </w:r>
    </w:p>
    <w:p w14:paraId="60E4E2F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b/>
          <w:color w:val="auto"/>
          <w:sz w:val="28"/>
          <w:szCs w:val="28"/>
          <w:bdr w:val="none" w:sz="0" w:space="0" w:color="auto"/>
          <w:lang w:val="es-ES_tradnl" w:eastAsia="es-ES"/>
        </w:rPr>
      </w:pPr>
    </w:p>
    <w:p w14:paraId="47E4EDC9" w14:textId="77777777" w:rsidR="00CD27CE" w:rsidRPr="00CD27CE" w:rsidRDefault="00CD27CE" w:rsidP="00CD27C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t>Información relativa al programa de actuación plurianual</w:t>
      </w:r>
    </w:p>
    <w:p w14:paraId="348304B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720" w:right="44"/>
        <w:outlineLvl w:val="9"/>
        <w:rPr>
          <w:rFonts w:ascii="Times" w:eastAsia="Times" w:hAnsi="Times" w:cs="Times New Roman"/>
          <w:color w:val="auto"/>
          <w:sz w:val="28"/>
          <w:szCs w:val="28"/>
          <w:bdr w:val="none" w:sz="0" w:space="0" w:color="auto"/>
          <w:lang w:val="es-ES_tradnl" w:eastAsia="es-ES"/>
        </w:rPr>
      </w:pPr>
    </w:p>
    <w:p w14:paraId="2159ED3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720"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 xml:space="preserve">Esta empresa no está obligada a realizar los programas de actuación plurianual, de acuerdo con lo previsto en el artículo 29 de la Ley 11/2006, de 11 de diciembre, de la Hacienda Pública Canaria. </w:t>
      </w:r>
    </w:p>
    <w:p w14:paraId="11EE9BB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720" w:right="44"/>
        <w:outlineLvl w:val="9"/>
        <w:rPr>
          <w:rFonts w:ascii="Times" w:eastAsia="Times" w:hAnsi="Times" w:cs="Times New Roman"/>
          <w:color w:val="auto"/>
          <w:sz w:val="28"/>
          <w:szCs w:val="28"/>
          <w:bdr w:val="none" w:sz="0" w:space="0" w:color="auto"/>
          <w:lang w:val="es-ES_tradnl" w:eastAsia="es-ES"/>
        </w:rPr>
      </w:pPr>
    </w:p>
    <w:p w14:paraId="09D9A16B" w14:textId="77777777" w:rsidR="00CD27CE" w:rsidRPr="00CD27CE" w:rsidRDefault="00CD27CE" w:rsidP="00CD27C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t xml:space="preserve">Información sobre la liquidación de los presupuestos de explotación y capital </w:t>
      </w:r>
    </w:p>
    <w:p w14:paraId="7D122DBB" w14:textId="77777777" w:rsidR="00CD27CE" w:rsidRPr="00CD27CE" w:rsidRDefault="00CD27CE" w:rsidP="00CD27CE">
      <w:pPr>
        <w:outlineLvl w:val="9"/>
        <w:rPr>
          <w:rFonts w:ascii="Cambria" w:hAnsi="Cambria" w:cs="Cambria"/>
          <w:sz w:val="28"/>
          <w:szCs w:val="28"/>
          <w:lang w:val="es-ES_tradnl"/>
        </w:rPr>
      </w:pPr>
    </w:p>
    <w:p w14:paraId="3D71510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ab/>
        <w:t>PRESUPUESTO DE EXPLOTACIÓN (Anexo I.A)</w:t>
      </w:r>
    </w:p>
    <w:p w14:paraId="3F3F2BC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2FED75DC" w14:textId="77777777" w:rsidR="004C24B4" w:rsidRPr="004C24B4" w:rsidRDefault="004C24B4" w:rsidP="004C24B4">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sidRPr="004C24B4">
        <w:rPr>
          <w:rFonts w:ascii="Times New Roman" w:eastAsia="Times New Roman" w:hAnsi="Times New Roman" w:cs="Times New Roman"/>
          <w:color w:val="auto"/>
          <w:sz w:val="28"/>
          <w:szCs w:val="28"/>
          <w:bdr w:val="none" w:sz="0" w:space="0" w:color="auto"/>
          <w:lang w:val="es-ES_tradnl"/>
        </w:rPr>
        <w:t xml:space="preserve">El menor importe en la partida de Aprovisionamientos se debe a que no se han podido ejecutar todas las acciones promocionales previstas, así como por la cancelación de eventos y de prácticamente todas las ferias turísticas desde marzo, por la situación de la pandemia a raíz del Covid-19. Se ha reprogramado la actividad promocional, con acciones promocionales y mensajes publicitarios más acordes a la situación. </w:t>
      </w:r>
    </w:p>
    <w:p w14:paraId="43CF41D4" w14:textId="77777777" w:rsidR="004C24B4" w:rsidRPr="004C24B4" w:rsidRDefault="004C24B4" w:rsidP="004C24B4">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p>
    <w:p w14:paraId="011D31BE" w14:textId="77777777" w:rsidR="004C24B4" w:rsidRPr="004C24B4" w:rsidRDefault="004C24B4" w:rsidP="004C24B4">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sidRPr="004C24B4">
        <w:rPr>
          <w:rFonts w:ascii="Times New Roman" w:eastAsia="Times New Roman" w:hAnsi="Times New Roman" w:cs="Times New Roman"/>
          <w:color w:val="auto"/>
          <w:sz w:val="28"/>
          <w:szCs w:val="28"/>
          <w:bdr w:val="none" w:sz="0" w:space="0" w:color="auto"/>
          <w:lang w:val="es-ES_tradnl"/>
        </w:rPr>
        <w:t>El importe contabilizado de Ingresos accesorios es debido a la facturación realizada a terceros por la asistencia a las ferias de enero y febrero, no devengándose más ingresos durante el resto del año por la cancelación de prácticamente todas las ferias a partir de marzo.</w:t>
      </w:r>
    </w:p>
    <w:p w14:paraId="580A03B0" w14:textId="77777777" w:rsidR="004C24B4" w:rsidRPr="004C24B4" w:rsidRDefault="004C24B4" w:rsidP="004C24B4">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p>
    <w:p w14:paraId="133C6396" w14:textId="77777777" w:rsidR="004C24B4" w:rsidRPr="004C24B4" w:rsidRDefault="004C24B4" w:rsidP="004C24B4">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sidRPr="004C24B4">
        <w:rPr>
          <w:rFonts w:ascii="Times New Roman" w:eastAsia="Times New Roman" w:hAnsi="Times New Roman" w:cs="Times New Roman"/>
          <w:color w:val="auto"/>
          <w:sz w:val="28"/>
          <w:szCs w:val="28"/>
          <w:bdr w:val="none" w:sz="0" w:space="0" w:color="auto"/>
          <w:lang w:val="es-ES_tradnl"/>
        </w:rPr>
        <w:t>En cuanto a la cifra de Subvenciones de explotación incorporadas al resultado del ejercicio, el menor importe registrado se debe básicamente al traspaso como ingresos anticipados de todas aquellas aportaciones concedidas en 2020 con plazo de aplicación posterior al ejercicio, bien porque se preveía un plazo de aplicación a varios años o por haber solicitado prórroga de todas aquellas aportaciones que no se pudieron ejecutar en el ejercicio, obteniendo en todos los casos ampliaciones de plazo para poder ejecutar los remanentes en 2021 y poder así adecuarnos a la situación de los distintos mercados a raíz de la pandemia.</w:t>
      </w:r>
    </w:p>
    <w:p w14:paraId="0EC53EF9" w14:textId="77777777" w:rsidR="004C24B4" w:rsidRPr="004C24B4" w:rsidRDefault="004C24B4" w:rsidP="004C24B4">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p>
    <w:p w14:paraId="400D82E4" w14:textId="77777777" w:rsidR="004C24B4" w:rsidRPr="004C24B4" w:rsidRDefault="004C24B4" w:rsidP="004C24B4">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rPr>
      </w:pPr>
      <w:r w:rsidRPr="004C24B4">
        <w:rPr>
          <w:rFonts w:ascii="Times New Roman" w:eastAsia="Times New Roman" w:hAnsi="Times New Roman" w:cs="Times New Roman"/>
          <w:color w:val="auto"/>
          <w:sz w:val="28"/>
          <w:szCs w:val="28"/>
          <w:bdr w:val="none" w:sz="0" w:space="0" w:color="auto"/>
          <w:lang w:val="es-ES_tradnl"/>
        </w:rPr>
        <w:t xml:space="preserve">Por las especiales circunstancias este año de la pandemia, algunas de las aportaciones para el ejercicio se han destinado a otros fines más acordes a la situación, a través de modificaciones de crédito y se han recibida otras no previstas inicialmente. </w:t>
      </w:r>
    </w:p>
    <w:p w14:paraId="616333A7" w14:textId="77777777" w:rsidR="004C24B4" w:rsidRPr="004C24B4" w:rsidRDefault="004C24B4" w:rsidP="004C24B4">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p>
    <w:p w14:paraId="35C16ACE" w14:textId="77777777" w:rsidR="004C24B4" w:rsidRPr="004C24B4" w:rsidRDefault="004C24B4" w:rsidP="004C24B4">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sidRPr="004C24B4">
        <w:rPr>
          <w:rFonts w:ascii="Times New Roman" w:eastAsia="Times New Roman" w:hAnsi="Times New Roman" w:cs="Times New Roman"/>
          <w:color w:val="auto"/>
          <w:sz w:val="28"/>
          <w:szCs w:val="28"/>
          <w:bdr w:val="none" w:sz="0" w:space="0" w:color="auto"/>
          <w:lang w:val="es-ES_tradnl"/>
        </w:rPr>
        <w:t xml:space="preserve">El Gasto de Personal es inferior al previsto en el PAIF debido básicamente al menor coste de salario y seguridad social de dos trabajadores pendientes de contratación temporal, dentro de la aportación Gestión Canarias Fortaleza, por una trabajadora que se encontraba en excedencia a final de año y por la incorporación de algunos efectivos temporales posterior a la fecha prevista inicialmente.  </w:t>
      </w:r>
    </w:p>
    <w:p w14:paraId="582B3235" w14:textId="77777777" w:rsidR="004C24B4" w:rsidRPr="004C24B4" w:rsidRDefault="004C24B4" w:rsidP="004C24B4">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sidRPr="004C24B4">
        <w:rPr>
          <w:rFonts w:ascii="Times New Roman" w:eastAsia="Times New Roman" w:hAnsi="Times New Roman" w:cs="Times New Roman"/>
          <w:color w:val="auto"/>
          <w:sz w:val="28"/>
          <w:szCs w:val="28"/>
          <w:bdr w:val="none" w:sz="0" w:space="0" w:color="auto"/>
          <w:lang w:val="es-ES_tradnl"/>
        </w:rPr>
        <w:t xml:space="preserve"> </w:t>
      </w:r>
    </w:p>
    <w:p w14:paraId="0C31FF23" w14:textId="77777777" w:rsidR="004C24B4" w:rsidRPr="004C24B4" w:rsidRDefault="004C24B4" w:rsidP="004C24B4">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sidRPr="004C24B4">
        <w:rPr>
          <w:rFonts w:ascii="Times New Roman" w:eastAsia="Times New Roman" w:hAnsi="Times New Roman" w:cs="Times New Roman"/>
          <w:color w:val="auto"/>
          <w:sz w:val="28"/>
          <w:szCs w:val="28"/>
          <w:bdr w:val="none" w:sz="0" w:space="0" w:color="auto"/>
          <w:lang w:val="es-ES_tradnl"/>
        </w:rPr>
        <w:t>La partida de Otros Gastos de Explotación es superior a la prevista en el PAIF, básicamente por los gastos de las obras para la implementación de las medidas de seguridad por el Covid en las oficinas de Promotur, así como por el arrendamiento de la oficina de Las Palmas a Hecansa, a diferencia de las antiguas oficinas, donde Promotur tenía una cesión de derecho de uso gratuita de la Consejería, por lo que no se pagaba alquiler.</w:t>
      </w:r>
    </w:p>
    <w:p w14:paraId="75159A0F" w14:textId="77777777" w:rsidR="004C24B4" w:rsidRPr="004C24B4" w:rsidRDefault="004C24B4" w:rsidP="004C24B4">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p>
    <w:p w14:paraId="58C42211" w14:textId="77777777" w:rsidR="004C24B4" w:rsidRPr="004C24B4" w:rsidRDefault="004C24B4" w:rsidP="004C24B4">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sidRPr="004C24B4">
        <w:rPr>
          <w:rFonts w:ascii="Times New Roman" w:eastAsia="Times New Roman" w:hAnsi="Times New Roman" w:cs="Times New Roman"/>
          <w:color w:val="auto"/>
          <w:sz w:val="28"/>
          <w:szCs w:val="28"/>
          <w:bdr w:val="none" w:sz="0" w:space="0" w:color="auto"/>
          <w:lang w:val="es-ES_tradnl"/>
        </w:rPr>
        <w:t>Los gastos financieros contabilizados por 68.455,00 euros son debidos a los intereses devengados por dos expedientes de reintegro originados por dos informes de Intervención General de la operación “Promoción turística de las Islas Canarias dirigidas a profesionales” y “Promoción turística de las Islas Canarias dirigidas al público” ejecutados en el ejercicio 2016 y 2017 cofinanciado por el FEDER.</w:t>
      </w:r>
    </w:p>
    <w:p w14:paraId="775BC050" w14:textId="77777777" w:rsidR="004C24B4" w:rsidRPr="004C24B4" w:rsidRDefault="004C24B4" w:rsidP="004C24B4">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p>
    <w:p w14:paraId="15EDAA9C" w14:textId="77777777" w:rsidR="004C24B4" w:rsidRPr="004C24B4" w:rsidRDefault="004C24B4" w:rsidP="004C24B4">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sidRPr="004C24B4">
        <w:rPr>
          <w:rFonts w:ascii="Times New Roman" w:eastAsia="Times New Roman" w:hAnsi="Times New Roman" w:cs="Times New Roman"/>
          <w:color w:val="auto"/>
          <w:sz w:val="28"/>
          <w:szCs w:val="28"/>
          <w:bdr w:val="none" w:sz="0" w:space="0" w:color="auto"/>
          <w:lang w:val="es-ES_tradnl"/>
        </w:rPr>
        <w:t>El gasto de Amortizaciones y la Imputación de subvenciones de inmovilizado no financiero es superior al previsto por las mayores inversiones realizadas en el ejercicio, las cuáles fueron financiadas mediante una subvención de capital para la implementación de medidas de seguridad en las oficinas de Promotur.</w:t>
      </w:r>
    </w:p>
    <w:p w14:paraId="59B6EBBA" w14:textId="77777777" w:rsidR="004C24B4" w:rsidRPr="004C24B4" w:rsidRDefault="004C24B4" w:rsidP="004C24B4">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p>
    <w:p w14:paraId="27225224" w14:textId="77777777" w:rsidR="00CD27CE" w:rsidRPr="004C24B4"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highlight w:val="yellow"/>
          <w:bdr w:val="none" w:sz="0" w:space="0" w:color="auto"/>
          <w:lang w:val="es-ES_tradnl" w:eastAsia="es-ES"/>
        </w:rPr>
      </w:pPr>
    </w:p>
    <w:p w14:paraId="6AB5FB34" w14:textId="31BBFAB8"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3E0C14">
        <w:rPr>
          <w:rFonts w:ascii="Times" w:eastAsia="Times" w:hAnsi="Times" w:cs="Times New Roman"/>
          <w:color w:val="auto"/>
          <w:sz w:val="28"/>
          <w:szCs w:val="28"/>
          <w:bdr w:val="none" w:sz="0" w:space="0" w:color="auto"/>
          <w:lang w:val="es-ES_tradnl" w:eastAsia="es-ES"/>
        </w:rPr>
        <w:tab/>
        <w:t xml:space="preserve">Las desviaciones del Presupuesto de explotación, comentadas y </w:t>
      </w:r>
      <w:r w:rsidRPr="003E0C14">
        <w:rPr>
          <w:rFonts w:ascii="Times" w:eastAsia="Times" w:hAnsi="Times" w:cs="Times New Roman"/>
          <w:color w:val="auto"/>
          <w:sz w:val="28"/>
          <w:szCs w:val="28"/>
          <w:bdr w:val="none" w:sz="0" w:space="0" w:color="auto"/>
          <w:lang w:val="es-ES_tradnl" w:eastAsia="es-ES"/>
        </w:rPr>
        <w:tab/>
        <w:t xml:space="preserve">reflejadas en el Anexo I.A., cumplen con la normativa </w:t>
      </w:r>
      <w:r w:rsidRPr="003E0C14">
        <w:rPr>
          <w:rFonts w:ascii="Times" w:eastAsia="Times" w:hAnsi="Times" w:cs="Times New Roman"/>
          <w:color w:val="auto"/>
          <w:sz w:val="28"/>
          <w:szCs w:val="28"/>
          <w:bdr w:val="none" w:sz="0" w:space="0" w:color="auto"/>
          <w:lang w:val="es-ES_tradnl" w:eastAsia="es-ES"/>
        </w:rPr>
        <w:tab/>
        <w:t>vigente. Por un lado, el gasto de personal  es inferior al previsto en el paif</w:t>
      </w:r>
      <w:r w:rsidR="00DF51D0" w:rsidRPr="003E0C14">
        <w:rPr>
          <w:rFonts w:ascii="Times" w:eastAsia="Times" w:hAnsi="Times" w:cs="Times New Roman"/>
          <w:color w:val="auto"/>
          <w:sz w:val="28"/>
          <w:szCs w:val="28"/>
          <w:bdr w:val="none" w:sz="0" w:space="0" w:color="auto"/>
          <w:lang w:val="es-ES_tradnl" w:eastAsia="es-ES"/>
        </w:rPr>
        <w:t>, c</w:t>
      </w:r>
      <w:r w:rsidR="003E0C14" w:rsidRPr="003E0C14">
        <w:rPr>
          <w:rFonts w:ascii="Times" w:eastAsia="Times" w:hAnsi="Times" w:cs="Times New Roman"/>
          <w:color w:val="auto"/>
          <w:sz w:val="28"/>
          <w:szCs w:val="28"/>
          <w:bdr w:val="none" w:sz="0" w:space="0" w:color="auto"/>
          <w:lang w:val="es-ES_tradnl" w:eastAsia="es-ES"/>
        </w:rPr>
        <w:t>ontrarrestando</w:t>
      </w:r>
      <w:r w:rsidR="00DF51D0" w:rsidRPr="003E0C14">
        <w:rPr>
          <w:rFonts w:ascii="Times" w:eastAsia="Times" w:hAnsi="Times" w:cs="Times New Roman"/>
          <w:color w:val="auto"/>
          <w:sz w:val="28"/>
          <w:szCs w:val="28"/>
          <w:bdr w:val="none" w:sz="0" w:space="0" w:color="auto"/>
          <w:lang w:val="es-ES_tradnl" w:eastAsia="es-ES"/>
        </w:rPr>
        <w:t xml:space="preserve"> el aumento en gastos de explotación</w:t>
      </w:r>
      <w:r w:rsidR="003E0C14" w:rsidRPr="003E0C14">
        <w:rPr>
          <w:rFonts w:ascii="Times" w:eastAsia="Times" w:hAnsi="Times" w:cs="Times New Roman"/>
          <w:color w:val="auto"/>
          <w:sz w:val="28"/>
          <w:szCs w:val="28"/>
          <w:bdr w:val="none" w:sz="0" w:space="0" w:color="auto"/>
          <w:lang w:val="es-ES_tradnl" w:eastAsia="es-ES"/>
        </w:rPr>
        <w:t>.</w:t>
      </w:r>
      <w:r w:rsidRPr="003E0C14">
        <w:rPr>
          <w:rFonts w:ascii="Times" w:eastAsia="Times" w:hAnsi="Times" w:cs="Times New Roman"/>
          <w:color w:val="auto"/>
          <w:sz w:val="28"/>
          <w:szCs w:val="28"/>
          <w:bdr w:val="none" w:sz="0" w:space="0" w:color="auto"/>
          <w:lang w:val="es-ES_tradnl" w:eastAsia="es-ES"/>
        </w:rPr>
        <w:t xml:space="preserve"> </w:t>
      </w:r>
      <w:r w:rsidR="003E0C14" w:rsidRPr="003E0C14">
        <w:rPr>
          <w:rFonts w:ascii="Times" w:eastAsia="Times" w:hAnsi="Times" w:cs="Times New Roman"/>
          <w:color w:val="auto"/>
          <w:sz w:val="28"/>
          <w:szCs w:val="28"/>
          <w:bdr w:val="none" w:sz="0" w:space="0" w:color="auto"/>
          <w:lang w:val="es-ES_tradnl" w:eastAsia="es-ES"/>
        </w:rPr>
        <w:t>P</w:t>
      </w:r>
      <w:r w:rsidRPr="003E0C14">
        <w:rPr>
          <w:rFonts w:ascii="Times" w:eastAsia="Times" w:hAnsi="Times" w:cs="Times New Roman"/>
          <w:color w:val="auto"/>
          <w:sz w:val="28"/>
          <w:szCs w:val="28"/>
          <w:bdr w:val="none" w:sz="0" w:space="0" w:color="auto"/>
          <w:lang w:val="es-ES_tradnl" w:eastAsia="es-ES"/>
        </w:rPr>
        <w:t>or otro lado, el m</w:t>
      </w:r>
      <w:r w:rsidR="003E0C14" w:rsidRPr="003E0C14">
        <w:rPr>
          <w:rFonts w:ascii="Times" w:eastAsia="Times" w:hAnsi="Times" w:cs="Times New Roman"/>
          <w:color w:val="auto"/>
          <w:sz w:val="28"/>
          <w:szCs w:val="28"/>
          <w:bdr w:val="none" w:sz="0" w:space="0" w:color="auto"/>
          <w:lang w:val="es-ES_tradnl" w:eastAsia="es-ES"/>
        </w:rPr>
        <w:t>enor</w:t>
      </w:r>
      <w:r w:rsidRPr="003E0C14">
        <w:rPr>
          <w:rFonts w:ascii="Times" w:eastAsia="Times" w:hAnsi="Times" w:cs="Times New Roman"/>
          <w:color w:val="auto"/>
          <w:sz w:val="28"/>
          <w:szCs w:val="28"/>
          <w:bdr w:val="none" w:sz="0" w:space="0" w:color="auto"/>
          <w:lang w:val="es-ES_tradnl" w:eastAsia="es-ES"/>
        </w:rPr>
        <w:t xml:space="preserve"> gasto en la actividad promocional viene derivada de</w:t>
      </w:r>
      <w:r w:rsidR="003E0C14" w:rsidRPr="003E0C14">
        <w:rPr>
          <w:rFonts w:ascii="Times" w:eastAsia="Times" w:hAnsi="Times" w:cs="Times New Roman"/>
          <w:color w:val="auto"/>
          <w:sz w:val="28"/>
          <w:szCs w:val="28"/>
          <w:bdr w:val="none" w:sz="0" w:space="0" w:color="auto"/>
          <w:lang w:val="es-ES_tradnl" w:eastAsia="es-ES"/>
        </w:rPr>
        <w:t xml:space="preserve"> las dificultades de ejecución por la pandemia, con posibilidad de continuar su ejecución en 2021</w:t>
      </w:r>
      <w:r w:rsidRPr="003E0C14">
        <w:rPr>
          <w:rFonts w:ascii="Times" w:eastAsia="Times" w:hAnsi="Times" w:cs="Times New Roman"/>
          <w:color w:val="auto"/>
          <w:sz w:val="28"/>
          <w:szCs w:val="28"/>
          <w:bdr w:val="none" w:sz="0" w:space="0" w:color="auto"/>
          <w:lang w:val="es-ES_tradnl" w:eastAsia="es-ES"/>
        </w:rPr>
        <w:t>.</w:t>
      </w:r>
      <w:r w:rsidRPr="00CD27CE">
        <w:rPr>
          <w:rFonts w:ascii="Times" w:eastAsia="Times" w:hAnsi="Times" w:cs="Times New Roman"/>
          <w:color w:val="auto"/>
          <w:sz w:val="28"/>
          <w:szCs w:val="28"/>
          <w:bdr w:val="none" w:sz="0" w:space="0" w:color="auto"/>
          <w:lang w:val="es-ES_tradnl" w:eastAsia="es-ES"/>
        </w:rPr>
        <w:t xml:space="preserve"> </w:t>
      </w:r>
    </w:p>
    <w:p w14:paraId="6272E8B5" w14:textId="77777777" w:rsid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6D565A64" w14:textId="1C31DB90" w:rsidR="00040AD3" w:rsidRDefault="00040AD3"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3FC0E985" w14:textId="66CB74B9" w:rsidR="003E0C14" w:rsidRDefault="003E0C14"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2649BC25" w14:textId="77777777" w:rsidR="003E0C14" w:rsidRPr="00CD27CE" w:rsidRDefault="003E0C14"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24D6AB1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lastRenderedPageBreak/>
        <w:tab/>
      </w:r>
      <w:r w:rsidRPr="00C42AA1">
        <w:rPr>
          <w:rFonts w:ascii="Times" w:eastAsia="Times" w:hAnsi="Times" w:cs="Times New Roman"/>
          <w:color w:val="auto"/>
          <w:sz w:val="28"/>
          <w:szCs w:val="28"/>
          <w:bdr w:val="none" w:sz="0" w:space="0" w:color="auto"/>
          <w:lang w:val="es-ES_tradnl" w:eastAsia="es-ES"/>
        </w:rPr>
        <w:t>PRESUPUESTO DE CAPITAL</w:t>
      </w:r>
      <w:r w:rsidRPr="00CD27CE">
        <w:rPr>
          <w:rFonts w:ascii="Times" w:eastAsia="Times" w:hAnsi="Times" w:cs="Times New Roman"/>
          <w:color w:val="auto"/>
          <w:sz w:val="28"/>
          <w:szCs w:val="28"/>
          <w:bdr w:val="none" w:sz="0" w:space="0" w:color="auto"/>
          <w:lang w:val="es-ES_tradnl" w:eastAsia="es-ES"/>
        </w:rPr>
        <w:t xml:space="preserve"> (Anexo I.B)</w:t>
      </w:r>
    </w:p>
    <w:p w14:paraId="5A6E2F1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3B3720F5" w14:textId="77777777" w:rsidR="00040AD3" w:rsidRPr="00CD27CE" w:rsidRDefault="00040AD3"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4CF83A95" w14:textId="49D69913" w:rsidR="00CD27CE" w:rsidRPr="00CD27CE" w:rsidRDefault="00B750A1"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Pr>
          <w:rFonts w:ascii="Times" w:eastAsia="Times" w:hAnsi="Times" w:cs="Times New Roman"/>
          <w:color w:val="auto"/>
          <w:sz w:val="28"/>
          <w:szCs w:val="28"/>
          <w:bdr w:val="none" w:sz="0" w:space="0" w:color="auto"/>
          <w:lang w:val="es-ES_tradnl" w:eastAsia="es-ES"/>
        </w:rPr>
        <w:t>Dentro del Presupuesto de Capital, l</w:t>
      </w:r>
      <w:r w:rsidR="00CD27CE" w:rsidRPr="00CD27CE">
        <w:rPr>
          <w:rFonts w:ascii="Times" w:eastAsia="Times" w:hAnsi="Times" w:cs="Times New Roman"/>
          <w:color w:val="auto"/>
          <w:sz w:val="28"/>
          <w:szCs w:val="28"/>
          <w:bdr w:val="none" w:sz="0" w:space="0" w:color="auto"/>
          <w:lang w:val="es-ES_tradnl" w:eastAsia="es-ES"/>
        </w:rPr>
        <w:tab/>
      </w:r>
      <w:r w:rsidR="00CD27CE" w:rsidRPr="00CD27CE">
        <w:rPr>
          <w:rFonts w:ascii="Times" w:eastAsia="Times" w:hAnsi="Times" w:cs="Times New Roman"/>
          <w:color w:val="auto"/>
          <w:sz w:val="28"/>
          <w:szCs w:val="28"/>
          <w:bdr w:val="none" w:sz="0" w:space="0" w:color="auto"/>
          <w:lang w:val="es-ES_tradnl" w:eastAsia="es-ES"/>
        </w:rPr>
        <w:tab/>
      </w:r>
      <w:r w:rsidR="00CD27CE" w:rsidRPr="00CD27CE">
        <w:rPr>
          <w:rFonts w:ascii="Times" w:eastAsia="Times" w:hAnsi="Times" w:cs="Times New Roman"/>
          <w:color w:val="auto"/>
          <w:sz w:val="28"/>
          <w:szCs w:val="28"/>
          <w:bdr w:val="none" w:sz="0" w:space="0" w:color="auto"/>
          <w:lang w:val="es-ES_tradnl" w:eastAsia="es-ES"/>
        </w:rPr>
        <w:tab/>
        <w:t>as</w:t>
      </w:r>
      <w:r w:rsidR="00B0530E">
        <w:rPr>
          <w:rFonts w:ascii="Times" w:eastAsia="Times" w:hAnsi="Times" w:cs="Times New Roman"/>
          <w:color w:val="auto"/>
          <w:sz w:val="28"/>
          <w:szCs w:val="28"/>
          <w:bdr w:val="none" w:sz="0" w:space="0" w:color="auto"/>
          <w:lang w:val="es-ES_tradnl" w:eastAsia="es-ES"/>
        </w:rPr>
        <w:t xml:space="preserve"> </w:t>
      </w:r>
      <w:r w:rsidR="00CD27CE" w:rsidRPr="00CD27CE">
        <w:rPr>
          <w:rFonts w:ascii="Times" w:eastAsia="Times" w:hAnsi="Times" w:cs="Times New Roman"/>
          <w:color w:val="auto"/>
          <w:sz w:val="28"/>
          <w:szCs w:val="28"/>
          <w:bdr w:val="none" w:sz="0" w:space="0" w:color="auto"/>
          <w:lang w:val="es-ES_tradnl" w:eastAsia="es-ES"/>
        </w:rPr>
        <w:t xml:space="preserve">desviaciones producidas se han </w:t>
      </w:r>
      <w:r w:rsidR="00CD27CE" w:rsidRPr="00CD27CE">
        <w:rPr>
          <w:rFonts w:ascii="Times" w:eastAsia="Times" w:hAnsi="Times" w:cs="Times New Roman"/>
          <w:color w:val="auto"/>
          <w:sz w:val="28"/>
          <w:szCs w:val="28"/>
          <w:bdr w:val="none" w:sz="0" w:space="0" w:color="auto"/>
          <w:lang w:val="es-ES_tradnl" w:eastAsia="es-ES"/>
        </w:rPr>
        <w:tab/>
        <w:t xml:space="preserve">materializado básicamente en el capital corriente. Se trata por </w:t>
      </w:r>
      <w:r w:rsidR="00CD27CE" w:rsidRPr="00CD27CE">
        <w:rPr>
          <w:rFonts w:ascii="Times" w:eastAsia="Times" w:hAnsi="Times" w:cs="Times New Roman"/>
          <w:color w:val="auto"/>
          <w:sz w:val="28"/>
          <w:szCs w:val="28"/>
          <w:bdr w:val="none" w:sz="0" w:space="0" w:color="auto"/>
          <w:lang w:val="es-ES_tradnl" w:eastAsia="es-ES"/>
        </w:rPr>
        <w:tab/>
        <w:t xml:space="preserve">tanto de  importes </w:t>
      </w:r>
      <w:r w:rsidR="00CD27CE" w:rsidRPr="00CD27CE">
        <w:rPr>
          <w:rFonts w:ascii="Times" w:eastAsia="Times" w:hAnsi="Times" w:cs="Times New Roman"/>
          <w:color w:val="auto"/>
          <w:sz w:val="28"/>
          <w:szCs w:val="28"/>
          <w:bdr w:val="none" w:sz="0" w:space="0" w:color="auto"/>
          <w:lang w:val="es-ES_tradnl" w:eastAsia="es-ES"/>
        </w:rPr>
        <w:tab/>
        <w:t xml:space="preserve">que varían mucho de un trimestre a otro y no </w:t>
      </w:r>
      <w:r w:rsidR="00CD27CE" w:rsidRPr="00CD27CE">
        <w:rPr>
          <w:rFonts w:ascii="Times" w:eastAsia="Times" w:hAnsi="Times" w:cs="Times New Roman"/>
          <w:color w:val="auto"/>
          <w:sz w:val="28"/>
          <w:szCs w:val="28"/>
          <w:bdr w:val="none" w:sz="0" w:space="0" w:color="auto"/>
          <w:lang w:val="es-ES_tradnl" w:eastAsia="es-ES"/>
        </w:rPr>
        <w:tab/>
        <w:t>son muy significativos para ver la evolución de la empresa.</w:t>
      </w:r>
    </w:p>
    <w:p w14:paraId="69EC4F53"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highlight w:val="yellow"/>
          <w:bdr w:val="none" w:sz="0" w:space="0" w:color="auto"/>
          <w:lang w:val="es-ES_tradnl" w:eastAsia="es-ES"/>
        </w:rPr>
      </w:pPr>
    </w:p>
    <w:p w14:paraId="29AC2441" w14:textId="2A203EFB" w:rsid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ab/>
        <w:t xml:space="preserve">La desviación en Deudores y otras cuentas a cobrar viene </w:t>
      </w:r>
      <w:r w:rsidRPr="00CD27CE">
        <w:rPr>
          <w:rFonts w:ascii="Times" w:eastAsia="Times" w:hAnsi="Times" w:cs="Times New Roman"/>
          <w:color w:val="auto"/>
          <w:sz w:val="28"/>
          <w:szCs w:val="28"/>
          <w:bdr w:val="none" w:sz="0" w:space="0" w:color="auto"/>
          <w:lang w:val="es-ES_tradnl" w:eastAsia="es-ES"/>
        </w:rPr>
        <w:tab/>
        <w:t xml:space="preserve">motivada sobre todo por los importes de las transferencias para </w:t>
      </w:r>
      <w:r w:rsidRPr="00CD27CE">
        <w:rPr>
          <w:rFonts w:ascii="Times" w:eastAsia="Times" w:hAnsi="Times" w:cs="Times New Roman"/>
          <w:color w:val="auto"/>
          <w:sz w:val="28"/>
          <w:szCs w:val="28"/>
          <w:bdr w:val="none" w:sz="0" w:space="0" w:color="auto"/>
          <w:lang w:val="es-ES_tradnl" w:eastAsia="es-ES"/>
        </w:rPr>
        <w:tab/>
      </w:r>
      <w:r w:rsidR="006959B0">
        <w:rPr>
          <w:rFonts w:ascii="Times" w:eastAsia="Times" w:hAnsi="Times" w:cs="Times New Roman"/>
          <w:color w:val="auto"/>
          <w:sz w:val="28"/>
          <w:szCs w:val="28"/>
          <w:bdr w:val="none" w:sz="0" w:space="0" w:color="auto"/>
          <w:lang w:val="es-ES_tradnl" w:eastAsia="es-ES"/>
        </w:rPr>
        <w:t xml:space="preserve">la actividad </w:t>
      </w:r>
      <w:r w:rsidRPr="00CD27CE">
        <w:rPr>
          <w:rFonts w:ascii="Times" w:eastAsia="Times" w:hAnsi="Times" w:cs="Times New Roman"/>
          <w:color w:val="auto"/>
          <w:sz w:val="28"/>
          <w:szCs w:val="28"/>
          <w:bdr w:val="none" w:sz="0" w:space="0" w:color="auto"/>
          <w:lang w:val="es-ES_tradnl" w:eastAsia="es-ES"/>
        </w:rPr>
        <w:t>promocional</w:t>
      </w:r>
      <w:r w:rsidR="006959B0">
        <w:rPr>
          <w:rFonts w:ascii="Times" w:eastAsia="Times" w:hAnsi="Times" w:cs="Times New Roman"/>
          <w:color w:val="auto"/>
          <w:sz w:val="28"/>
          <w:szCs w:val="28"/>
          <w:bdr w:val="none" w:sz="0" w:space="0" w:color="auto"/>
          <w:lang w:val="es-ES_tradnl" w:eastAsia="es-ES"/>
        </w:rPr>
        <w:t xml:space="preserve"> y </w:t>
      </w:r>
      <w:r w:rsidR="00781F8E">
        <w:rPr>
          <w:rFonts w:ascii="Times" w:eastAsia="Times" w:hAnsi="Times" w:cs="Times New Roman"/>
          <w:color w:val="auto"/>
          <w:sz w:val="28"/>
          <w:szCs w:val="28"/>
          <w:bdr w:val="none" w:sz="0" w:space="0" w:color="auto"/>
          <w:lang w:val="es-ES_tradnl" w:eastAsia="es-ES"/>
        </w:rPr>
        <w:t xml:space="preserve">los </w:t>
      </w:r>
      <w:r w:rsidR="006959B0">
        <w:rPr>
          <w:rFonts w:ascii="Times" w:eastAsia="Times" w:hAnsi="Times" w:cs="Times New Roman"/>
          <w:color w:val="auto"/>
          <w:sz w:val="28"/>
          <w:szCs w:val="28"/>
          <w:bdr w:val="none" w:sz="0" w:space="0" w:color="auto"/>
          <w:lang w:val="es-ES_tradnl" w:eastAsia="es-ES"/>
        </w:rPr>
        <w:t>gastos de explotación</w:t>
      </w:r>
      <w:r w:rsidRPr="00CD27CE">
        <w:rPr>
          <w:rFonts w:ascii="Times" w:eastAsia="Times" w:hAnsi="Times" w:cs="Times New Roman"/>
          <w:color w:val="auto"/>
          <w:sz w:val="28"/>
          <w:szCs w:val="28"/>
          <w:bdr w:val="none" w:sz="0" w:space="0" w:color="auto"/>
          <w:lang w:val="es-ES_tradnl" w:eastAsia="es-ES"/>
        </w:rPr>
        <w:t xml:space="preserve">  </w:t>
      </w:r>
      <w:r w:rsidR="00781F8E">
        <w:rPr>
          <w:rFonts w:ascii="Times" w:eastAsia="Times" w:hAnsi="Times" w:cs="Times New Roman"/>
          <w:color w:val="auto"/>
          <w:sz w:val="28"/>
          <w:szCs w:val="28"/>
          <w:bdr w:val="none" w:sz="0" w:space="0" w:color="auto"/>
          <w:lang w:val="es-ES_tradnl" w:eastAsia="es-ES"/>
        </w:rPr>
        <w:t xml:space="preserve">de la empresa </w:t>
      </w:r>
      <w:r w:rsidRPr="00CD27CE">
        <w:rPr>
          <w:rFonts w:ascii="Times" w:eastAsia="Times" w:hAnsi="Times" w:cs="Times New Roman"/>
          <w:color w:val="auto"/>
          <w:sz w:val="28"/>
          <w:szCs w:val="28"/>
          <w:bdr w:val="none" w:sz="0" w:space="0" w:color="auto"/>
          <w:lang w:val="es-ES_tradnl" w:eastAsia="es-ES"/>
        </w:rPr>
        <w:t xml:space="preserve">pendientes de cobro </w:t>
      </w:r>
      <w:r w:rsidRPr="00CD27CE">
        <w:rPr>
          <w:rFonts w:ascii="Times" w:eastAsia="Times" w:hAnsi="Times" w:cs="Times New Roman"/>
          <w:color w:val="auto"/>
          <w:sz w:val="28"/>
          <w:szCs w:val="28"/>
          <w:bdr w:val="none" w:sz="0" w:space="0" w:color="auto"/>
          <w:lang w:val="es-ES_tradnl" w:eastAsia="es-ES"/>
        </w:rPr>
        <w:tab/>
        <w:t>del Tesoro Canario. En 20</w:t>
      </w:r>
      <w:r w:rsidR="00B0530E">
        <w:rPr>
          <w:rFonts w:ascii="Times" w:eastAsia="Times" w:hAnsi="Times" w:cs="Times New Roman"/>
          <w:color w:val="auto"/>
          <w:sz w:val="28"/>
          <w:szCs w:val="28"/>
          <w:bdr w:val="none" w:sz="0" w:space="0" w:color="auto"/>
          <w:lang w:val="es-ES_tradnl" w:eastAsia="es-ES"/>
        </w:rPr>
        <w:t>20</w:t>
      </w:r>
      <w:r w:rsidRPr="00CD27CE">
        <w:rPr>
          <w:rFonts w:ascii="Times" w:eastAsia="Times" w:hAnsi="Times" w:cs="Times New Roman"/>
          <w:color w:val="auto"/>
          <w:sz w:val="28"/>
          <w:szCs w:val="28"/>
          <w:bdr w:val="none" w:sz="0" w:space="0" w:color="auto"/>
          <w:lang w:val="es-ES_tradnl" w:eastAsia="es-ES"/>
        </w:rPr>
        <w:t xml:space="preserve"> estas cantidades pendientes de </w:t>
      </w:r>
      <w:r w:rsidRPr="00CD27CE">
        <w:rPr>
          <w:rFonts w:ascii="Times" w:eastAsia="Times" w:hAnsi="Times" w:cs="Times New Roman"/>
          <w:color w:val="auto"/>
          <w:sz w:val="28"/>
          <w:szCs w:val="28"/>
          <w:bdr w:val="none" w:sz="0" w:space="0" w:color="auto"/>
          <w:lang w:val="es-ES_tradnl" w:eastAsia="es-ES"/>
        </w:rPr>
        <w:tab/>
        <w:t>cobro eran inferiores a las del ejercicio 201</w:t>
      </w:r>
      <w:r w:rsidR="00B0530E">
        <w:rPr>
          <w:rFonts w:ascii="Times" w:eastAsia="Times" w:hAnsi="Times" w:cs="Times New Roman"/>
          <w:color w:val="auto"/>
          <w:sz w:val="28"/>
          <w:szCs w:val="28"/>
          <w:bdr w:val="none" w:sz="0" w:space="0" w:color="auto"/>
          <w:lang w:val="es-ES_tradnl" w:eastAsia="es-ES"/>
        </w:rPr>
        <w:t>9</w:t>
      </w:r>
      <w:r w:rsidRPr="00CD27CE">
        <w:rPr>
          <w:rFonts w:ascii="Times" w:eastAsia="Times" w:hAnsi="Times" w:cs="Times New Roman"/>
          <w:color w:val="auto"/>
          <w:sz w:val="28"/>
          <w:szCs w:val="28"/>
          <w:bdr w:val="none" w:sz="0" w:space="0" w:color="auto"/>
          <w:lang w:val="es-ES_tradnl" w:eastAsia="es-ES"/>
        </w:rPr>
        <w:t>.</w:t>
      </w:r>
      <w:r w:rsidRPr="00CD27CE">
        <w:rPr>
          <w:rFonts w:ascii="Times" w:eastAsia="Times" w:hAnsi="Times" w:cs="Times New Roman"/>
          <w:color w:val="auto"/>
          <w:sz w:val="28"/>
          <w:szCs w:val="28"/>
          <w:bdr w:val="none" w:sz="0" w:space="0" w:color="auto"/>
          <w:lang w:val="es-ES_tradnl" w:eastAsia="es-ES"/>
        </w:rPr>
        <w:tab/>
      </w:r>
    </w:p>
    <w:p w14:paraId="4BF7AA2E" w14:textId="77777777" w:rsidR="006959B0" w:rsidRDefault="006959B0"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77487502" w14:textId="157F0212" w:rsidR="006959B0" w:rsidRPr="00CD27CE" w:rsidRDefault="006959B0"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Pr>
          <w:rFonts w:ascii="Times" w:eastAsia="Times" w:hAnsi="Times" w:cs="Times New Roman"/>
          <w:color w:val="auto"/>
          <w:sz w:val="28"/>
          <w:szCs w:val="28"/>
          <w:bdr w:val="none" w:sz="0" w:space="0" w:color="auto"/>
          <w:lang w:val="es-ES_tradnl" w:eastAsia="es-ES"/>
        </w:rPr>
        <w:t>La desviación en Otros activos corrientes es debido a un m</w:t>
      </w:r>
      <w:r w:rsidR="00B0530E">
        <w:rPr>
          <w:rFonts w:ascii="Times" w:eastAsia="Times" w:hAnsi="Times" w:cs="Times New Roman"/>
          <w:color w:val="auto"/>
          <w:sz w:val="28"/>
          <w:szCs w:val="28"/>
          <w:bdr w:val="none" w:sz="0" w:space="0" w:color="auto"/>
          <w:lang w:val="es-ES_tradnl" w:eastAsia="es-ES"/>
        </w:rPr>
        <w:t>enor</w:t>
      </w:r>
      <w:r>
        <w:rPr>
          <w:rFonts w:ascii="Times" w:eastAsia="Times" w:hAnsi="Times" w:cs="Times New Roman"/>
          <w:color w:val="auto"/>
          <w:sz w:val="28"/>
          <w:szCs w:val="28"/>
          <w:bdr w:val="none" w:sz="0" w:space="0" w:color="auto"/>
          <w:lang w:val="es-ES_tradnl" w:eastAsia="es-ES"/>
        </w:rPr>
        <w:t xml:space="preserve"> importe en gastos anticipados por las ferias del ejercicio siguiente</w:t>
      </w:r>
      <w:r w:rsidR="00B0530E">
        <w:rPr>
          <w:rFonts w:ascii="Times" w:eastAsia="Times" w:hAnsi="Times" w:cs="Times New Roman"/>
          <w:color w:val="auto"/>
          <w:sz w:val="28"/>
          <w:szCs w:val="28"/>
          <w:bdr w:val="none" w:sz="0" w:space="0" w:color="auto"/>
          <w:lang w:val="es-ES_tradnl" w:eastAsia="es-ES"/>
        </w:rPr>
        <w:t>, por no estar prevista la celebración presencial de muchas de ellas en el primer trimestre del año 2021</w:t>
      </w:r>
      <w:r>
        <w:rPr>
          <w:rFonts w:ascii="Times" w:eastAsia="Times" w:hAnsi="Times" w:cs="Times New Roman"/>
          <w:color w:val="auto"/>
          <w:sz w:val="28"/>
          <w:szCs w:val="28"/>
          <w:bdr w:val="none" w:sz="0" w:space="0" w:color="auto"/>
          <w:lang w:val="es-ES_tradnl" w:eastAsia="es-ES"/>
        </w:rPr>
        <w:t>.</w:t>
      </w:r>
    </w:p>
    <w:p w14:paraId="31BDC6D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5880E16B" w14:textId="195DE719"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5"/>
        <w:jc w:val="both"/>
        <w:outlineLvl w:val="9"/>
        <w:rPr>
          <w:rFonts w:ascii="Times" w:eastAsia="Times" w:hAnsi="Times" w:cs="Times New Roman"/>
          <w:color w:val="auto"/>
          <w:sz w:val="28"/>
          <w:szCs w:val="28"/>
          <w:bdr w:val="none" w:sz="0" w:space="0" w:color="auto"/>
          <w:lang w:val="es-ES_tradnl" w:eastAsia="es-ES"/>
        </w:rPr>
      </w:pPr>
      <w:r w:rsidRPr="002D2B8C">
        <w:rPr>
          <w:rFonts w:ascii="Times" w:eastAsia="Times" w:hAnsi="Times" w:cs="Times New Roman"/>
          <w:color w:val="auto"/>
          <w:sz w:val="28"/>
          <w:szCs w:val="28"/>
          <w:bdr w:val="none" w:sz="0" w:space="0" w:color="auto"/>
          <w:lang w:val="es-ES_tradnl" w:eastAsia="es-ES"/>
        </w:rPr>
        <w:t>La desviación del importe de Acreedores y otras cuentas a pagar se debe</w:t>
      </w:r>
      <w:r w:rsidRPr="002D2B8C">
        <w:rPr>
          <w:rFonts w:ascii="Times" w:eastAsia="Times" w:hAnsi="Times" w:cs="Times New Roman"/>
          <w:color w:val="auto"/>
          <w:sz w:val="28"/>
          <w:szCs w:val="28"/>
          <w:bdr w:val="none" w:sz="0" w:space="0" w:color="auto"/>
          <w:lang w:val="es-ES_tradnl" w:eastAsia="es-ES"/>
        </w:rPr>
        <w:tab/>
        <w:t>principalmente a que se quedó pendiente de pago, a 31 de diciembre, m</w:t>
      </w:r>
      <w:r w:rsidR="008E4083">
        <w:rPr>
          <w:rFonts w:ascii="Times" w:eastAsia="Times" w:hAnsi="Times" w:cs="Times New Roman"/>
          <w:color w:val="auto"/>
          <w:sz w:val="28"/>
          <w:szCs w:val="28"/>
          <w:bdr w:val="none" w:sz="0" w:space="0" w:color="auto"/>
          <w:lang w:val="es-ES_tradnl" w:eastAsia="es-ES"/>
        </w:rPr>
        <w:t>ás</w:t>
      </w:r>
      <w:r w:rsidRPr="002D2B8C">
        <w:rPr>
          <w:rFonts w:ascii="Times" w:eastAsia="Times" w:hAnsi="Times" w:cs="Times New Roman"/>
          <w:color w:val="auto"/>
          <w:sz w:val="28"/>
          <w:szCs w:val="28"/>
          <w:bdr w:val="none" w:sz="0" w:space="0" w:color="auto"/>
          <w:lang w:val="es-ES_tradnl" w:eastAsia="es-ES"/>
        </w:rPr>
        <w:t xml:space="preserve"> acreedores de los </w:t>
      </w:r>
      <w:r w:rsidR="005F4DF4" w:rsidRPr="002D2B8C">
        <w:rPr>
          <w:rFonts w:ascii="Times" w:eastAsia="Times" w:hAnsi="Times" w:cs="Times New Roman"/>
          <w:color w:val="auto"/>
          <w:sz w:val="28"/>
          <w:szCs w:val="28"/>
          <w:bdr w:val="none" w:sz="0" w:space="0" w:color="auto"/>
          <w:lang w:val="es-ES_tradnl" w:eastAsia="es-ES"/>
        </w:rPr>
        <w:t>pendientes en 201</w:t>
      </w:r>
      <w:r w:rsidR="008E4083">
        <w:rPr>
          <w:rFonts w:ascii="Times" w:eastAsia="Times" w:hAnsi="Times" w:cs="Times New Roman"/>
          <w:color w:val="auto"/>
          <w:sz w:val="28"/>
          <w:szCs w:val="28"/>
          <w:bdr w:val="none" w:sz="0" w:space="0" w:color="auto"/>
          <w:lang w:val="es-ES_tradnl" w:eastAsia="es-ES"/>
        </w:rPr>
        <w:t>9</w:t>
      </w:r>
      <w:r w:rsidR="00781F8E">
        <w:rPr>
          <w:rFonts w:ascii="Times" w:eastAsia="Times" w:hAnsi="Times" w:cs="Times New Roman"/>
          <w:color w:val="auto"/>
          <w:sz w:val="28"/>
          <w:szCs w:val="28"/>
          <w:bdr w:val="none" w:sz="0" w:space="0" w:color="auto"/>
          <w:lang w:val="es-ES_tradnl" w:eastAsia="es-ES"/>
        </w:rPr>
        <w:t>, dado que vinieron m</w:t>
      </w:r>
      <w:r w:rsidR="008E4083">
        <w:rPr>
          <w:rFonts w:ascii="Times" w:eastAsia="Times" w:hAnsi="Times" w:cs="Times New Roman"/>
          <w:color w:val="auto"/>
          <w:sz w:val="28"/>
          <w:szCs w:val="28"/>
          <w:bdr w:val="none" w:sz="0" w:space="0" w:color="auto"/>
          <w:lang w:val="es-ES_tradnl" w:eastAsia="es-ES"/>
        </w:rPr>
        <w:t>ás</w:t>
      </w:r>
      <w:r w:rsidR="00781F8E">
        <w:rPr>
          <w:rFonts w:ascii="Times" w:eastAsia="Times" w:hAnsi="Times" w:cs="Times New Roman"/>
          <w:color w:val="auto"/>
          <w:sz w:val="28"/>
          <w:szCs w:val="28"/>
          <w:bdr w:val="none" w:sz="0" w:space="0" w:color="auto"/>
          <w:lang w:val="es-ES_tradnl" w:eastAsia="es-ES"/>
        </w:rPr>
        <w:t xml:space="preserve"> facturas en diciembre que en años anteriores</w:t>
      </w:r>
      <w:r w:rsidRPr="002D2B8C">
        <w:rPr>
          <w:rFonts w:ascii="Times" w:eastAsia="Times" w:hAnsi="Times" w:cs="Times New Roman"/>
          <w:color w:val="auto"/>
          <w:sz w:val="28"/>
          <w:szCs w:val="28"/>
          <w:bdr w:val="none" w:sz="0" w:space="0" w:color="auto"/>
          <w:lang w:val="es-ES_tradnl" w:eastAsia="es-ES"/>
        </w:rPr>
        <w:t>.</w:t>
      </w:r>
      <w:r w:rsidR="002D2B8C">
        <w:rPr>
          <w:rFonts w:ascii="Times" w:eastAsia="Times" w:hAnsi="Times" w:cs="Times New Roman"/>
          <w:color w:val="auto"/>
          <w:sz w:val="28"/>
          <w:szCs w:val="28"/>
          <w:bdr w:val="none" w:sz="0" w:space="0" w:color="auto"/>
          <w:lang w:val="es-ES_tradnl" w:eastAsia="es-ES"/>
        </w:rPr>
        <w:t xml:space="preserve"> </w:t>
      </w:r>
      <w:r w:rsidRPr="00CD27CE">
        <w:rPr>
          <w:rFonts w:ascii="Times" w:eastAsia="Times" w:hAnsi="Times" w:cs="Times New Roman"/>
          <w:color w:val="auto"/>
          <w:sz w:val="28"/>
          <w:szCs w:val="28"/>
          <w:bdr w:val="none" w:sz="0" w:space="0" w:color="auto"/>
          <w:lang w:val="es-ES_tradnl" w:eastAsia="es-ES"/>
        </w:rPr>
        <w:t xml:space="preserve">  </w:t>
      </w:r>
    </w:p>
    <w:p w14:paraId="6354A72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708" w:right="44" w:hanging="708"/>
        <w:jc w:val="both"/>
        <w:outlineLvl w:val="9"/>
        <w:rPr>
          <w:rFonts w:ascii="Times" w:eastAsia="Times" w:hAnsi="Times" w:cs="Times New Roman"/>
          <w:color w:val="auto"/>
          <w:sz w:val="28"/>
          <w:szCs w:val="28"/>
          <w:bdr w:val="none" w:sz="0" w:space="0" w:color="auto"/>
          <w:lang w:val="es-ES_tradnl" w:eastAsia="es-ES"/>
        </w:rPr>
      </w:pPr>
    </w:p>
    <w:p w14:paraId="419C6DFC" w14:textId="672FD4A9"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5"/>
        <w:jc w:val="both"/>
        <w:outlineLvl w:val="9"/>
        <w:rPr>
          <w:rFonts w:ascii="Times" w:eastAsia="Times" w:hAnsi="Times" w:cs="Times New Roman"/>
          <w:color w:val="auto"/>
          <w:sz w:val="28"/>
          <w:szCs w:val="28"/>
          <w:bdr w:val="none" w:sz="0" w:space="0" w:color="auto"/>
          <w:lang w:val="es-ES_tradnl" w:eastAsia="es-ES"/>
        </w:rPr>
      </w:pPr>
      <w:r w:rsidRPr="002D2B8C">
        <w:rPr>
          <w:rFonts w:ascii="Times" w:eastAsia="Times" w:hAnsi="Times" w:cs="Times New Roman"/>
          <w:color w:val="auto"/>
          <w:sz w:val="28"/>
          <w:szCs w:val="28"/>
          <w:bdr w:val="none" w:sz="0" w:space="0" w:color="auto"/>
          <w:lang w:val="es-ES_tradnl" w:eastAsia="es-ES"/>
        </w:rPr>
        <w:t>La diferencia del importe realizado de Otros pasivos corrientes, se debe</w:t>
      </w:r>
      <w:r w:rsidR="008E4083">
        <w:rPr>
          <w:rFonts w:ascii="Times" w:eastAsia="Times" w:hAnsi="Times" w:cs="Times New Roman"/>
          <w:color w:val="auto"/>
          <w:sz w:val="28"/>
          <w:szCs w:val="28"/>
          <w:bdr w:val="none" w:sz="0" w:space="0" w:color="auto"/>
          <w:lang w:val="es-ES_tradnl" w:eastAsia="es-ES"/>
        </w:rPr>
        <w:t xml:space="preserve"> básicamente</w:t>
      </w:r>
      <w:r w:rsidRPr="002D2B8C">
        <w:rPr>
          <w:rFonts w:ascii="Times" w:eastAsia="Times" w:hAnsi="Times" w:cs="Times New Roman"/>
          <w:color w:val="auto"/>
          <w:sz w:val="28"/>
          <w:szCs w:val="28"/>
          <w:bdr w:val="none" w:sz="0" w:space="0" w:color="auto"/>
          <w:lang w:val="es-ES_tradnl" w:eastAsia="es-ES"/>
        </w:rPr>
        <w:t xml:space="preserve"> </w:t>
      </w:r>
      <w:r w:rsidR="008E4083" w:rsidRPr="008E4083">
        <w:rPr>
          <w:rFonts w:ascii="Times" w:eastAsia="Times" w:hAnsi="Times" w:cs="Times New Roman"/>
          <w:color w:val="auto"/>
          <w:sz w:val="28"/>
          <w:szCs w:val="28"/>
          <w:bdr w:val="none" w:sz="0" w:space="0" w:color="auto"/>
          <w:lang w:val="es-ES_tradnl" w:eastAsia="es-ES"/>
        </w:rPr>
        <w:t xml:space="preserve">al traspaso como ingresos anticipados de todas aquellas aportaciones concedidas en 2020 con plazo de aplicación </w:t>
      </w:r>
      <w:r w:rsidR="0090543E">
        <w:rPr>
          <w:rFonts w:ascii="Times" w:eastAsia="Times" w:hAnsi="Times" w:cs="Times New Roman"/>
          <w:color w:val="auto"/>
          <w:sz w:val="28"/>
          <w:szCs w:val="28"/>
          <w:bdr w:val="none" w:sz="0" w:space="0" w:color="auto"/>
          <w:lang w:val="es-ES_tradnl" w:eastAsia="es-ES"/>
        </w:rPr>
        <w:t>en 2021</w:t>
      </w:r>
      <w:r w:rsidRPr="002D2B8C">
        <w:rPr>
          <w:rFonts w:ascii="Times" w:eastAsia="Times" w:hAnsi="Times" w:cs="Times New Roman"/>
          <w:color w:val="auto"/>
          <w:sz w:val="28"/>
          <w:szCs w:val="28"/>
          <w:bdr w:val="none" w:sz="0" w:space="0" w:color="auto"/>
          <w:lang w:val="es-ES_tradnl" w:eastAsia="es-ES"/>
        </w:rPr>
        <w:t>.</w:t>
      </w:r>
      <w:r w:rsidRPr="00CD27CE">
        <w:rPr>
          <w:rFonts w:ascii="Times" w:eastAsia="Times" w:hAnsi="Times" w:cs="Times New Roman"/>
          <w:color w:val="auto"/>
          <w:sz w:val="28"/>
          <w:szCs w:val="28"/>
          <w:bdr w:val="none" w:sz="0" w:space="0" w:color="auto"/>
          <w:lang w:val="es-ES_tradnl" w:eastAsia="es-ES"/>
        </w:rPr>
        <w:t xml:space="preserve"> </w:t>
      </w:r>
    </w:p>
    <w:p w14:paraId="293443F3" w14:textId="77777777" w:rsid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p>
    <w:p w14:paraId="77B04224" w14:textId="653B72F4" w:rsidR="001840AB" w:rsidRPr="001840AB" w:rsidRDefault="00CD1F71" w:rsidP="001840AB">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1840AB">
        <w:rPr>
          <w:rFonts w:ascii="Times" w:eastAsia="Times" w:hAnsi="Times" w:cs="Times New Roman"/>
          <w:color w:val="auto"/>
          <w:sz w:val="28"/>
          <w:szCs w:val="28"/>
          <w:bdr w:val="none" w:sz="0" w:space="0" w:color="auto"/>
          <w:lang w:val="es-ES_tradnl" w:eastAsia="es-ES"/>
        </w:rPr>
        <w:t xml:space="preserve">La desviación producida dentro del Pago por inversiones de Inmovilizado </w:t>
      </w:r>
      <w:r w:rsidR="001840AB" w:rsidRPr="001840AB">
        <w:rPr>
          <w:rFonts w:ascii="Times" w:eastAsia="Times" w:hAnsi="Times" w:cs="Times New Roman"/>
          <w:color w:val="auto"/>
          <w:sz w:val="28"/>
          <w:szCs w:val="28"/>
          <w:bdr w:val="none" w:sz="0" w:space="0" w:color="auto"/>
          <w:lang w:val="es-ES_tradnl" w:eastAsia="es-ES"/>
        </w:rPr>
        <w:t>Material</w:t>
      </w:r>
      <w:r w:rsidRPr="001840AB">
        <w:rPr>
          <w:rFonts w:ascii="Times" w:eastAsia="Times" w:hAnsi="Times" w:cs="Times New Roman"/>
          <w:color w:val="auto"/>
          <w:sz w:val="28"/>
          <w:szCs w:val="28"/>
          <w:bdr w:val="none" w:sz="0" w:space="0" w:color="auto"/>
          <w:lang w:val="es-ES_tradnl" w:eastAsia="es-ES"/>
        </w:rPr>
        <w:t xml:space="preserve"> es debido a </w:t>
      </w:r>
      <w:r w:rsidR="001840AB" w:rsidRPr="001840AB">
        <w:rPr>
          <w:rFonts w:ascii="Times" w:eastAsia="Times" w:hAnsi="Times" w:cs="Times New Roman"/>
          <w:color w:val="auto"/>
          <w:sz w:val="28"/>
          <w:szCs w:val="28"/>
          <w:bdr w:val="none" w:sz="0" w:space="0" w:color="auto"/>
          <w:lang w:val="es-ES_tradnl" w:eastAsia="es-ES"/>
        </w:rPr>
        <w:t>la compra de ordenadores portátiles para permitir el teletrabajo al personal de Promotur, la instalación de mamparas separadoras y la renovación de las sillas de la empresa por deterioro.</w:t>
      </w:r>
    </w:p>
    <w:p w14:paraId="7EF9B816" w14:textId="77777777" w:rsidR="001840AB" w:rsidRDefault="001840AB"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708" w:right="44" w:hanging="708"/>
        <w:jc w:val="both"/>
        <w:outlineLvl w:val="9"/>
        <w:rPr>
          <w:rFonts w:ascii="Times" w:eastAsia="Times" w:hAnsi="Times" w:cs="Times New Roman"/>
          <w:color w:val="auto"/>
          <w:sz w:val="28"/>
          <w:szCs w:val="28"/>
          <w:bdr w:val="none" w:sz="0" w:space="0" w:color="auto"/>
          <w:lang w:val="es-ES_tradnl" w:eastAsia="es-ES"/>
        </w:rPr>
      </w:pPr>
    </w:p>
    <w:p w14:paraId="2FA20166" w14:textId="703B0B23" w:rsidR="001840AB" w:rsidRPr="001840AB" w:rsidRDefault="001840AB" w:rsidP="001840AB">
      <w:pPr>
        <w:jc w:val="both"/>
        <w:rPr>
          <w:rFonts w:ascii="Times" w:hAnsi="Times" w:cs="Times"/>
          <w:sz w:val="28"/>
          <w:szCs w:val="28"/>
          <w:bdr w:val="none" w:sz="0" w:space="0" w:color="auto"/>
          <w:lang w:val="es-ES_tradnl" w:eastAsia="es-ES"/>
        </w:rPr>
      </w:pPr>
      <w:r w:rsidRPr="001840AB">
        <w:rPr>
          <w:rFonts w:ascii="Times" w:hAnsi="Times" w:cs="Times"/>
          <w:sz w:val="28"/>
          <w:szCs w:val="28"/>
          <w:bdr w:val="none" w:sz="0" w:space="0" w:color="auto"/>
          <w:lang w:val="es-ES_tradnl" w:eastAsia="es-ES"/>
        </w:rPr>
        <w:t>La desviación en Cobros y Pagos por instrumentos de patrimonio es debido a la  subvención de capital recibida para la implementación de las medidas de seguridad por el Covid</w:t>
      </w:r>
      <w:r>
        <w:rPr>
          <w:rFonts w:ascii="Times" w:hAnsi="Times" w:cs="Times"/>
          <w:sz w:val="28"/>
          <w:szCs w:val="28"/>
          <w:bdr w:val="none" w:sz="0" w:space="0" w:color="auto"/>
          <w:lang w:val="es-ES_tradnl" w:eastAsia="es-ES"/>
        </w:rPr>
        <w:t>.</w:t>
      </w:r>
    </w:p>
    <w:p w14:paraId="7696739B" w14:textId="4D18131C"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708" w:right="44" w:hanging="708"/>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ab/>
      </w:r>
    </w:p>
    <w:p w14:paraId="04DDFA19" w14:textId="61A91EC8"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sidRPr="00CD27CE">
        <w:rPr>
          <w:rFonts w:ascii="Times New Roman" w:eastAsia="Times New Roman" w:hAnsi="Times New Roman" w:cs="Times New Roman"/>
          <w:color w:val="auto"/>
          <w:sz w:val="28"/>
          <w:szCs w:val="28"/>
          <w:bdr w:val="none" w:sz="0" w:space="0" w:color="auto"/>
          <w:lang w:val="es-ES_tradnl"/>
        </w:rPr>
        <w:t xml:space="preserve">Por último, la desviación en Cobros y Pagos por instrumentos de Pasivo financiero es debida </w:t>
      </w:r>
      <w:r w:rsidR="00F768D3">
        <w:rPr>
          <w:rFonts w:ascii="Times New Roman" w:eastAsia="Times New Roman" w:hAnsi="Times New Roman" w:cs="Times New Roman"/>
          <w:color w:val="auto"/>
          <w:sz w:val="28"/>
          <w:szCs w:val="28"/>
          <w:bdr w:val="none" w:sz="0" w:space="0" w:color="auto"/>
          <w:lang w:val="es-ES_tradnl"/>
        </w:rPr>
        <w:t>principalmente a</w:t>
      </w:r>
      <w:r w:rsidR="00E24CB1">
        <w:rPr>
          <w:rFonts w:ascii="Times New Roman" w:eastAsia="Times New Roman" w:hAnsi="Times New Roman" w:cs="Times New Roman"/>
          <w:color w:val="auto"/>
          <w:sz w:val="28"/>
          <w:szCs w:val="28"/>
          <w:bdr w:val="none" w:sz="0" w:space="0" w:color="auto"/>
          <w:lang w:val="es-ES_tradnl"/>
        </w:rPr>
        <w:t>l menor importe de proveedores de inmovilizado pendientes de pago a final del ejercicio.</w:t>
      </w:r>
      <w:r w:rsidR="00F768D3">
        <w:rPr>
          <w:rFonts w:ascii="Times New Roman" w:eastAsia="Times New Roman" w:hAnsi="Times New Roman" w:cs="Times New Roman"/>
          <w:color w:val="auto"/>
          <w:sz w:val="28"/>
          <w:szCs w:val="28"/>
          <w:bdr w:val="none" w:sz="0" w:space="0" w:color="auto"/>
          <w:lang w:val="es-ES_tradnl"/>
        </w:rPr>
        <w:t xml:space="preserve"> </w:t>
      </w:r>
    </w:p>
    <w:p w14:paraId="52D03D1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708" w:right="44" w:hanging="708"/>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lastRenderedPageBreak/>
        <w:tab/>
      </w:r>
    </w:p>
    <w:p w14:paraId="19C3808E"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ab/>
        <w:t xml:space="preserve">Las desviaciones del Presupuesto de </w:t>
      </w:r>
      <w:r w:rsidR="00623772">
        <w:rPr>
          <w:rFonts w:ascii="Times" w:eastAsia="Times" w:hAnsi="Times" w:cs="Times New Roman"/>
          <w:color w:val="auto"/>
          <w:sz w:val="28"/>
          <w:szCs w:val="28"/>
          <w:bdr w:val="none" w:sz="0" w:space="0" w:color="auto"/>
          <w:lang w:val="es-ES_tradnl" w:eastAsia="es-ES"/>
        </w:rPr>
        <w:t>C</w:t>
      </w:r>
      <w:r w:rsidRPr="00CD27CE">
        <w:rPr>
          <w:rFonts w:ascii="Times" w:eastAsia="Times" w:hAnsi="Times" w:cs="Times New Roman"/>
          <w:color w:val="auto"/>
          <w:sz w:val="28"/>
          <w:szCs w:val="28"/>
          <w:bdr w:val="none" w:sz="0" w:space="0" w:color="auto"/>
          <w:lang w:val="es-ES_tradnl" w:eastAsia="es-ES"/>
        </w:rPr>
        <w:t xml:space="preserve">apital, comentadas y </w:t>
      </w:r>
      <w:r w:rsidRPr="00CD27CE">
        <w:rPr>
          <w:rFonts w:ascii="Times" w:eastAsia="Times" w:hAnsi="Times" w:cs="Times New Roman"/>
          <w:color w:val="auto"/>
          <w:sz w:val="28"/>
          <w:szCs w:val="28"/>
          <w:bdr w:val="none" w:sz="0" w:space="0" w:color="auto"/>
          <w:lang w:val="es-ES_tradnl" w:eastAsia="es-ES"/>
        </w:rPr>
        <w:tab/>
        <w:t xml:space="preserve">reflejadas en el Anexo I.B, cumplen con la normativa </w:t>
      </w:r>
      <w:r w:rsidRPr="00CD27CE">
        <w:rPr>
          <w:rFonts w:ascii="Times" w:eastAsia="Times" w:hAnsi="Times" w:cs="Times New Roman"/>
          <w:color w:val="auto"/>
          <w:sz w:val="28"/>
          <w:szCs w:val="28"/>
          <w:bdr w:val="none" w:sz="0" w:space="0" w:color="auto"/>
          <w:lang w:val="es-ES_tradnl" w:eastAsia="es-ES"/>
        </w:rPr>
        <w:tab/>
        <w:t xml:space="preserve">vigente, puesto que se trata básicamente de modificaciones </w:t>
      </w:r>
      <w:r w:rsidRPr="00CD27CE">
        <w:rPr>
          <w:rFonts w:ascii="Times" w:eastAsia="Times" w:hAnsi="Times" w:cs="Times New Roman"/>
          <w:color w:val="auto"/>
          <w:sz w:val="28"/>
          <w:szCs w:val="28"/>
          <w:bdr w:val="none" w:sz="0" w:space="0" w:color="auto"/>
          <w:lang w:val="es-ES_tradnl" w:eastAsia="es-ES"/>
        </w:rPr>
        <w:tab/>
        <w:t>de capital circulante</w:t>
      </w:r>
      <w:r w:rsidR="00C42AA1">
        <w:rPr>
          <w:rFonts w:ascii="Times" w:eastAsia="Times" w:hAnsi="Times" w:cs="Times New Roman"/>
          <w:color w:val="auto"/>
          <w:sz w:val="28"/>
          <w:szCs w:val="28"/>
          <w:bdr w:val="none" w:sz="0" w:space="0" w:color="auto"/>
          <w:lang w:val="es-ES_tradnl" w:eastAsia="es-ES"/>
        </w:rPr>
        <w:t xml:space="preserve"> e inversiones realizadas por la empresa dentro de los límites presupuestarios</w:t>
      </w:r>
      <w:r w:rsidRPr="00CD27CE">
        <w:rPr>
          <w:rFonts w:ascii="Times" w:eastAsia="Times" w:hAnsi="Times" w:cs="Times New Roman"/>
          <w:color w:val="auto"/>
          <w:sz w:val="28"/>
          <w:szCs w:val="28"/>
          <w:bdr w:val="none" w:sz="0" w:space="0" w:color="auto"/>
          <w:lang w:val="es-ES_tradnl" w:eastAsia="es-ES"/>
        </w:rPr>
        <w:t xml:space="preserve">. </w:t>
      </w:r>
    </w:p>
    <w:p w14:paraId="7C279715"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15DBF61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720" w:right="44"/>
        <w:outlineLvl w:val="9"/>
        <w:rPr>
          <w:rFonts w:ascii="Times" w:eastAsia="Times" w:hAnsi="Times" w:cs="Times New Roman"/>
          <w:b/>
          <w:color w:val="auto"/>
          <w:sz w:val="28"/>
          <w:szCs w:val="28"/>
          <w:bdr w:val="none" w:sz="0" w:space="0" w:color="auto"/>
          <w:lang w:val="es-ES_tradnl" w:eastAsia="es-ES"/>
        </w:rPr>
      </w:pPr>
    </w:p>
    <w:p w14:paraId="327DAF8C" w14:textId="77777777" w:rsidR="00CD27CE" w:rsidRPr="00CD27CE" w:rsidRDefault="00CD27CE" w:rsidP="00CD27C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b/>
          <w:color w:val="auto"/>
          <w:sz w:val="28"/>
          <w:szCs w:val="28"/>
          <w:bdr w:val="none" w:sz="0" w:space="0" w:color="auto"/>
          <w:lang w:val="es-ES_tradnl" w:eastAsia="es-ES"/>
        </w:rPr>
      </w:pPr>
      <w:r w:rsidRPr="00C87CAC">
        <w:rPr>
          <w:rFonts w:ascii="Times" w:eastAsia="Times" w:hAnsi="Times" w:cs="Times New Roman"/>
          <w:b/>
          <w:color w:val="auto"/>
          <w:sz w:val="28"/>
          <w:szCs w:val="28"/>
          <w:bdr w:val="none" w:sz="0" w:space="0" w:color="auto"/>
          <w:lang w:val="es-ES_tradnl" w:eastAsia="es-ES"/>
        </w:rPr>
        <w:t>Información por islas de las inversiones</w:t>
      </w:r>
      <w:r w:rsidRPr="00CD27CE">
        <w:rPr>
          <w:rFonts w:ascii="Times" w:eastAsia="Times" w:hAnsi="Times" w:cs="Times New Roman"/>
          <w:b/>
          <w:color w:val="auto"/>
          <w:sz w:val="28"/>
          <w:szCs w:val="28"/>
          <w:bdr w:val="none" w:sz="0" w:space="0" w:color="auto"/>
          <w:lang w:val="es-ES_tradnl" w:eastAsia="es-ES"/>
        </w:rPr>
        <w:t xml:space="preserve"> (Anexo II)</w:t>
      </w:r>
    </w:p>
    <w:p w14:paraId="1AC44EC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720" w:right="44"/>
        <w:outlineLvl w:val="9"/>
        <w:rPr>
          <w:rFonts w:ascii="Times" w:eastAsia="Times" w:hAnsi="Times" w:cs="Times New Roman"/>
          <w:b/>
          <w:color w:val="auto"/>
          <w:sz w:val="28"/>
          <w:szCs w:val="28"/>
          <w:bdr w:val="none" w:sz="0" w:space="0" w:color="auto"/>
          <w:lang w:val="es-ES_tradnl" w:eastAsia="es-ES"/>
        </w:rPr>
      </w:pPr>
    </w:p>
    <w:p w14:paraId="780DDAC3" w14:textId="77777777" w:rsidR="000D3F33" w:rsidRDefault="00CD27CE" w:rsidP="00E24CB1">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ab/>
        <w:t xml:space="preserve">La empresa no tiene </w:t>
      </w:r>
      <w:r w:rsidR="000A610E">
        <w:rPr>
          <w:rFonts w:ascii="Times" w:eastAsia="Times" w:hAnsi="Times" w:cs="Times New Roman"/>
          <w:color w:val="auto"/>
          <w:sz w:val="28"/>
          <w:szCs w:val="28"/>
          <w:bdr w:val="none" w:sz="0" w:space="0" w:color="auto"/>
          <w:lang w:val="es-ES_tradnl" w:eastAsia="es-ES"/>
        </w:rPr>
        <w:t>grandes in</w:t>
      </w:r>
      <w:r w:rsidRPr="00CD27CE">
        <w:rPr>
          <w:rFonts w:ascii="Times" w:eastAsia="Times" w:hAnsi="Times" w:cs="Times New Roman"/>
          <w:color w:val="auto"/>
          <w:sz w:val="28"/>
          <w:szCs w:val="28"/>
          <w:bdr w:val="none" w:sz="0" w:space="0" w:color="auto"/>
          <w:lang w:val="es-ES_tradnl" w:eastAsia="es-ES"/>
        </w:rPr>
        <w:t xml:space="preserve">versiones, sólo dispone del </w:t>
      </w:r>
      <w:r w:rsidRPr="00CD27CE">
        <w:rPr>
          <w:rFonts w:ascii="Times" w:eastAsia="Times" w:hAnsi="Times" w:cs="Times New Roman"/>
          <w:color w:val="auto"/>
          <w:sz w:val="28"/>
          <w:szCs w:val="28"/>
          <w:bdr w:val="none" w:sz="0" w:space="0" w:color="auto"/>
          <w:lang w:val="es-ES_tradnl" w:eastAsia="es-ES"/>
        </w:rPr>
        <w:tab/>
        <w:t>inmovilizado</w:t>
      </w:r>
      <w:r w:rsidR="003B4443">
        <w:rPr>
          <w:rFonts w:ascii="Times" w:eastAsia="Times" w:hAnsi="Times" w:cs="Times New Roman"/>
          <w:color w:val="auto"/>
          <w:sz w:val="28"/>
          <w:szCs w:val="28"/>
          <w:bdr w:val="none" w:sz="0" w:space="0" w:color="auto"/>
          <w:lang w:val="es-ES_tradnl" w:eastAsia="es-ES"/>
        </w:rPr>
        <w:t xml:space="preserve"> </w:t>
      </w:r>
      <w:r w:rsidRPr="00CD27CE">
        <w:rPr>
          <w:rFonts w:ascii="Times" w:eastAsia="Times" w:hAnsi="Times" w:cs="Times New Roman"/>
          <w:color w:val="auto"/>
          <w:sz w:val="28"/>
          <w:szCs w:val="28"/>
          <w:bdr w:val="none" w:sz="0" w:space="0" w:color="auto"/>
          <w:lang w:val="es-ES_tradnl" w:eastAsia="es-ES"/>
        </w:rPr>
        <w:t xml:space="preserve">material (mobiliario, equipos informáticos, etc.) e </w:t>
      </w:r>
      <w:r w:rsidRPr="00CD27CE">
        <w:rPr>
          <w:rFonts w:ascii="Times" w:eastAsia="Times" w:hAnsi="Times" w:cs="Times New Roman"/>
          <w:color w:val="auto"/>
          <w:sz w:val="28"/>
          <w:szCs w:val="28"/>
          <w:bdr w:val="none" w:sz="0" w:space="0" w:color="auto"/>
          <w:lang w:val="es-ES_tradnl" w:eastAsia="es-ES"/>
        </w:rPr>
        <w:tab/>
        <w:t xml:space="preserve">intangible (aplicaciones informáticas, etc.) necesario para el </w:t>
      </w:r>
      <w:r w:rsidRPr="00CD27CE">
        <w:rPr>
          <w:rFonts w:ascii="Times" w:eastAsia="Times" w:hAnsi="Times" w:cs="Times New Roman"/>
          <w:color w:val="auto"/>
          <w:sz w:val="28"/>
          <w:szCs w:val="28"/>
          <w:bdr w:val="none" w:sz="0" w:space="0" w:color="auto"/>
          <w:lang w:val="es-ES_tradnl" w:eastAsia="es-ES"/>
        </w:rPr>
        <w:tab/>
        <w:t xml:space="preserve">desarrollo de la actividad, para las oficinas de Gran Canaria y </w:t>
      </w:r>
      <w:r w:rsidRPr="00CD27CE">
        <w:rPr>
          <w:rFonts w:ascii="Times" w:eastAsia="Times" w:hAnsi="Times" w:cs="Times New Roman"/>
          <w:color w:val="auto"/>
          <w:sz w:val="28"/>
          <w:szCs w:val="28"/>
          <w:bdr w:val="none" w:sz="0" w:space="0" w:color="auto"/>
          <w:lang w:val="es-ES_tradnl" w:eastAsia="es-ES"/>
        </w:rPr>
        <w:tab/>
        <w:t xml:space="preserve">Tenerife. </w:t>
      </w:r>
    </w:p>
    <w:p w14:paraId="790DD6F5" w14:textId="77777777" w:rsidR="000D3F33" w:rsidRDefault="000D3F33"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bookmarkStart w:id="0" w:name="_Hlk38634950"/>
    </w:p>
    <w:p w14:paraId="00AC493D" w14:textId="77777777" w:rsidR="00E24CB1" w:rsidRPr="00E24CB1" w:rsidRDefault="00623772" w:rsidP="00E24CB1">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Pr>
          <w:rFonts w:ascii="Times New Roman" w:eastAsia="Times New Roman" w:hAnsi="Times New Roman" w:cs="Times New Roman"/>
          <w:color w:val="auto"/>
          <w:sz w:val="28"/>
          <w:szCs w:val="28"/>
          <w:bdr w:val="none" w:sz="0" w:space="0" w:color="auto"/>
          <w:lang w:val="es-ES_tradnl"/>
        </w:rPr>
        <w:t xml:space="preserve">Dentro del </w:t>
      </w:r>
      <w:r w:rsidR="000D3F33" w:rsidRPr="008E3641">
        <w:rPr>
          <w:rFonts w:ascii="Times New Roman" w:eastAsia="Times New Roman" w:hAnsi="Times New Roman" w:cs="Times New Roman"/>
          <w:color w:val="auto"/>
          <w:sz w:val="28"/>
          <w:szCs w:val="28"/>
          <w:bdr w:val="none" w:sz="0" w:space="0" w:color="auto"/>
          <w:lang w:val="es-ES_tradnl"/>
        </w:rPr>
        <w:t xml:space="preserve">Inmovilizado Material </w:t>
      </w:r>
      <w:r>
        <w:rPr>
          <w:rFonts w:ascii="Times New Roman" w:eastAsia="Times New Roman" w:hAnsi="Times New Roman" w:cs="Times New Roman"/>
          <w:color w:val="auto"/>
          <w:sz w:val="28"/>
          <w:szCs w:val="28"/>
          <w:bdr w:val="none" w:sz="0" w:space="0" w:color="auto"/>
          <w:lang w:val="es-ES_tradnl"/>
        </w:rPr>
        <w:t xml:space="preserve">destaca </w:t>
      </w:r>
      <w:r w:rsidR="00E24CB1" w:rsidRPr="00E24CB1">
        <w:rPr>
          <w:rFonts w:ascii="Times New Roman" w:eastAsia="Times New Roman" w:hAnsi="Times New Roman" w:cs="Times New Roman"/>
          <w:color w:val="auto"/>
          <w:sz w:val="28"/>
          <w:szCs w:val="28"/>
          <w:bdr w:val="none" w:sz="0" w:space="0" w:color="auto"/>
          <w:lang w:val="es-ES_tradnl"/>
        </w:rPr>
        <w:t>la compra de ordenadores portátiles para permitir el teletrabajo al personal de Promotur, la instalación de mamparas separadoras y la renovación de las sillas de la empresa por deterioro.</w:t>
      </w:r>
    </w:p>
    <w:bookmarkEnd w:id="0"/>
    <w:p w14:paraId="72B98336" w14:textId="77777777" w:rsidR="003F37C2" w:rsidRPr="008E3641" w:rsidRDefault="003F37C2" w:rsidP="000D3F33">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p>
    <w:p w14:paraId="51EB94F8" w14:textId="77777777" w:rsidR="000D3F33" w:rsidRDefault="000D3F33"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55BECCB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 xml:space="preserve">En las Cuentas Anuales que acompañan a este </w:t>
      </w:r>
      <w:r w:rsidRPr="00CD27CE">
        <w:rPr>
          <w:rFonts w:ascii="Times" w:eastAsia="Times" w:hAnsi="Times" w:cs="Times New Roman"/>
          <w:color w:val="auto"/>
          <w:sz w:val="28"/>
          <w:szCs w:val="28"/>
          <w:bdr w:val="none" w:sz="0" w:space="0" w:color="auto"/>
          <w:lang w:val="es-ES_tradnl" w:eastAsia="es-ES"/>
        </w:rPr>
        <w:tab/>
        <w:t xml:space="preserve">informe se refleja bastante información al respecto. Cabe </w:t>
      </w:r>
      <w:r w:rsidRPr="00CD27CE">
        <w:rPr>
          <w:rFonts w:ascii="Times" w:eastAsia="Times" w:hAnsi="Times" w:cs="Times New Roman"/>
          <w:color w:val="auto"/>
          <w:sz w:val="28"/>
          <w:szCs w:val="28"/>
          <w:bdr w:val="none" w:sz="0" w:space="0" w:color="auto"/>
          <w:lang w:val="es-ES_tradnl" w:eastAsia="es-ES"/>
        </w:rPr>
        <w:tab/>
        <w:t xml:space="preserve">destacar que la empresa cumple con lo presupuestado, tal </w:t>
      </w:r>
      <w:r w:rsidRPr="00CD27CE">
        <w:rPr>
          <w:rFonts w:ascii="Times" w:eastAsia="Times" w:hAnsi="Times" w:cs="Times New Roman"/>
          <w:color w:val="auto"/>
          <w:sz w:val="28"/>
          <w:szCs w:val="28"/>
          <w:bdr w:val="none" w:sz="0" w:space="0" w:color="auto"/>
          <w:lang w:val="es-ES_tradnl" w:eastAsia="es-ES"/>
        </w:rPr>
        <w:tab/>
        <w:t xml:space="preserve">como se refleja en el epígrafe de Pagos por inversiones de </w:t>
      </w:r>
      <w:r w:rsidRPr="00CD27CE">
        <w:rPr>
          <w:rFonts w:ascii="Times" w:eastAsia="Times" w:hAnsi="Times" w:cs="Times New Roman"/>
          <w:color w:val="auto"/>
          <w:sz w:val="28"/>
          <w:szCs w:val="28"/>
          <w:bdr w:val="none" w:sz="0" w:space="0" w:color="auto"/>
          <w:lang w:val="es-ES_tradnl" w:eastAsia="es-ES"/>
        </w:rPr>
        <w:tab/>
        <w:t xml:space="preserve">inmovilizado que </w:t>
      </w:r>
      <w:r w:rsidRPr="00CD27CE">
        <w:rPr>
          <w:rFonts w:ascii="Times" w:eastAsia="Times" w:hAnsi="Times" w:cs="Times New Roman"/>
          <w:color w:val="auto"/>
          <w:sz w:val="28"/>
          <w:szCs w:val="28"/>
          <w:bdr w:val="none" w:sz="0" w:space="0" w:color="auto"/>
          <w:lang w:val="es-ES_tradnl" w:eastAsia="es-ES"/>
        </w:rPr>
        <w:tab/>
        <w:t xml:space="preserve">figura en el </w:t>
      </w:r>
      <w:r w:rsidRPr="00CD27CE">
        <w:rPr>
          <w:rFonts w:ascii="Times" w:eastAsia="Times" w:hAnsi="Times" w:cs="Times New Roman"/>
          <w:color w:val="auto"/>
          <w:sz w:val="28"/>
          <w:szCs w:val="28"/>
          <w:bdr w:val="none" w:sz="0" w:space="0" w:color="auto"/>
          <w:lang w:val="es-ES_tradnl" w:eastAsia="es-ES"/>
        </w:rPr>
        <w:tab/>
        <w:t>Estado de Flujo de Efectivos.</w:t>
      </w:r>
    </w:p>
    <w:p w14:paraId="13C0E539"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6A267387" w14:textId="77777777" w:rsidR="00CD27CE" w:rsidRPr="000C3D71" w:rsidRDefault="000A610E" w:rsidP="000C3D71">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bookmarkStart w:id="1" w:name="_Hlk38615899"/>
      <w:r w:rsidRPr="008E3641">
        <w:rPr>
          <w:rFonts w:ascii="Times New Roman" w:eastAsia="Times New Roman" w:hAnsi="Times New Roman" w:cs="Times New Roman"/>
          <w:color w:val="auto"/>
          <w:sz w:val="28"/>
          <w:szCs w:val="28"/>
          <w:bdr w:val="none" w:sz="0" w:space="0" w:color="auto"/>
          <w:lang w:val="es-ES_tradnl"/>
        </w:rPr>
        <w:t xml:space="preserve">  </w:t>
      </w:r>
      <w:bookmarkEnd w:id="1"/>
    </w:p>
    <w:p w14:paraId="602AE83E"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b/>
          <w:color w:val="auto"/>
          <w:sz w:val="28"/>
          <w:szCs w:val="28"/>
          <w:bdr w:val="none" w:sz="0" w:space="0" w:color="auto"/>
          <w:lang w:val="es-ES_tradnl" w:eastAsia="es-ES"/>
        </w:rPr>
      </w:pPr>
    </w:p>
    <w:p w14:paraId="691C896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t>B) Información relativa a la ejecución de los contratos-programa, convenios, encomiendas, aportaciones dinerarias y subvenciones y su grado de cumplimiento (Anexo III)</w:t>
      </w:r>
    </w:p>
    <w:p w14:paraId="06D14B48"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b/>
          <w:color w:val="auto"/>
          <w:sz w:val="28"/>
          <w:szCs w:val="28"/>
          <w:bdr w:val="none" w:sz="0" w:space="0" w:color="auto"/>
          <w:lang w:val="es-ES_tradnl" w:eastAsia="es-ES"/>
        </w:rPr>
      </w:pPr>
    </w:p>
    <w:p w14:paraId="2641C879"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Esta información viene reflejada en los Anexos III.A y III.B.</w:t>
      </w:r>
    </w:p>
    <w:p w14:paraId="44B49017"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5E089CC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0B73FACE"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t xml:space="preserve">C) </w:t>
      </w:r>
      <w:r w:rsidRPr="009904A5">
        <w:rPr>
          <w:rFonts w:ascii="Times" w:eastAsia="Times" w:hAnsi="Times" w:cs="Times New Roman"/>
          <w:b/>
          <w:color w:val="auto"/>
          <w:sz w:val="28"/>
          <w:szCs w:val="28"/>
          <w:bdr w:val="none" w:sz="0" w:space="0" w:color="auto"/>
          <w:lang w:val="es-ES_tradnl" w:eastAsia="es-ES"/>
        </w:rPr>
        <w:t>Información relativa al cumplimiento de la normativa en materia de contratación que han de cumplir las entidades del sector público</w:t>
      </w:r>
      <w:r w:rsidRPr="00CD27CE">
        <w:rPr>
          <w:rFonts w:ascii="Times" w:eastAsia="Times" w:hAnsi="Times" w:cs="Times New Roman"/>
          <w:b/>
          <w:color w:val="auto"/>
          <w:sz w:val="28"/>
          <w:szCs w:val="28"/>
          <w:bdr w:val="none" w:sz="0" w:space="0" w:color="auto"/>
          <w:lang w:val="es-ES_tradnl" w:eastAsia="es-ES"/>
        </w:rPr>
        <w:tab/>
      </w:r>
    </w:p>
    <w:p w14:paraId="7B696941"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 w:val="28"/>
          <w:szCs w:val="28"/>
          <w:bdr w:val="none" w:sz="0" w:space="0" w:color="auto"/>
          <w:lang w:val="es-ES_tradnl" w:eastAsia="es-ES"/>
        </w:rPr>
      </w:pPr>
    </w:p>
    <w:p w14:paraId="1D80C8AA"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ind w:left="1" w:hanging="1"/>
        <w:jc w:val="both"/>
        <w:outlineLvl w:val="9"/>
        <w:rPr>
          <w:rFonts w:eastAsia="Times"/>
          <w:color w:val="auto"/>
          <w:sz w:val="22"/>
          <w:szCs w:val="22"/>
          <w:bdr w:val="none" w:sz="0" w:space="0" w:color="auto"/>
          <w:lang w:eastAsia="es-ES"/>
        </w:rPr>
      </w:pPr>
      <w:r w:rsidRPr="00FB3A30">
        <w:rPr>
          <w:rFonts w:eastAsia="Times"/>
          <w:color w:val="auto"/>
          <w:sz w:val="22"/>
          <w:szCs w:val="22"/>
          <w:bdr w:val="none" w:sz="0" w:space="0" w:color="auto"/>
          <w:lang w:eastAsia="es-ES"/>
        </w:rPr>
        <w:t xml:space="preserve">Conforme al artículo 5 de la Orden de 24 de febrero de 2011, la presente información se detalla teniendo en cuenta la consideración de </w:t>
      </w:r>
      <w:r w:rsidRPr="00FB3A30">
        <w:rPr>
          <w:rFonts w:eastAsia="Times"/>
          <w:b/>
          <w:color w:val="auto"/>
          <w:sz w:val="22"/>
          <w:szCs w:val="22"/>
          <w:bdr w:val="none" w:sz="0" w:space="0" w:color="auto"/>
          <w:lang w:eastAsia="es-ES"/>
        </w:rPr>
        <w:t>PROMOTUR TURISMO CANARIAS, S.A.</w:t>
      </w:r>
      <w:r w:rsidRPr="00FB3A30">
        <w:rPr>
          <w:rFonts w:eastAsia="Times"/>
          <w:color w:val="auto"/>
          <w:sz w:val="22"/>
          <w:szCs w:val="22"/>
          <w:bdr w:val="none" w:sz="0" w:space="0" w:color="auto"/>
          <w:lang w:eastAsia="es-ES"/>
        </w:rPr>
        <w:t xml:space="preserve"> como </w:t>
      </w:r>
      <w:r w:rsidRPr="00FB3A30">
        <w:rPr>
          <w:rFonts w:eastAsia="Times"/>
          <w:b/>
          <w:color w:val="auto"/>
          <w:sz w:val="22"/>
          <w:szCs w:val="22"/>
          <w:u w:val="single"/>
          <w:bdr w:val="none" w:sz="0" w:space="0" w:color="auto"/>
          <w:lang w:eastAsia="es-ES"/>
        </w:rPr>
        <w:t>poder adjudicador</w:t>
      </w:r>
      <w:r w:rsidRPr="00FB3A30">
        <w:rPr>
          <w:rFonts w:eastAsia="Times"/>
          <w:color w:val="auto"/>
          <w:sz w:val="22"/>
          <w:szCs w:val="22"/>
          <w:bdr w:val="none" w:sz="0" w:space="0" w:color="auto"/>
          <w:lang w:eastAsia="es-ES"/>
        </w:rPr>
        <w:t xml:space="preserve"> no administración pública (</w:t>
      </w:r>
      <w:r w:rsidRPr="00FB3A30">
        <w:rPr>
          <w:rFonts w:eastAsia="Times"/>
          <w:b/>
          <w:color w:val="auto"/>
          <w:sz w:val="22"/>
          <w:szCs w:val="22"/>
          <w:bdr w:val="none" w:sz="0" w:space="0" w:color="auto"/>
          <w:lang w:eastAsia="es-ES"/>
        </w:rPr>
        <w:t>PANAP</w:t>
      </w:r>
      <w:r w:rsidRPr="00FB3A30">
        <w:rPr>
          <w:rFonts w:eastAsia="Times"/>
          <w:color w:val="auto"/>
          <w:sz w:val="22"/>
          <w:szCs w:val="22"/>
          <w:bdr w:val="none" w:sz="0" w:space="0" w:color="auto"/>
          <w:lang w:eastAsia="es-ES"/>
        </w:rPr>
        <w:t>).</w:t>
      </w:r>
    </w:p>
    <w:p w14:paraId="709EF5C0"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ind w:left="1" w:hanging="1"/>
        <w:jc w:val="both"/>
        <w:outlineLvl w:val="9"/>
        <w:rPr>
          <w:rFonts w:eastAsia="Times"/>
          <w:color w:val="auto"/>
          <w:sz w:val="22"/>
          <w:szCs w:val="22"/>
          <w:bdr w:val="none" w:sz="0" w:space="0" w:color="auto"/>
          <w:lang w:eastAsia="es-ES"/>
        </w:rPr>
      </w:pPr>
    </w:p>
    <w:p w14:paraId="1D46C3D8"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ind w:left="1" w:hanging="1"/>
        <w:jc w:val="both"/>
        <w:outlineLvl w:val="9"/>
        <w:rPr>
          <w:rFonts w:eastAsia="Times"/>
          <w:color w:val="auto"/>
          <w:sz w:val="22"/>
          <w:szCs w:val="22"/>
          <w:u w:val="single"/>
          <w:bdr w:val="none" w:sz="0" w:space="0" w:color="auto"/>
          <w:lang w:eastAsia="es-ES"/>
        </w:rPr>
      </w:pPr>
      <w:r w:rsidRPr="00FB3A30">
        <w:rPr>
          <w:rFonts w:eastAsia="Times"/>
          <w:color w:val="auto"/>
          <w:sz w:val="22"/>
          <w:szCs w:val="22"/>
          <w:bdr w:val="none" w:sz="0" w:space="0" w:color="auto"/>
          <w:lang w:eastAsia="es-ES"/>
        </w:rPr>
        <w:t xml:space="preserve">El 08 de marzo de </w:t>
      </w:r>
      <w:r w:rsidRPr="00FB3A30">
        <w:rPr>
          <w:rFonts w:eastAsia="Times"/>
          <w:b/>
          <w:color w:val="auto"/>
          <w:sz w:val="22"/>
          <w:szCs w:val="22"/>
          <w:bdr w:val="none" w:sz="0" w:space="0" w:color="auto"/>
          <w:lang w:eastAsia="es-ES"/>
        </w:rPr>
        <w:t>2018</w:t>
      </w:r>
      <w:r w:rsidRPr="00FB3A30">
        <w:rPr>
          <w:rFonts w:eastAsia="Times"/>
          <w:color w:val="auto"/>
          <w:sz w:val="22"/>
          <w:szCs w:val="22"/>
          <w:bdr w:val="none" w:sz="0" w:space="0" w:color="auto"/>
          <w:lang w:eastAsia="es-ES"/>
        </w:rPr>
        <w:t xml:space="preserve">, entra en vigor la Ley 9/2017, de 8 de noviembre, de Contratos del Sector Público, por la que se transponen al ordenamiento jurídico español las Directivas del Parlamento Europeo y del Consejo 2014/23/UE y 2014/24/UE, de 26 de febrero de 2014, a raíz de la cual, la contratación pública de </w:t>
      </w:r>
      <w:r w:rsidRPr="00FB3A30">
        <w:rPr>
          <w:rFonts w:eastAsia="Times"/>
          <w:b/>
          <w:color w:val="auto"/>
          <w:sz w:val="22"/>
          <w:szCs w:val="22"/>
          <w:bdr w:val="none" w:sz="0" w:space="0" w:color="auto"/>
          <w:lang w:eastAsia="es-ES"/>
        </w:rPr>
        <w:t>PROMOTUR</w:t>
      </w:r>
      <w:r w:rsidRPr="00FB3A30">
        <w:rPr>
          <w:rFonts w:eastAsia="Times"/>
          <w:color w:val="auto"/>
          <w:sz w:val="22"/>
          <w:szCs w:val="22"/>
          <w:bdr w:val="none" w:sz="0" w:space="0" w:color="auto"/>
          <w:lang w:eastAsia="es-ES"/>
        </w:rPr>
        <w:t xml:space="preserve">, se realiza conforme a dicha norma en cuanto </w:t>
      </w:r>
      <w:r w:rsidRPr="00FB3A30">
        <w:rPr>
          <w:rFonts w:eastAsia="Times"/>
          <w:b/>
          <w:color w:val="auto"/>
          <w:sz w:val="22"/>
          <w:szCs w:val="22"/>
          <w:u w:val="single"/>
          <w:bdr w:val="none" w:sz="0" w:space="0" w:color="auto"/>
          <w:lang w:eastAsia="es-ES"/>
        </w:rPr>
        <w:t>PROMOTUR</w:t>
      </w:r>
      <w:r w:rsidRPr="00FB3A30">
        <w:rPr>
          <w:rFonts w:eastAsia="Times"/>
          <w:color w:val="auto"/>
          <w:sz w:val="22"/>
          <w:szCs w:val="22"/>
          <w:u w:val="single"/>
          <w:bdr w:val="none" w:sz="0" w:space="0" w:color="auto"/>
          <w:lang w:eastAsia="es-ES"/>
        </w:rPr>
        <w:t xml:space="preserve"> tiene la consideración de Poder Adjudicador No Administración Pública (</w:t>
      </w:r>
      <w:r w:rsidRPr="00FB3A30">
        <w:rPr>
          <w:rFonts w:eastAsia="Times"/>
          <w:b/>
          <w:color w:val="auto"/>
          <w:sz w:val="22"/>
          <w:szCs w:val="22"/>
          <w:u w:val="single"/>
          <w:bdr w:val="none" w:sz="0" w:space="0" w:color="auto"/>
          <w:lang w:eastAsia="es-ES"/>
        </w:rPr>
        <w:t>PANAP)</w:t>
      </w:r>
      <w:r w:rsidRPr="00FB3A30">
        <w:rPr>
          <w:rFonts w:eastAsia="Times"/>
          <w:color w:val="auto"/>
          <w:sz w:val="22"/>
          <w:szCs w:val="22"/>
          <w:u w:val="single"/>
          <w:bdr w:val="none" w:sz="0" w:space="0" w:color="auto"/>
          <w:lang w:eastAsia="es-ES"/>
        </w:rPr>
        <w:t xml:space="preserve"> según el artículo 3.3.d) de dicha norma.</w:t>
      </w:r>
    </w:p>
    <w:p w14:paraId="3ED405B8"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w:color w:val="auto"/>
          <w:sz w:val="22"/>
          <w:szCs w:val="22"/>
          <w:bdr w:val="none" w:sz="0" w:space="0" w:color="auto"/>
          <w:lang w:eastAsia="es-ES"/>
        </w:rPr>
      </w:pPr>
    </w:p>
    <w:p w14:paraId="66EC2BEC" w14:textId="652D6D51"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w:color w:val="auto"/>
          <w:sz w:val="22"/>
          <w:szCs w:val="22"/>
          <w:bdr w:val="none" w:sz="0" w:space="0" w:color="auto"/>
          <w:lang w:eastAsia="es-ES"/>
        </w:rPr>
      </w:pPr>
      <w:r w:rsidRPr="00FB3A30">
        <w:rPr>
          <w:rFonts w:eastAsia="Times New Roman"/>
          <w:color w:val="auto"/>
          <w:sz w:val="22"/>
          <w:szCs w:val="22"/>
          <w:bdr w:val="none" w:sz="0" w:space="0" w:color="auto"/>
        </w:rPr>
        <w:t xml:space="preserve">Dentro de la normativa antes citada, se relacionan los distintos contratos licitados, adjudicados y/o formalizados por </w:t>
      </w:r>
      <w:r w:rsidRPr="00FB3A30">
        <w:rPr>
          <w:rFonts w:eastAsia="Times New Roman"/>
          <w:b/>
          <w:color w:val="auto"/>
          <w:sz w:val="22"/>
          <w:szCs w:val="22"/>
          <w:bdr w:val="none" w:sz="0" w:space="0" w:color="auto"/>
        </w:rPr>
        <w:t>PROMOTUR TURISMO CANARIAS, S.A.</w:t>
      </w:r>
      <w:r w:rsidRPr="00FB3A30">
        <w:rPr>
          <w:rFonts w:eastAsia="Times New Roman"/>
          <w:color w:val="auto"/>
          <w:sz w:val="22"/>
          <w:szCs w:val="22"/>
          <w:bdr w:val="none" w:sz="0" w:space="0" w:color="auto"/>
        </w:rPr>
        <w:t xml:space="preserve"> desde el </w:t>
      </w:r>
      <w:r w:rsidRPr="00FB3A30">
        <w:rPr>
          <w:rFonts w:eastAsia="Times New Roman"/>
          <w:b/>
          <w:color w:val="auto"/>
          <w:sz w:val="22"/>
          <w:szCs w:val="22"/>
          <w:u w:val="single"/>
          <w:bdr w:val="none" w:sz="0" w:space="0" w:color="auto"/>
        </w:rPr>
        <w:t>1 de enero de 20</w:t>
      </w:r>
      <w:r w:rsidR="00174505">
        <w:rPr>
          <w:rFonts w:eastAsia="Times New Roman"/>
          <w:b/>
          <w:color w:val="auto"/>
          <w:sz w:val="22"/>
          <w:szCs w:val="22"/>
          <w:u w:val="single"/>
          <w:bdr w:val="none" w:sz="0" w:space="0" w:color="auto"/>
        </w:rPr>
        <w:t>20</w:t>
      </w:r>
      <w:r w:rsidRPr="00FB3A30">
        <w:rPr>
          <w:rFonts w:eastAsia="Times New Roman"/>
          <w:b/>
          <w:color w:val="auto"/>
          <w:sz w:val="22"/>
          <w:szCs w:val="22"/>
          <w:u w:val="single"/>
          <w:bdr w:val="none" w:sz="0" w:space="0" w:color="auto"/>
        </w:rPr>
        <w:t xml:space="preserve"> al 31 de diciembre de 20</w:t>
      </w:r>
      <w:r w:rsidR="00174505">
        <w:rPr>
          <w:rFonts w:eastAsia="Times New Roman"/>
          <w:b/>
          <w:color w:val="auto"/>
          <w:sz w:val="22"/>
          <w:szCs w:val="22"/>
          <w:u w:val="single"/>
          <w:bdr w:val="none" w:sz="0" w:space="0" w:color="auto"/>
        </w:rPr>
        <w:t>20</w:t>
      </w:r>
      <w:r w:rsidRPr="00FB3A30">
        <w:rPr>
          <w:rFonts w:eastAsia="Times New Roman"/>
          <w:color w:val="auto"/>
          <w:sz w:val="22"/>
          <w:szCs w:val="22"/>
          <w:bdr w:val="none" w:sz="0" w:space="0" w:color="auto"/>
        </w:rPr>
        <w:t>:</w:t>
      </w:r>
    </w:p>
    <w:p w14:paraId="0D5DF2E6"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color w:val="auto"/>
          <w:sz w:val="22"/>
          <w:szCs w:val="22"/>
          <w:bdr w:val="none" w:sz="0" w:space="0" w:color="auto"/>
        </w:rPr>
      </w:pPr>
    </w:p>
    <w:tbl>
      <w:tblPr>
        <w:tblW w:w="4941" w:type="pct"/>
        <w:jc w:val="center"/>
        <w:tblCellMar>
          <w:left w:w="70" w:type="dxa"/>
          <w:right w:w="70" w:type="dxa"/>
        </w:tblCellMar>
        <w:tblLook w:val="04A0" w:firstRow="1" w:lastRow="0" w:firstColumn="1" w:lastColumn="0" w:noHBand="0" w:noVBand="1"/>
      </w:tblPr>
      <w:tblGrid>
        <w:gridCol w:w="4672"/>
        <w:gridCol w:w="1561"/>
        <w:gridCol w:w="2715"/>
      </w:tblGrid>
      <w:tr w:rsidR="00FB3A30" w:rsidRPr="00FB3A30" w14:paraId="38B859BB" w14:textId="77777777" w:rsidTr="00B27913">
        <w:trPr>
          <w:trHeight w:val="468"/>
          <w:tblHeader/>
          <w:jc w:val="center"/>
        </w:trPr>
        <w:tc>
          <w:tcPr>
            <w:tcW w:w="2611"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683C2630"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Times New Roman" w:eastAsia="Times New Roman" w:hAnsi="Times New Roman" w:cs="Times New Roman"/>
                <w:color w:val="auto"/>
                <w:sz w:val="20"/>
                <w:szCs w:val="20"/>
                <w:bdr w:val="none" w:sz="0" w:space="0" w:color="auto"/>
                <w:lang w:eastAsia="es-ES"/>
              </w:rPr>
            </w:pPr>
            <w:r w:rsidRPr="00FB3A30">
              <w:rPr>
                <w:rFonts w:ascii="Calibri" w:eastAsia="Times New Roman" w:hAnsi="Calibri" w:cs="Calibri"/>
                <w:b/>
                <w:bCs/>
                <w:sz w:val="20"/>
                <w:szCs w:val="20"/>
                <w:bdr w:val="none" w:sz="0" w:space="0" w:color="auto"/>
                <w:lang w:eastAsia="es-ES"/>
              </w:rPr>
              <w:t>Tipo de Contratación</w:t>
            </w:r>
          </w:p>
        </w:tc>
        <w:tc>
          <w:tcPr>
            <w:tcW w:w="872" w:type="pct"/>
            <w:vMerge w:val="restart"/>
            <w:tcBorders>
              <w:top w:val="single" w:sz="4" w:space="0" w:color="auto"/>
              <w:left w:val="single" w:sz="4" w:space="0" w:color="auto"/>
              <w:bottom w:val="single" w:sz="4" w:space="0" w:color="auto"/>
              <w:right w:val="nil"/>
            </w:tcBorders>
            <w:shd w:val="clear" w:color="auto" w:fill="B4C6E7" w:themeFill="accent1" w:themeFillTint="66"/>
            <w:noWrap/>
            <w:vAlign w:val="center"/>
            <w:hideMark/>
          </w:tcPr>
          <w:p w14:paraId="6691E7F6"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Times New Roman" w:eastAsia="Times New Roman" w:hAnsi="Times New Roman" w:cs="Times New Roman"/>
                <w:color w:val="auto"/>
                <w:sz w:val="20"/>
                <w:szCs w:val="20"/>
                <w:bdr w:val="none" w:sz="0" w:space="0" w:color="auto"/>
                <w:lang w:eastAsia="es-ES"/>
              </w:rPr>
            </w:pPr>
            <w:r w:rsidRPr="00FB3A30">
              <w:rPr>
                <w:rFonts w:ascii="Calibri" w:eastAsia="Times New Roman" w:hAnsi="Calibri" w:cs="Calibri"/>
                <w:b/>
                <w:bCs/>
                <w:sz w:val="20"/>
                <w:szCs w:val="20"/>
                <w:bdr w:val="none" w:sz="0" w:space="0" w:color="auto"/>
                <w:lang w:eastAsia="es-ES"/>
              </w:rPr>
              <w:t>Nº Contratos</w:t>
            </w:r>
          </w:p>
        </w:tc>
        <w:tc>
          <w:tcPr>
            <w:tcW w:w="1517" w:type="pct"/>
            <w:vMerge w:val="restart"/>
            <w:tcBorders>
              <w:top w:val="single" w:sz="4" w:space="0" w:color="auto"/>
              <w:left w:val="nil"/>
              <w:right w:val="single" w:sz="4" w:space="0" w:color="auto"/>
            </w:tcBorders>
            <w:shd w:val="clear" w:color="auto" w:fill="B4C6E7" w:themeFill="accent1" w:themeFillTint="66"/>
            <w:noWrap/>
            <w:vAlign w:val="center"/>
            <w:hideMark/>
          </w:tcPr>
          <w:p w14:paraId="067CB11F"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Calibri" w:eastAsia="Times New Roman" w:hAnsi="Calibri" w:cs="Calibri"/>
                <w:b/>
                <w:bCs/>
                <w:sz w:val="20"/>
                <w:szCs w:val="20"/>
                <w:bdr w:val="none" w:sz="0" w:space="0" w:color="auto"/>
                <w:lang w:eastAsia="es-ES"/>
              </w:rPr>
            </w:pPr>
            <w:r w:rsidRPr="00FB3A30">
              <w:rPr>
                <w:rFonts w:ascii="Calibri" w:eastAsia="Times New Roman" w:hAnsi="Calibri" w:cs="Calibri"/>
                <w:b/>
                <w:bCs/>
                <w:sz w:val="20"/>
                <w:szCs w:val="20"/>
                <w:bdr w:val="none" w:sz="0" w:space="0" w:color="auto"/>
                <w:lang w:eastAsia="es-ES"/>
              </w:rPr>
              <w:t>Total</w:t>
            </w:r>
          </w:p>
          <w:p w14:paraId="78A3A330"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Calibri" w:eastAsia="Times New Roman" w:hAnsi="Calibri" w:cs="Calibri"/>
                <w:b/>
                <w:bCs/>
                <w:sz w:val="20"/>
                <w:szCs w:val="20"/>
                <w:bdr w:val="none" w:sz="0" w:space="0" w:color="auto"/>
                <w:lang w:eastAsia="es-ES"/>
              </w:rPr>
            </w:pPr>
            <w:r w:rsidRPr="00FB3A30">
              <w:rPr>
                <w:rFonts w:ascii="Calibri" w:eastAsia="Times New Roman" w:hAnsi="Calibri" w:cs="Calibri"/>
                <w:b/>
                <w:bCs/>
                <w:sz w:val="20"/>
                <w:szCs w:val="20"/>
                <w:bdr w:val="none" w:sz="0" w:space="0" w:color="auto"/>
                <w:lang w:eastAsia="es-ES"/>
              </w:rPr>
              <w:t>Importes</w:t>
            </w:r>
          </w:p>
        </w:tc>
      </w:tr>
      <w:tr w:rsidR="00FB3A30" w:rsidRPr="00FB3A30" w14:paraId="40744E29" w14:textId="77777777" w:rsidTr="00B27913">
        <w:trPr>
          <w:trHeight w:val="468"/>
          <w:tblHeader/>
          <w:jc w:val="center"/>
        </w:trPr>
        <w:tc>
          <w:tcPr>
            <w:tcW w:w="2611" w:type="pct"/>
            <w:vMerge/>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135726FD"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Calibri" w:eastAsia="Times New Roman" w:hAnsi="Calibri" w:cs="Calibri"/>
                <w:b/>
                <w:bCs/>
                <w:sz w:val="20"/>
                <w:szCs w:val="20"/>
                <w:bdr w:val="none" w:sz="0" w:space="0" w:color="auto"/>
                <w:lang w:eastAsia="es-ES"/>
              </w:rPr>
            </w:pPr>
          </w:p>
        </w:tc>
        <w:tc>
          <w:tcPr>
            <w:tcW w:w="872" w:type="pct"/>
            <w:vMerge/>
            <w:tcBorders>
              <w:left w:val="single" w:sz="4" w:space="0" w:color="auto"/>
              <w:bottom w:val="single" w:sz="4" w:space="0" w:color="auto"/>
              <w:right w:val="single" w:sz="4" w:space="0" w:color="auto"/>
            </w:tcBorders>
            <w:shd w:val="clear" w:color="auto" w:fill="B4C6E7" w:themeFill="accent1" w:themeFillTint="66"/>
            <w:noWrap/>
            <w:vAlign w:val="center"/>
            <w:hideMark/>
          </w:tcPr>
          <w:p w14:paraId="117F7967"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Calibri" w:eastAsia="Times New Roman" w:hAnsi="Calibri" w:cs="Calibri"/>
                <w:b/>
                <w:bCs/>
                <w:sz w:val="20"/>
                <w:szCs w:val="20"/>
                <w:bdr w:val="none" w:sz="0" w:space="0" w:color="auto"/>
                <w:lang w:eastAsia="es-ES"/>
              </w:rPr>
            </w:pPr>
          </w:p>
        </w:tc>
        <w:tc>
          <w:tcPr>
            <w:tcW w:w="1517" w:type="pct"/>
            <w:vMerge/>
            <w:tcBorders>
              <w:left w:val="nil"/>
              <w:bottom w:val="single" w:sz="4" w:space="0" w:color="auto"/>
              <w:right w:val="single" w:sz="4" w:space="0" w:color="auto"/>
            </w:tcBorders>
            <w:shd w:val="clear" w:color="auto" w:fill="B4C6E7" w:themeFill="accent1" w:themeFillTint="66"/>
            <w:noWrap/>
            <w:vAlign w:val="center"/>
            <w:hideMark/>
          </w:tcPr>
          <w:p w14:paraId="62610E73"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Calibri" w:eastAsia="Times New Roman" w:hAnsi="Calibri" w:cs="Calibri"/>
                <w:b/>
                <w:bCs/>
                <w:sz w:val="20"/>
                <w:szCs w:val="20"/>
                <w:bdr w:val="none" w:sz="0" w:space="0" w:color="auto"/>
                <w:lang w:eastAsia="es-ES"/>
              </w:rPr>
            </w:pPr>
          </w:p>
        </w:tc>
      </w:tr>
      <w:tr w:rsidR="00FB3A30" w:rsidRPr="00FB3A30" w14:paraId="7F1C51DE" w14:textId="77777777" w:rsidTr="00B27913">
        <w:trPr>
          <w:trHeight w:val="288"/>
          <w:jc w:val="center"/>
        </w:trPr>
        <w:tc>
          <w:tcPr>
            <w:tcW w:w="2611" w:type="pct"/>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48E74273" w14:textId="6A93D5B8"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b/>
                <w:bCs/>
                <w:sz w:val="22"/>
                <w:szCs w:val="22"/>
                <w:bdr w:val="none" w:sz="0" w:space="0" w:color="auto"/>
                <w:lang w:eastAsia="es-ES"/>
              </w:rPr>
            </w:pPr>
            <w:r w:rsidRPr="00FB3A30">
              <w:rPr>
                <w:rFonts w:ascii="Calibri" w:eastAsia="Times New Roman" w:hAnsi="Calibri" w:cs="Calibri"/>
                <w:b/>
                <w:bCs/>
                <w:sz w:val="22"/>
                <w:szCs w:val="22"/>
                <w:bdr w:val="none" w:sz="0" w:space="0" w:color="auto"/>
                <w:lang w:eastAsia="es-ES"/>
              </w:rPr>
              <w:t>LCSP - Contratos Servicios</w:t>
            </w:r>
            <w:r w:rsidR="00B27913">
              <w:rPr>
                <w:rFonts w:ascii="Calibri" w:eastAsia="Times New Roman" w:hAnsi="Calibri" w:cs="Calibri"/>
                <w:b/>
                <w:bCs/>
                <w:sz w:val="22"/>
                <w:szCs w:val="22"/>
                <w:bdr w:val="none" w:sz="0" w:space="0" w:color="auto"/>
                <w:lang w:eastAsia="es-ES"/>
              </w:rPr>
              <w:t>, Suministros y Obras</w:t>
            </w:r>
          </w:p>
        </w:tc>
        <w:tc>
          <w:tcPr>
            <w:tcW w:w="872" w:type="pct"/>
            <w:tcBorders>
              <w:top w:val="nil"/>
              <w:left w:val="nil"/>
              <w:bottom w:val="single" w:sz="4" w:space="0" w:color="auto"/>
              <w:right w:val="single" w:sz="4" w:space="0" w:color="auto"/>
            </w:tcBorders>
            <w:shd w:val="clear" w:color="auto" w:fill="D9E2F3" w:themeFill="accent1" w:themeFillTint="33"/>
            <w:noWrap/>
            <w:vAlign w:val="bottom"/>
          </w:tcPr>
          <w:p w14:paraId="6AED2186"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b/>
                <w:bCs/>
                <w:sz w:val="22"/>
                <w:szCs w:val="22"/>
                <w:bdr w:val="none" w:sz="0" w:space="0" w:color="auto"/>
                <w:lang w:eastAsia="es-ES"/>
              </w:rPr>
            </w:pPr>
          </w:p>
        </w:tc>
        <w:tc>
          <w:tcPr>
            <w:tcW w:w="1517" w:type="pct"/>
            <w:tcBorders>
              <w:top w:val="nil"/>
              <w:left w:val="nil"/>
              <w:bottom w:val="single" w:sz="4" w:space="0" w:color="auto"/>
              <w:right w:val="single" w:sz="4" w:space="0" w:color="auto"/>
            </w:tcBorders>
            <w:shd w:val="clear" w:color="auto" w:fill="D9E2F3" w:themeFill="accent1" w:themeFillTint="33"/>
            <w:noWrap/>
            <w:vAlign w:val="bottom"/>
          </w:tcPr>
          <w:p w14:paraId="262BF32A"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b/>
                <w:bCs/>
                <w:sz w:val="22"/>
                <w:szCs w:val="22"/>
                <w:bdr w:val="none" w:sz="0" w:space="0" w:color="auto"/>
                <w:lang w:eastAsia="es-ES"/>
              </w:rPr>
            </w:pPr>
          </w:p>
        </w:tc>
      </w:tr>
      <w:tr w:rsidR="00FB3A30" w:rsidRPr="00FB3A30" w14:paraId="2DC30AE8" w14:textId="77777777" w:rsidTr="00B27913">
        <w:trPr>
          <w:trHeight w:val="288"/>
          <w:jc w:val="center"/>
        </w:trPr>
        <w:tc>
          <w:tcPr>
            <w:tcW w:w="2611" w:type="pct"/>
            <w:tcBorders>
              <w:top w:val="nil"/>
              <w:left w:val="single" w:sz="4" w:space="0" w:color="auto"/>
              <w:bottom w:val="single" w:sz="4" w:space="0" w:color="auto"/>
              <w:right w:val="single" w:sz="4" w:space="0" w:color="auto"/>
            </w:tcBorders>
            <w:shd w:val="clear" w:color="auto" w:fill="auto"/>
            <w:noWrap/>
            <w:vAlign w:val="bottom"/>
            <w:hideMark/>
          </w:tcPr>
          <w:p w14:paraId="7C7DBA04"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sz w:val="22"/>
                <w:szCs w:val="22"/>
                <w:bdr w:val="none" w:sz="0" w:space="0" w:color="auto"/>
                <w:lang w:eastAsia="es-ES"/>
              </w:rPr>
            </w:pPr>
            <w:r w:rsidRPr="00FB3A30">
              <w:rPr>
                <w:rFonts w:ascii="Calibri" w:eastAsia="Times New Roman" w:hAnsi="Calibri" w:cs="Calibri"/>
                <w:sz w:val="22"/>
                <w:szCs w:val="22"/>
                <w:bdr w:val="none" w:sz="0" w:space="0" w:color="auto"/>
                <w:lang w:eastAsia="es-ES"/>
              </w:rPr>
              <w:t>CM-BS</w:t>
            </w:r>
          </w:p>
        </w:tc>
        <w:tc>
          <w:tcPr>
            <w:tcW w:w="872" w:type="pct"/>
            <w:tcBorders>
              <w:top w:val="nil"/>
              <w:left w:val="nil"/>
              <w:bottom w:val="single" w:sz="4" w:space="0" w:color="auto"/>
              <w:right w:val="single" w:sz="4" w:space="0" w:color="auto"/>
            </w:tcBorders>
            <w:shd w:val="clear" w:color="auto" w:fill="auto"/>
            <w:noWrap/>
            <w:vAlign w:val="bottom"/>
          </w:tcPr>
          <w:p w14:paraId="7E561BC4"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sidRPr="00FB3A30">
              <w:rPr>
                <w:rFonts w:ascii="Calibri" w:eastAsia="Times New Roman" w:hAnsi="Calibri" w:cs="Calibri"/>
                <w:sz w:val="22"/>
                <w:szCs w:val="22"/>
                <w:bdr w:val="none" w:sz="0" w:space="0" w:color="auto"/>
                <w:lang w:eastAsia="es-ES"/>
              </w:rPr>
              <w:t>1</w:t>
            </w:r>
          </w:p>
        </w:tc>
        <w:tc>
          <w:tcPr>
            <w:tcW w:w="1517" w:type="pct"/>
            <w:tcBorders>
              <w:top w:val="nil"/>
              <w:left w:val="nil"/>
              <w:bottom w:val="single" w:sz="4" w:space="0" w:color="auto"/>
              <w:right w:val="single" w:sz="4" w:space="0" w:color="auto"/>
            </w:tcBorders>
            <w:shd w:val="clear" w:color="auto" w:fill="auto"/>
            <w:noWrap/>
            <w:vAlign w:val="bottom"/>
          </w:tcPr>
          <w:p w14:paraId="48743932" w14:textId="7B9D1B65" w:rsidR="00FB3A30" w:rsidRPr="00FB3A30" w:rsidRDefault="00B27913"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Pr>
                <w:rFonts w:ascii="Calibri" w:eastAsia="Times New Roman" w:hAnsi="Calibri" w:cs="Calibri"/>
                <w:sz w:val="22"/>
                <w:szCs w:val="22"/>
                <w:bdr w:val="none" w:sz="0" w:space="0" w:color="auto"/>
                <w:lang w:eastAsia="es-ES"/>
              </w:rPr>
              <w:t>2.323,29</w:t>
            </w:r>
            <w:r w:rsidR="00FB3A30" w:rsidRPr="00FB3A30">
              <w:rPr>
                <w:rFonts w:ascii="Calibri" w:eastAsia="Times New Roman" w:hAnsi="Calibri" w:cs="Calibri"/>
                <w:sz w:val="22"/>
                <w:szCs w:val="22"/>
                <w:bdr w:val="none" w:sz="0" w:space="0" w:color="auto"/>
                <w:lang w:eastAsia="es-ES"/>
              </w:rPr>
              <w:t>€</w:t>
            </w:r>
          </w:p>
        </w:tc>
      </w:tr>
      <w:tr w:rsidR="00FB3A30" w:rsidRPr="00FB3A30" w14:paraId="75D5C52E" w14:textId="77777777" w:rsidTr="00B27913">
        <w:trPr>
          <w:trHeight w:val="288"/>
          <w:jc w:val="center"/>
        </w:trPr>
        <w:tc>
          <w:tcPr>
            <w:tcW w:w="2611" w:type="pct"/>
            <w:tcBorders>
              <w:top w:val="nil"/>
              <w:left w:val="single" w:sz="4" w:space="0" w:color="auto"/>
              <w:bottom w:val="single" w:sz="4" w:space="0" w:color="auto"/>
              <w:right w:val="single" w:sz="4" w:space="0" w:color="auto"/>
            </w:tcBorders>
            <w:shd w:val="clear" w:color="auto" w:fill="auto"/>
            <w:noWrap/>
            <w:vAlign w:val="bottom"/>
          </w:tcPr>
          <w:p w14:paraId="2E8634A8" w14:textId="34453576"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sz w:val="22"/>
                <w:szCs w:val="22"/>
                <w:bdr w:val="none" w:sz="0" w:space="0" w:color="auto"/>
                <w:lang w:eastAsia="es-ES"/>
              </w:rPr>
            </w:pPr>
            <w:r w:rsidRPr="00FB3A30">
              <w:rPr>
                <w:rFonts w:ascii="Calibri" w:eastAsia="Times New Roman" w:hAnsi="Calibri" w:cs="Calibri"/>
                <w:sz w:val="22"/>
                <w:szCs w:val="22"/>
                <w:bdr w:val="none" w:sz="0" w:space="0" w:color="auto"/>
                <w:lang w:eastAsia="es-ES"/>
              </w:rPr>
              <w:t>CM</w:t>
            </w:r>
            <w:r w:rsidR="00B27913">
              <w:rPr>
                <w:rFonts w:ascii="Calibri" w:eastAsia="Times New Roman" w:hAnsi="Calibri" w:cs="Calibri"/>
                <w:sz w:val="22"/>
                <w:szCs w:val="22"/>
                <w:bdr w:val="none" w:sz="0" w:space="0" w:color="auto"/>
                <w:lang w:eastAsia="es-ES"/>
              </w:rPr>
              <w:t xml:space="preserve"> (servicios)</w:t>
            </w:r>
          </w:p>
        </w:tc>
        <w:tc>
          <w:tcPr>
            <w:tcW w:w="872" w:type="pct"/>
            <w:tcBorders>
              <w:top w:val="nil"/>
              <w:left w:val="nil"/>
              <w:bottom w:val="single" w:sz="4" w:space="0" w:color="auto"/>
              <w:right w:val="single" w:sz="4" w:space="0" w:color="auto"/>
            </w:tcBorders>
            <w:shd w:val="clear" w:color="auto" w:fill="auto"/>
            <w:noWrap/>
            <w:vAlign w:val="bottom"/>
          </w:tcPr>
          <w:p w14:paraId="6D9EEAB8" w14:textId="1850F740" w:rsidR="00FB3A30" w:rsidRPr="00FB3A30" w:rsidRDefault="00B27913"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Pr>
                <w:rFonts w:ascii="Calibri" w:eastAsia="Times New Roman" w:hAnsi="Calibri" w:cs="Calibri"/>
                <w:sz w:val="22"/>
                <w:szCs w:val="22"/>
                <w:bdr w:val="none" w:sz="0" w:space="0" w:color="auto"/>
                <w:lang w:eastAsia="es-ES"/>
              </w:rPr>
              <w:t>74</w:t>
            </w:r>
          </w:p>
        </w:tc>
        <w:tc>
          <w:tcPr>
            <w:tcW w:w="1517" w:type="pct"/>
            <w:tcBorders>
              <w:top w:val="nil"/>
              <w:left w:val="nil"/>
              <w:bottom w:val="single" w:sz="4" w:space="0" w:color="auto"/>
              <w:right w:val="single" w:sz="4" w:space="0" w:color="auto"/>
            </w:tcBorders>
            <w:shd w:val="clear" w:color="auto" w:fill="auto"/>
            <w:noWrap/>
            <w:vAlign w:val="bottom"/>
          </w:tcPr>
          <w:p w14:paraId="049F7EF2" w14:textId="6942AEFF" w:rsidR="00FB3A30" w:rsidRPr="00FB3A30" w:rsidRDefault="00B27913"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Pr>
                <w:rFonts w:ascii="Calibri" w:eastAsia="Times New Roman" w:hAnsi="Calibri" w:cs="Calibri"/>
                <w:sz w:val="22"/>
                <w:szCs w:val="22"/>
                <w:bdr w:val="none" w:sz="0" w:space="0" w:color="auto"/>
                <w:lang w:eastAsia="es-ES"/>
              </w:rPr>
              <w:t>552.672,74</w:t>
            </w:r>
            <w:r w:rsidR="00FB3A30" w:rsidRPr="00FB3A30">
              <w:rPr>
                <w:rFonts w:ascii="Calibri" w:eastAsia="Times New Roman" w:hAnsi="Calibri" w:cs="Calibri"/>
                <w:sz w:val="22"/>
                <w:szCs w:val="22"/>
                <w:bdr w:val="none" w:sz="0" w:space="0" w:color="auto"/>
                <w:lang w:eastAsia="es-ES"/>
              </w:rPr>
              <w:t>€</w:t>
            </w:r>
          </w:p>
        </w:tc>
      </w:tr>
      <w:tr w:rsidR="00B27913" w:rsidRPr="00FB3A30" w14:paraId="03A6DA2E" w14:textId="77777777" w:rsidTr="00B27913">
        <w:trPr>
          <w:trHeight w:val="288"/>
          <w:jc w:val="center"/>
        </w:trPr>
        <w:tc>
          <w:tcPr>
            <w:tcW w:w="2611" w:type="pct"/>
            <w:tcBorders>
              <w:top w:val="nil"/>
              <w:left w:val="single" w:sz="4" w:space="0" w:color="auto"/>
              <w:bottom w:val="single" w:sz="4" w:space="0" w:color="auto"/>
              <w:right w:val="single" w:sz="4" w:space="0" w:color="auto"/>
            </w:tcBorders>
            <w:shd w:val="clear" w:color="auto" w:fill="auto"/>
            <w:noWrap/>
            <w:vAlign w:val="bottom"/>
          </w:tcPr>
          <w:p w14:paraId="2BDECB94" w14:textId="439C06B1" w:rsidR="00B27913" w:rsidRPr="00FB3A30" w:rsidRDefault="00B27913" w:rsidP="00FB3A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sz w:val="22"/>
                <w:szCs w:val="22"/>
                <w:bdr w:val="none" w:sz="0" w:space="0" w:color="auto"/>
                <w:lang w:eastAsia="es-ES"/>
              </w:rPr>
            </w:pPr>
            <w:r>
              <w:rPr>
                <w:rFonts w:ascii="Calibri" w:eastAsia="Times New Roman" w:hAnsi="Calibri" w:cs="Calibri"/>
                <w:sz w:val="22"/>
                <w:szCs w:val="22"/>
                <w:bdr w:val="none" w:sz="0" w:space="0" w:color="auto"/>
                <w:lang w:eastAsia="es-ES"/>
              </w:rPr>
              <w:t>CM (suministros)</w:t>
            </w:r>
          </w:p>
        </w:tc>
        <w:tc>
          <w:tcPr>
            <w:tcW w:w="872" w:type="pct"/>
            <w:tcBorders>
              <w:top w:val="nil"/>
              <w:left w:val="nil"/>
              <w:bottom w:val="single" w:sz="4" w:space="0" w:color="auto"/>
              <w:right w:val="single" w:sz="4" w:space="0" w:color="auto"/>
            </w:tcBorders>
            <w:shd w:val="clear" w:color="auto" w:fill="auto"/>
            <w:noWrap/>
            <w:vAlign w:val="bottom"/>
          </w:tcPr>
          <w:p w14:paraId="1D34B5C0" w14:textId="752A1994" w:rsidR="00B27913" w:rsidRPr="00FB3A30" w:rsidRDefault="00B27913"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Pr>
                <w:rFonts w:ascii="Calibri" w:eastAsia="Times New Roman" w:hAnsi="Calibri" w:cs="Calibri"/>
                <w:sz w:val="22"/>
                <w:szCs w:val="22"/>
                <w:bdr w:val="none" w:sz="0" w:space="0" w:color="auto"/>
                <w:lang w:eastAsia="es-ES"/>
              </w:rPr>
              <w:t>2</w:t>
            </w:r>
          </w:p>
        </w:tc>
        <w:tc>
          <w:tcPr>
            <w:tcW w:w="1517" w:type="pct"/>
            <w:tcBorders>
              <w:top w:val="nil"/>
              <w:left w:val="nil"/>
              <w:bottom w:val="single" w:sz="4" w:space="0" w:color="auto"/>
              <w:right w:val="single" w:sz="4" w:space="0" w:color="auto"/>
            </w:tcBorders>
            <w:shd w:val="clear" w:color="auto" w:fill="auto"/>
            <w:noWrap/>
            <w:vAlign w:val="bottom"/>
          </w:tcPr>
          <w:p w14:paraId="0A2D3715" w14:textId="22735B12" w:rsidR="00B27913" w:rsidRPr="00FB3A30" w:rsidRDefault="00B27913"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Pr>
                <w:rFonts w:ascii="Calibri" w:eastAsia="Times New Roman" w:hAnsi="Calibri" w:cs="Calibri"/>
                <w:sz w:val="22"/>
                <w:szCs w:val="22"/>
                <w:bdr w:val="none" w:sz="0" w:space="0" w:color="auto"/>
                <w:lang w:eastAsia="es-ES"/>
              </w:rPr>
              <w:t>27.351,20€</w:t>
            </w:r>
          </w:p>
        </w:tc>
      </w:tr>
      <w:tr w:rsidR="00B27913" w:rsidRPr="00FB3A30" w14:paraId="428C7F43" w14:textId="77777777" w:rsidTr="00B27913">
        <w:trPr>
          <w:trHeight w:val="288"/>
          <w:jc w:val="center"/>
        </w:trPr>
        <w:tc>
          <w:tcPr>
            <w:tcW w:w="2611" w:type="pct"/>
            <w:tcBorders>
              <w:top w:val="nil"/>
              <w:left w:val="single" w:sz="4" w:space="0" w:color="auto"/>
              <w:bottom w:val="single" w:sz="4" w:space="0" w:color="auto"/>
              <w:right w:val="single" w:sz="4" w:space="0" w:color="auto"/>
            </w:tcBorders>
            <w:shd w:val="clear" w:color="auto" w:fill="auto"/>
            <w:noWrap/>
            <w:vAlign w:val="bottom"/>
          </w:tcPr>
          <w:p w14:paraId="6CA27AA1" w14:textId="28387928" w:rsidR="00B27913" w:rsidRPr="00FB3A30" w:rsidRDefault="00B27913" w:rsidP="00FB3A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sz w:val="22"/>
                <w:szCs w:val="22"/>
                <w:bdr w:val="none" w:sz="0" w:space="0" w:color="auto"/>
                <w:lang w:eastAsia="es-ES"/>
              </w:rPr>
            </w:pPr>
            <w:r>
              <w:rPr>
                <w:rFonts w:ascii="Calibri" w:eastAsia="Times New Roman" w:hAnsi="Calibri" w:cs="Calibri"/>
                <w:sz w:val="22"/>
                <w:szCs w:val="22"/>
                <w:bdr w:val="none" w:sz="0" w:space="0" w:color="auto"/>
                <w:lang w:eastAsia="es-ES"/>
              </w:rPr>
              <w:t>CM (obras)</w:t>
            </w:r>
          </w:p>
        </w:tc>
        <w:tc>
          <w:tcPr>
            <w:tcW w:w="872" w:type="pct"/>
            <w:tcBorders>
              <w:top w:val="nil"/>
              <w:left w:val="nil"/>
              <w:bottom w:val="single" w:sz="4" w:space="0" w:color="auto"/>
              <w:right w:val="single" w:sz="4" w:space="0" w:color="auto"/>
            </w:tcBorders>
            <w:shd w:val="clear" w:color="auto" w:fill="auto"/>
            <w:noWrap/>
            <w:vAlign w:val="bottom"/>
          </w:tcPr>
          <w:p w14:paraId="3047516C" w14:textId="6B243FF8" w:rsidR="00B27913" w:rsidRPr="00FB3A30" w:rsidRDefault="00B27913"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Pr>
                <w:rFonts w:ascii="Calibri" w:eastAsia="Times New Roman" w:hAnsi="Calibri" w:cs="Calibri"/>
                <w:sz w:val="22"/>
                <w:szCs w:val="22"/>
                <w:bdr w:val="none" w:sz="0" w:space="0" w:color="auto"/>
                <w:lang w:eastAsia="es-ES"/>
              </w:rPr>
              <w:t>1</w:t>
            </w:r>
          </w:p>
        </w:tc>
        <w:tc>
          <w:tcPr>
            <w:tcW w:w="1517" w:type="pct"/>
            <w:tcBorders>
              <w:top w:val="nil"/>
              <w:left w:val="nil"/>
              <w:bottom w:val="single" w:sz="4" w:space="0" w:color="auto"/>
              <w:right w:val="single" w:sz="4" w:space="0" w:color="auto"/>
            </w:tcBorders>
            <w:shd w:val="clear" w:color="auto" w:fill="auto"/>
            <w:noWrap/>
            <w:vAlign w:val="bottom"/>
          </w:tcPr>
          <w:p w14:paraId="3B0B7B78" w14:textId="7A4425EC" w:rsidR="00B27913" w:rsidRPr="00FB3A30" w:rsidRDefault="00B27913"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Pr>
                <w:rFonts w:ascii="Calibri" w:eastAsia="Times New Roman" w:hAnsi="Calibri" w:cs="Calibri"/>
                <w:sz w:val="22"/>
                <w:szCs w:val="22"/>
                <w:bdr w:val="none" w:sz="0" w:space="0" w:color="auto"/>
                <w:lang w:eastAsia="es-ES"/>
              </w:rPr>
              <w:t>24.161,20€</w:t>
            </w:r>
          </w:p>
        </w:tc>
      </w:tr>
      <w:tr w:rsidR="00FB3A30" w:rsidRPr="00FB3A30" w14:paraId="1F6B7B7F" w14:textId="77777777" w:rsidTr="00B27913">
        <w:trPr>
          <w:trHeight w:val="288"/>
          <w:jc w:val="center"/>
        </w:trPr>
        <w:tc>
          <w:tcPr>
            <w:tcW w:w="2611" w:type="pct"/>
            <w:tcBorders>
              <w:top w:val="nil"/>
              <w:left w:val="single" w:sz="4" w:space="0" w:color="auto"/>
              <w:bottom w:val="single" w:sz="4" w:space="0" w:color="auto"/>
              <w:right w:val="single" w:sz="4" w:space="0" w:color="auto"/>
            </w:tcBorders>
            <w:shd w:val="clear" w:color="auto" w:fill="auto"/>
            <w:noWrap/>
            <w:vAlign w:val="bottom"/>
            <w:hideMark/>
          </w:tcPr>
          <w:p w14:paraId="24FA698D" w14:textId="30DAB868"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sz w:val="22"/>
                <w:szCs w:val="22"/>
                <w:bdr w:val="none" w:sz="0" w:space="0" w:color="auto"/>
                <w:lang w:eastAsia="es-ES"/>
              </w:rPr>
            </w:pPr>
            <w:r w:rsidRPr="00FB3A30">
              <w:rPr>
                <w:rFonts w:ascii="Calibri" w:eastAsia="Times New Roman" w:hAnsi="Calibri" w:cs="Calibri"/>
                <w:sz w:val="22"/>
                <w:szCs w:val="22"/>
                <w:bdr w:val="none" w:sz="0" w:space="0" w:color="auto"/>
                <w:lang w:eastAsia="es-ES"/>
              </w:rPr>
              <w:t>N</w:t>
            </w:r>
            <w:r w:rsidR="00B27913">
              <w:rPr>
                <w:rFonts w:ascii="Calibri" w:eastAsia="Times New Roman" w:hAnsi="Calibri" w:cs="Calibri"/>
                <w:sz w:val="22"/>
                <w:szCs w:val="22"/>
                <w:bdr w:val="none" w:sz="0" w:space="0" w:color="auto"/>
                <w:lang w:eastAsia="es-ES"/>
              </w:rPr>
              <w:t>egociado sin Publicidad</w:t>
            </w:r>
          </w:p>
        </w:tc>
        <w:tc>
          <w:tcPr>
            <w:tcW w:w="872" w:type="pct"/>
            <w:tcBorders>
              <w:top w:val="nil"/>
              <w:left w:val="nil"/>
              <w:bottom w:val="single" w:sz="4" w:space="0" w:color="auto"/>
              <w:right w:val="single" w:sz="4" w:space="0" w:color="auto"/>
            </w:tcBorders>
            <w:shd w:val="clear" w:color="auto" w:fill="auto"/>
            <w:noWrap/>
            <w:vAlign w:val="bottom"/>
          </w:tcPr>
          <w:p w14:paraId="35B0192B" w14:textId="2F6E197E" w:rsidR="00FB3A30" w:rsidRPr="00FB3A30" w:rsidRDefault="00B27913"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Pr>
                <w:rFonts w:ascii="Calibri" w:eastAsia="Times New Roman" w:hAnsi="Calibri" w:cs="Calibri"/>
                <w:sz w:val="22"/>
                <w:szCs w:val="22"/>
                <w:bdr w:val="none" w:sz="0" w:space="0" w:color="auto"/>
                <w:lang w:eastAsia="es-ES"/>
              </w:rPr>
              <w:t>5 prórrogas</w:t>
            </w:r>
          </w:p>
        </w:tc>
        <w:tc>
          <w:tcPr>
            <w:tcW w:w="1517" w:type="pct"/>
            <w:tcBorders>
              <w:top w:val="nil"/>
              <w:left w:val="nil"/>
              <w:bottom w:val="single" w:sz="4" w:space="0" w:color="auto"/>
              <w:right w:val="single" w:sz="4" w:space="0" w:color="auto"/>
            </w:tcBorders>
            <w:shd w:val="clear" w:color="auto" w:fill="auto"/>
            <w:noWrap/>
            <w:vAlign w:val="bottom"/>
          </w:tcPr>
          <w:p w14:paraId="3FC26362" w14:textId="5C92EC98" w:rsidR="00FB3A30" w:rsidRPr="00FB3A30" w:rsidRDefault="00B27913"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Pr>
                <w:rFonts w:ascii="Calibri" w:eastAsia="Times New Roman" w:hAnsi="Calibri" w:cs="Calibri"/>
                <w:sz w:val="22"/>
                <w:szCs w:val="22"/>
                <w:bdr w:val="none" w:sz="0" w:space="0" w:color="auto"/>
                <w:lang w:eastAsia="es-ES"/>
              </w:rPr>
              <w:t>42.267,00€</w:t>
            </w:r>
          </w:p>
        </w:tc>
      </w:tr>
      <w:tr w:rsidR="00B27913" w:rsidRPr="00FB3A30" w14:paraId="3998BF6C" w14:textId="77777777" w:rsidTr="00B27913">
        <w:trPr>
          <w:trHeight w:val="288"/>
          <w:jc w:val="center"/>
        </w:trPr>
        <w:tc>
          <w:tcPr>
            <w:tcW w:w="2611" w:type="pct"/>
            <w:tcBorders>
              <w:top w:val="nil"/>
              <w:left w:val="single" w:sz="4" w:space="0" w:color="auto"/>
              <w:bottom w:val="single" w:sz="4" w:space="0" w:color="auto"/>
              <w:right w:val="single" w:sz="4" w:space="0" w:color="auto"/>
            </w:tcBorders>
            <w:shd w:val="clear" w:color="auto" w:fill="auto"/>
            <w:noWrap/>
            <w:vAlign w:val="bottom"/>
          </w:tcPr>
          <w:p w14:paraId="44D8CF70" w14:textId="70302EF3" w:rsidR="00B27913" w:rsidRPr="00FB3A30" w:rsidRDefault="00B27913" w:rsidP="00FB3A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sz w:val="22"/>
                <w:szCs w:val="22"/>
                <w:bdr w:val="none" w:sz="0" w:space="0" w:color="auto"/>
                <w:lang w:eastAsia="es-ES"/>
              </w:rPr>
            </w:pPr>
            <w:r>
              <w:rPr>
                <w:rFonts w:ascii="Calibri" w:eastAsia="Times New Roman" w:hAnsi="Calibri" w:cs="Calibri"/>
                <w:sz w:val="22"/>
                <w:szCs w:val="22"/>
                <w:bdr w:val="none" w:sz="0" w:space="0" w:color="auto"/>
                <w:lang w:eastAsia="es-ES"/>
              </w:rPr>
              <w:t>Negociado por Emergencia</w:t>
            </w:r>
          </w:p>
        </w:tc>
        <w:tc>
          <w:tcPr>
            <w:tcW w:w="872" w:type="pct"/>
            <w:tcBorders>
              <w:top w:val="nil"/>
              <w:left w:val="nil"/>
              <w:bottom w:val="single" w:sz="4" w:space="0" w:color="auto"/>
              <w:right w:val="single" w:sz="4" w:space="0" w:color="auto"/>
            </w:tcBorders>
            <w:shd w:val="clear" w:color="auto" w:fill="auto"/>
            <w:noWrap/>
            <w:vAlign w:val="bottom"/>
          </w:tcPr>
          <w:p w14:paraId="4C9ADEBE" w14:textId="2DD4D243" w:rsidR="00B27913" w:rsidRPr="00FB3A30" w:rsidRDefault="00B27913"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Pr>
                <w:rFonts w:ascii="Calibri" w:eastAsia="Times New Roman" w:hAnsi="Calibri" w:cs="Calibri"/>
                <w:sz w:val="22"/>
                <w:szCs w:val="22"/>
                <w:bdr w:val="none" w:sz="0" w:space="0" w:color="auto"/>
                <w:lang w:eastAsia="es-ES"/>
              </w:rPr>
              <w:t>2</w:t>
            </w:r>
          </w:p>
        </w:tc>
        <w:tc>
          <w:tcPr>
            <w:tcW w:w="1517" w:type="pct"/>
            <w:tcBorders>
              <w:top w:val="nil"/>
              <w:left w:val="nil"/>
              <w:bottom w:val="single" w:sz="4" w:space="0" w:color="auto"/>
              <w:right w:val="single" w:sz="4" w:space="0" w:color="auto"/>
            </w:tcBorders>
            <w:shd w:val="clear" w:color="auto" w:fill="auto"/>
            <w:noWrap/>
            <w:vAlign w:val="bottom"/>
          </w:tcPr>
          <w:p w14:paraId="6C5FFDCE" w14:textId="358BE26B" w:rsidR="00B27913" w:rsidRPr="00FB3A30" w:rsidRDefault="00B27913"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Pr>
                <w:rFonts w:ascii="Calibri" w:eastAsia="Times New Roman" w:hAnsi="Calibri" w:cs="Calibri"/>
                <w:sz w:val="22"/>
                <w:szCs w:val="22"/>
                <w:bdr w:val="none" w:sz="0" w:space="0" w:color="auto"/>
                <w:lang w:eastAsia="es-ES"/>
              </w:rPr>
              <w:t>492.056,07€</w:t>
            </w:r>
          </w:p>
        </w:tc>
      </w:tr>
      <w:tr w:rsidR="00B27913" w:rsidRPr="00FB3A30" w14:paraId="22460E40" w14:textId="77777777" w:rsidTr="00B27913">
        <w:trPr>
          <w:trHeight w:val="288"/>
          <w:jc w:val="center"/>
        </w:trPr>
        <w:tc>
          <w:tcPr>
            <w:tcW w:w="2611" w:type="pct"/>
            <w:tcBorders>
              <w:top w:val="nil"/>
              <w:left w:val="single" w:sz="4" w:space="0" w:color="auto"/>
              <w:bottom w:val="single" w:sz="4" w:space="0" w:color="auto"/>
              <w:right w:val="single" w:sz="4" w:space="0" w:color="auto"/>
            </w:tcBorders>
            <w:shd w:val="clear" w:color="auto" w:fill="auto"/>
            <w:noWrap/>
            <w:vAlign w:val="bottom"/>
          </w:tcPr>
          <w:p w14:paraId="7853934F" w14:textId="6FEAFB81" w:rsidR="00B27913" w:rsidRPr="00FB3A30" w:rsidRDefault="00B27913" w:rsidP="00FB3A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sz w:val="22"/>
                <w:szCs w:val="22"/>
                <w:bdr w:val="none" w:sz="0" w:space="0" w:color="auto"/>
                <w:lang w:eastAsia="es-ES"/>
              </w:rPr>
            </w:pPr>
            <w:r>
              <w:rPr>
                <w:rFonts w:ascii="Calibri" w:eastAsia="Times New Roman" w:hAnsi="Calibri" w:cs="Calibri"/>
                <w:sz w:val="22"/>
                <w:szCs w:val="22"/>
                <w:bdr w:val="none" w:sz="0" w:space="0" w:color="auto"/>
                <w:lang w:eastAsia="es-ES"/>
              </w:rPr>
              <w:t>Abierto Armonizado</w:t>
            </w:r>
          </w:p>
        </w:tc>
        <w:tc>
          <w:tcPr>
            <w:tcW w:w="872" w:type="pct"/>
            <w:tcBorders>
              <w:top w:val="nil"/>
              <w:left w:val="nil"/>
              <w:bottom w:val="single" w:sz="4" w:space="0" w:color="auto"/>
              <w:right w:val="single" w:sz="4" w:space="0" w:color="auto"/>
            </w:tcBorders>
            <w:shd w:val="clear" w:color="auto" w:fill="auto"/>
            <w:noWrap/>
            <w:vAlign w:val="bottom"/>
          </w:tcPr>
          <w:p w14:paraId="39472699" w14:textId="5244B87E" w:rsidR="00B27913" w:rsidRPr="00FB3A30" w:rsidRDefault="00B27913"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Pr>
                <w:rFonts w:ascii="Calibri" w:eastAsia="Times New Roman" w:hAnsi="Calibri" w:cs="Calibri"/>
                <w:sz w:val="22"/>
                <w:szCs w:val="22"/>
                <w:bdr w:val="none" w:sz="0" w:space="0" w:color="auto"/>
                <w:lang w:eastAsia="es-ES"/>
              </w:rPr>
              <w:t>1 modificación*</w:t>
            </w:r>
          </w:p>
        </w:tc>
        <w:tc>
          <w:tcPr>
            <w:tcW w:w="1517" w:type="pct"/>
            <w:tcBorders>
              <w:top w:val="nil"/>
              <w:left w:val="nil"/>
              <w:bottom w:val="single" w:sz="4" w:space="0" w:color="auto"/>
              <w:right w:val="single" w:sz="4" w:space="0" w:color="auto"/>
            </w:tcBorders>
            <w:shd w:val="clear" w:color="auto" w:fill="auto"/>
            <w:noWrap/>
            <w:vAlign w:val="bottom"/>
          </w:tcPr>
          <w:p w14:paraId="79A0A0CF" w14:textId="24D3D6F9" w:rsidR="00B27913" w:rsidRPr="00FB3A30" w:rsidRDefault="00B27913"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Pr>
                <w:rFonts w:ascii="Calibri" w:eastAsia="Times New Roman" w:hAnsi="Calibri" w:cs="Calibri"/>
                <w:sz w:val="22"/>
                <w:szCs w:val="22"/>
                <w:bdr w:val="none" w:sz="0" w:space="0" w:color="auto"/>
                <w:lang w:eastAsia="es-ES"/>
              </w:rPr>
              <w:t>5.000.000,00€</w:t>
            </w:r>
          </w:p>
        </w:tc>
      </w:tr>
      <w:tr w:rsidR="00B27913" w:rsidRPr="00FB3A30" w14:paraId="024BC456" w14:textId="77777777" w:rsidTr="00B27913">
        <w:trPr>
          <w:trHeight w:val="288"/>
          <w:jc w:val="center"/>
        </w:trPr>
        <w:tc>
          <w:tcPr>
            <w:tcW w:w="2611" w:type="pct"/>
            <w:tcBorders>
              <w:top w:val="nil"/>
              <w:left w:val="single" w:sz="4" w:space="0" w:color="auto"/>
              <w:bottom w:val="single" w:sz="4" w:space="0" w:color="auto"/>
              <w:right w:val="single" w:sz="4" w:space="0" w:color="auto"/>
            </w:tcBorders>
            <w:shd w:val="clear" w:color="auto" w:fill="auto"/>
            <w:noWrap/>
            <w:vAlign w:val="bottom"/>
          </w:tcPr>
          <w:p w14:paraId="3F749211" w14:textId="288B99D5" w:rsidR="00B27913" w:rsidRPr="00FB3A30" w:rsidRDefault="00B27913" w:rsidP="00FB3A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sz w:val="22"/>
                <w:szCs w:val="22"/>
                <w:bdr w:val="none" w:sz="0" w:space="0" w:color="auto"/>
                <w:lang w:eastAsia="es-ES"/>
              </w:rPr>
            </w:pPr>
            <w:r>
              <w:rPr>
                <w:rFonts w:ascii="Calibri" w:eastAsia="Times New Roman" w:hAnsi="Calibri" w:cs="Calibri"/>
                <w:sz w:val="22"/>
                <w:szCs w:val="22"/>
                <w:bdr w:val="none" w:sz="0" w:space="0" w:color="auto"/>
                <w:lang w:eastAsia="es-ES"/>
              </w:rPr>
              <w:t>Abierto Armonizado</w:t>
            </w:r>
          </w:p>
        </w:tc>
        <w:tc>
          <w:tcPr>
            <w:tcW w:w="872" w:type="pct"/>
            <w:tcBorders>
              <w:top w:val="nil"/>
              <w:left w:val="nil"/>
              <w:bottom w:val="single" w:sz="4" w:space="0" w:color="auto"/>
              <w:right w:val="single" w:sz="4" w:space="0" w:color="auto"/>
            </w:tcBorders>
            <w:shd w:val="clear" w:color="auto" w:fill="auto"/>
            <w:noWrap/>
            <w:vAlign w:val="bottom"/>
          </w:tcPr>
          <w:p w14:paraId="76147EEC" w14:textId="60579967" w:rsidR="00B27913" w:rsidRPr="00FB3A30" w:rsidRDefault="00B27913"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Pr>
                <w:rFonts w:ascii="Calibri" w:eastAsia="Times New Roman" w:hAnsi="Calibri" w:cs="Calibri"/>
                <w:sz w:val="22"/>
                <w:szCs w:val="22"/>
                <w:bdr w:val="none" w:sz="0" w:space="0" w:color="auto"/>
                <w:lang w:eastAsia="es-ES"/>
              </w:rPr>
              <w:t>1 adjudicación</w:t>
            </w:r>
          </w:p>
        </w:tc>
        <w:tc>
          <w:tcPr>
            <w:tcW w:w="1517" w:type="pct"/>
            <w:tcBorders>
              <w:top w:val="nil"/>
              <w:left w:val="nil"/>
              <w:bottom w:val="single" w:sz="4" w:space="0" w:color="auto"/>
              <w:right w:val="single" w:sz="4" w:space="0" w:color="auto"/>
            </w:tcBorders>
            <w:shd w:val="clear" w:color="auto" w:fill="auto"/>
            <w:noWrap/>
            <w:vAlign w:val="bottom"/>
          </w:tcPr>
          <w:p w14:paraId="0B562165" w14:textId="520C5725" w:rsidR="00B27913" w:rsidRPr="00FB3A30" w:rsidRDefault="00B27913"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Pr>
                <w:rFonts w:ascii="Calibri" w:eastAsia="Times New Roman" w:hAnsi="Calibri" w:cs="Calibri"/>
                <w:sz w:val="22"/>
                <w:szCs w:val="22"/>
                <w:bdr w:val="none" w:sz="0" w:space="0" w:color="auto"/>
                <w:lang w:eastAsia="es-ES"/>
              </w:rPr>
              <w:t>6.000.000,00€</w:t>
            </w:r>
          </w:p>
        </w:tc>
      </w:tr>
      <w:tr w:rsidR="00FB3A30" w:rsidRPr="00FB3A30" w14:paraId="30F0FB8B" w14:textId="77777777" w:rsidTr="00B27913">
        <w:trPr>
          <w:trHeight w:val="288"/>
          <w:jc w:val="center"/>
        </w:trPr>
        <w:tc>
          <w:tcPr>
            <w:tcW w:w="2611" w:type="pct"/>
            <w:tcBorders>
              <w:top w:val="nil"/>
              <w:left w:val="single" w:sz="4" w:space="0" w:color="auto"/>
              <w:bottom w:val="single" w:sz="4" w:space="0" w:color="auto"/>
              <w:right w:val="single" w:sz="4" w:space="0" w:color="auto"/>
            </w:tcBorders>
            <w:shd w:val="clear" w:color="D9E1F2" w:fill="D9E1F2"/>
            <w:noWrap/>
            <w:vAlign w:val="bottom"/>
            <w:hideMark/>
          </w:tcPr>
          <w:p w14:paraId="796D8941"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b/>
                <w:bCs/>
                <w:sz w:val="22"/>
                <w:szCs w:val="22"/>
                <w:bdr w:val="none" w:sz="0" w:space="0" w:color="auto"/>
                <w:lang w:eastAsia="es-ES"/>
              </w:rPr>
            </w:pPr>
            <w:r w:rsidRPr="00FB3A30">
              <w:rPr>
                <w:rFonts w:ascii="Calibri" w:eastAsia="Times New Roman" w:hAnsi="Calibri" w:cs="Calibri"/>
                <w:b/>
                <w:bCs/>
                <w:sz w:val="22"/>
                <w:szCs w:val="22"/>
                <w:bdr w:val="none" w:sz="0" w:space="0" w:color="auto"/>
                <w:lang w:eastAsia="es-ES"/>
              </w:rPr>
              <w:t xml:space="preserve">Total </w:t>
            </w:r>
          </w:p>
        </w:tc>
        <w:tc>
          <w:tcPr>
            <w:tcW w:w="872" w:type="pct"/>
            <w:tcBorders>
              <w:top w:val="nil"/>
              <w:left w:val="nil"/>
              <w:bottom w:val="single" w:sz="4" w:space="0" w:color="auto"/>
              <w:right w:val="single" w:sz="4" w:space="0" w:color="auto"/>
            </w:tcBorders>
            <w:shd w:val="clear" w:color="D9E1F2" w:fill="D9E1F2"/>
            <w:noWrap/>
            <w:vAlign w:val="bottom"/>
          </w:tcPr>
          <w:p w14:paraId="7A3785CF" w14:textId="28880DD7" w:rsidR="00FB3A30" w:rsidRPr="00FB3A30" w:rsidRDefault="00B27913"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b/>
                <w:bCs/>
                <w:sz w:val="22"/>
                <w:szCs w:val="22"/>
                <w:bdr w:val="none" w:sz="0" w:space="0" w:color="auto"/>
                <w:lang w:eastAsia="es-ES"/>
              </w:rPr>
            </w:pPr>
            <w:r>
              <w:rPr>
                <w:rFonts w:ascii="Calibri" w:eastAsia="Times New Roman" w:hAnsi="Calibri" w:cs="Calibri"/>
                <w:b/>
                <w:bCs/>
                <w:sz w:val="22"/>
                <w:szCs w:val="22"/>
                <w:bdr w:val="none" w:sz="0" w:space="0" w:color="auto"/>
                <w:lang w:eastAsia="es-ES"/>
              </w:rPr>
              <w:t>87</w:t>
            </w:r>
          </w:p>
        </w:tc>
        <w:tc>
          <w:tcPr>
            <w:tcW w:w="1517" w:type="pct"/>
            <w:tcBorders>
              <w:top w:val="nil"/>
              <w:left w:val="nil"/>
              <w:bottom w:val="single" w:sz="4" w:space="0" w:color="auto"/>
              <w:right w:val="single" w:sz="4" w:space="0" w:color="auto"/>
            </w:tcBorders>
            <w:shd w:val="clear" w:color="D9E1F2" w:fill="D9E1F2"/>
            <w:noWrap/>
            <w:vAlign w:val="bottom"/>
          </w:tcPr>
          <w:p w14:paraId="3F155880" w14:textId="47A91425"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b/>
                <w:bCs/>
                <w:sz w:val="22"/>
                <w:szCs w:val="22"/>
                <w:bdr w:val="none" w:sz="0" w:space="0" w:color="auto"/>
                <w:lang w:eastAsia="es-ES"/>
              </w:rPr>
            </w:pPr>
            <w:r w:rsidRPr="00FB3A30">
              <w:rPr>
                <w:rFonts w:ascii="Calibri" w:eastAsia="Times New Roman" w:hAnsi="Calibri" w:cs="Calibri"/>
                <w:b/>
                <w:bCs/>
                <w:sz w:val="22"/>
                <w:szCs w:val="22"/>
                <w:bdr w:val="none" w:sz="0" w:space="0" w:color="auto"/>
                <w:lang w:eastAsia="es-ES"/>
              </w:rPr>
              <w:t>1</w:t>
            </w:r>
            <w:r w:rsidR="00B27913">
              <w:rPr>
                <w:rFonts w:ascii="Calibri" w:eastAsia="Times New Roman" w:hAnsi="Calibri" w:cs="Calibri"/>
                <w:b/>
                <w:bCs/>
                <w:sz w:val="22"/>
                <w:szCs w:val="22"/>
                <w:bdr w:val="none" w:sz="0" w:space="0" w:color="auto"/>
                <w:lang w:eastAsia="es-ES"/>
              </w:rPr>
              <w:t>2.140.831,50</w:t>
            </w:r>
            <w:r w:rsidRPr="00FB3A30">
              <w:rPr>
                <w:rFonts w:ascii="Calibri" w:eastAsia="Times New Roman" w:hAnsi="Calibri" w:cs="Calibri"/>
                <w:b/>
                <w:bCs/>
                <w:sz w:val="22"/>
                <w:szCs w:val="22"/>
                <w:bdr w:val="none" w:sz="0" w:space="0" w:color="auto"/>
                <w:lang w:eastAsia="es-ES"/>
              </w:rPr>
              <w:t>€</w:t>
            </w:r>
          </w:p>
        </w:tc>
      </w:tr>
    </w:tbl>
    <w:p w14:paraId="27EEE38E" w14:textId="09EEA2B9" w:rsidR="00FB3A30" w:rsidRPr="006873B4" w:rsidRDefault="006873B4" w:rsidP="00FB3A30">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w:i/>
          <w:iCs/>
          <w:color w:val="auto"/>
          <w:sz w:val="22"/>
          <w:szCs w:val="22"/>
          <w:u w:val="single"/>
          <w:bdr w:val="none" w:sz="0" w:space="0" w:color="auto"/>
          <w:lang w:eastAsia="es-ES"/>
        </w:rPr>
      </w:pPr>
      <w:r w:rsidRPr="006873B4">
        <w:rPr>
          <w:rFonts w:asciiTheme="minorHAnsi" w:eastAsia="Times" w:hAnsiTheme="minorHAnsi" w:cstheme="minorHAnsi"/>
          <w:color w:val="auto"/>
          <w:sz w:val="22"/>
          <w:szCs w:val="22"/>
          <w:bdr w:val="none" w:sz="0" w:space="0" w:color="auto"/>
          <w:lang w:eastAsia="es-ES"/>
        </w:rPr>
        <w:t>*</w:t>
      </w:r>
      <w:r w:rsidRPr="006873B4">
        <w:rPr>
          <w:rFonts w:asciiTheme="minorHAnsi" w:eastAsia="Times" w:hAnsiTheme="minorHAnsi" w:cstheme="minorHAnsi"/>
          <w:i/>
          <w:iCs/>
          <w:color w:val="auto"/>
          <w:sz w:val="22"/>
          <w:szCs w:val="22"/>
          <w:u w:val="single"/>
          <w:bdr w:val="none" w:sz="0" w:space="0" w:color="auto"/>
          <w:lang w:eastAsia="es-ES"/>
        </w:rPr>
        <w:t>Modificación del contrato (ampliación del presupuesto para la ejecución del servicio vigente</w:t>
      </w:r>
      <w:r>
        <w:rPr>
          <w:rFonts w:eastAsia="Times"/>
          <w:i/>
          <w:iCs/>
          <w:color w:val="auto"/>
          <w:sz w:val="22"/>
          <w:szCs w:val="22"/>
          <w:u w:val="single"/>
          <w:bdr w:val="none" w:sz="0" w:space="0" w:color="auto"/>
          <w:lang w:eastAsia="es-ES"/>
        </w:rPr>
        <w:t>)</w:t>
      </w:r>
    </w:p>
    <w:p w14:paraId="129C932F" w14:textId="536330CF" w:rsid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w:color w:val="auto"/>
          <w:sz w:val="22"/>
          <w:szCs w:val="22"/>
          <w:bdr w:val="none" w:sz="0" w:space="0" w:color="auto"/>
          <w:lang w:eastAsia="es-ES"/>
        </w:rPr>
      </w:pPr>
    </w:p>
    <w:p w14:paraId="1F54453A" w14:textId="77777777" w:rsidR="006873B4" w:rsidRPr="00FB3A30" w:rsidRDefault="006873B4" w:rsidP="00FB3A30">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w:color w:val="auto"/>
          <w:sz w:val="22"/>
          <w:szCs w:val="22"/>
          <w:bdr w:val="none" w:sz="0" w:space="0" w:color="auto"/>
          <w:lang w:eastAsia="es-ES"/>
        </w:rPr>
      </w:pPr>
    </w:p>
    <w:tbl>
      <w:tblPr>
        <w:tblW w:w="5000" w:type="pct"/>
        <w:tblCellMar>
          <w:left w:w="70" w:type="dxa"/>
          <w:right w:w="70" w:type="dxa"/>
        </w:tblCellMar>
        <w:tblLook w:val="04A0" w:firstRow="1" w:lastRow="0" w:firstColumn="1" w:lastColumn="0" w:noHBand="0" w:noVBand="1"/>
      </w:tblPr>
      <w:tblGrid>
        <w:gridCol w:w="4680"/>
        <w:gridCol w:w="1552"/>
        <w:gridCol w:w="2823"/>
      </w:tblGrid>
      <w:tr w:rsidR="00FB3A30" w:rsidRPr="00FB3A30" w14:paraId="7FA5B6DA" w14:textId="77777777" w:rsidTr="001A60DF">
        <w:trPr>
          <w:trHeight w:val="288"/>
        </w:trPr>
        <w:tc>
          <w:tcPr>
            <w:tcW w:w="258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1BC72853"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Calibri" w:eastAsia="Times New Roman" w:hAnsi="Calibri" w:cs="Calibri"/>
                <w:b/>
                <w:bCs/>
                <w:sz w:val="22"/>
                <w:szCs w:val="22"/>
                <w:bdr w:val="none" w:sz="0" w:space="0" w:color="auto"/>
                <w:lang w:eastAsia="es-ES"/>
              </w:rPr>
            </w:pPr>
            <w:r w:rsidRPr="00FB3A30">
              <w:rPr>
                <w:rFonts w:ascii="Calibri" w:eastAsia="Times New Roman" w:hAnsi="Calibri" w:cs="Calibri"/>
                <w:b/>
                <w:bCs/>
                <w:sz w:val="22"/>
                <w:szCs w:val="22"/>
                <w:bdr w:val="none" w:sz="0" w:space="0" w:color="auto"/>
                <w:lang w:eastAsia="es-ES"/>
              </w:rPr>
              <w:t>Tipo de Contratación</w:t>
            </w:r>
          </w:p>
        </w:tc>
        <w:tc>
          <w:tcPr>
            <w:tcW w:w="8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4262BF1C"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b/>
                <w:bCs/>
                <w:sz w:val="22"/>
                <w:szCs w:val="22"/>
                <w:bdr w:val="none" w:sz="0" w:space="0" w:color="auto"/>
                <w:lang w:eastAsia="es-ES"/>
              </w:rPr>
            </w:pPr>
            <w:r w:rsidRPr="00FB3A30">
              <w:rPr>
                <w:rFonts w:ascii="Calibri" w:eastAsia="Times New Roman" w:hAnsi="Calibri" w:cs="Calibri"/>
                <w:b/>
                <w:bCs/>
                <w:sz w:val="22"/>
                <w:szCs w:val="22"/>
                <w:bdr w:val="none" w:sz="0" w:space="0" w:color="auto"/>
                <w:lang w:eastAsia="es-ES"/>
              </w:rPr>
              <w:t>Nº Facturas</w:t>
            </w:r>
          </w:p>
        </w:tc>
        <w:tc>
          <w:tcPr>
            <w:tcW w:w="155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614A6F89"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b/>
                <w:bCs/>
                <w:sz w:val="22"/>
                <w:szCs w:val="22"/>
                <w:bdr w:val="none" w:sz="0" w:space="0" w:color="auto"/>
                <w:lang w:eastAsia="es-ES"/>
              </w:rPr>
            </w:pPr>
            <w:r w:rsidRPr="00FB3A30">
              <w:rPr>
                <w:rFonts w:ascii="Calibri" w:eastAsia="Times New Roman" w:hAnsi="Calibri" w:cs="Calibri"/>
                <w:b/>
                <w:bCs/>
                <w:sz w:val="22"/>
                <w:szCs w:val="22"/>
                <w:bdr w:val="none" w:sz="0" w:space="0" w:color="auto"/>
                <w:lang w:eastAsia="es-ES"/>
              </w:rPr>
              <w:t>Total Importe</w:t>
            </w:r>
          </w:p>
        </w:tc>
      </w:tr>
      <w:tr w:rsidR="00FB3A30" w:rsidRPr="00FB3A30" w14:paraId="4AA0C320" w14:textId="77777777" w:rsidTr="001A60DF">
        <w:trPr>
          <w:trHeight w:val="288"/>
        </w:trPr>
        <w:tc>
          <w:tcPr>
            <w:tcW w:w="2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4D278"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b/>
                <w:bCs/>
                <w:sz w:val="22"/>
                <w:szCs w:val="22"/>
                <w:bdr w:val="none" w:sz="0" w:space="0" w:color="auto"/>
                <w:lang w:eastAsia="es-ES"/>
              </w:rPr>
            </w:pPr>
            <w:r w:rsidRPr="00FB3A30">
              <w:rPr>
                <w:rFonts w:ascii="Calibri" w:eastAsia="Times New Roman" w:hAnsi="Calibri" w:cs="Calibri"/>
                <w:b/>
                <w:bCs/>
                <w:sz w:val="22"/>
                <w:szCs w:val="22"/>
                <w:bdr w:val="none" w:sz="0" w:space="0" w:color="auto"/>
                <w:lang w:eastAsia="es-ES"/>
              </w:rPr>
              <w:t>LCSP - Anticipo de caja fija</w:t>
            </w: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EAF015"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sidRPr="00FB3A30">
              <w:rPr>
                <w:rFonts w:ascii="Calibri" w:eastAsia="Times New Roman" w:hAnsi="Calibri" w:cs="Calibri"/>
                <w:sz w:val="22"/>
                <w:szCs w:val="22"/>
                <w:bdr w:val="none" w:sz="0" w:space="0" w:color="auto"/>
                <w:lang w:eastAsia="es-ES"/>
              </w:rPr>
              <w:t>480</w:t>
            </w:r>
          </w:p>
        </w:tc>
        <w:tc>
          <w:tcPr>
            <w:tcW w:w="15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0908BB"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sz w:val="22"/>
                <w:szCs w:val="22"/>
                <w:bdr w:val="none" w:sz="0" w:space="0" w:color="auto"/>
                <w:lang w:eastAsia="es-ES"/>
              </w:rPr>
            </w:pPr>
            <w:r w:rsidRPr="00FB3A30">
              <w:rPr>
                <w:rFonts w:ascii="Calibri" w:eastAsia="Times New Roman" w:hAnsi="Calibri" w:cs="Calibri"/>
                <w:sz w:val="22"/>
                <w:szCs w:val="22"/>
                <w:bdr w:val="none" w:sz="0" w:space="0" w:color="auto"/>
                <w:lang w:eastAsia="es-ES"/>
              </w:rPr>
              <w:t>52.654,26€</w:t>
            </w:r>
          </w:p>
        </w:tc>
      </w:tr>
      <w:tr w:rsidR="00FB3A30" w:rsidRPr="00FB3A30" w14:paraId="0EC3E879" w14:textId="77777777" w:rsidTr="001A60DF">
        <w:trPr>
          <w:trHeight w:val="288"/>
        </w:trPr>
        <w:tc>
          <w:tcPr>
            <w:tcW w:w="2584" w:type="pct"/>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6A909F"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b/>
                <w:bCs/>
                <w:sz w:val="22"/>
                <w:szCs w:val="22"/>
                <w:bdr w:val="none" w:sz="0" w:space="0" w:color="auto"/>
                <w:lang w:eastAsia="es-ES"/>
              </w:rPr>
            </w:pPr>
            <w:r w:rsidRPr="00FB3A30">
              <w:rPr>
                <w:rFonts w:ascii="Calibri" w:eastAsia="Times New Roman" w:hAnsi="Calibri" w:cs="Calibri"/>
                <w:b/>
                <w:bCs/>
                <w:sz w:val="22"/>
                <w:szCs w:val="22"/>
                <w:bdr w:val="none" w:sz="0" w:space="0" w:color="auto"/>
                <w:lang w:eastAsia="es-ES"/>
              </w:rPr>
              <w:t>Total</w:t>
            </w:r>
          </w:p>
        </w:tc>
        <w:tc>
          <w:tcPr>
            <w:tcW w:w="857" w:type="pct"/>
            <w:tcBorders>
              <w:top w:val="single" w:sz="4" w:space="0" w:color="auto"/>
              <w:left w:val="single" w:sz="4" w:space="0" w:color="auto"/>
              <w:bottom w:val="single" w:sz="4" w:space="0" w:color="auto"/>
              <w:right w:val="single" w:sz="4" w:space="0" w:color="auto"/>
            </w:tcBorders>
            <w:shd w:val="clear" w:color="D9E1F2" w:fill="D9E1F2"/>
            <w:noWrap/>
            <w:vAlign w:val="bottom"/>
          </w:tcPr>
          <w:p w14:paraId="573AF01D"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b/>
                <w:bCs/>
                <w:sz w:val="22"/>
                <w:szCs w:val="22"/>
                <w:bdr w:val="none" w:sz="0" w:space="0" w:color="auto"/>
                <w:lang w:eastAsia="es-ES"/>
              </w:rPr>
            </w:pPr>
            <w:r w:rsidRPr="00FB3A30">
              <w:rPr>
                <w:rFonts w:ascii="Calibri" w:eastAsia="Times New Roman" w:hAnsi="Calibri" w:cs="Calibri"/>
                <w:b/>
                <w:bCs/>
                <w:sz w:val="22"/>
                <w:szCs w:val="22"/>
                <w:bdr w:val="none" w:sz="0" w:space="0" w:color="auto"/>
                <w:lang w:eastAsia="es-ES"/>
              </w:rPr>
              <w:t>480</w:t>
            </w:r>
          </w:p>
        </w:tc>
        <w:tc>
          <w:tcPr>
            <w:tcW w:w="1559" w:type="pct"/>
            <w:tcBorders>
              <w:top w:val="single" w:sz="4" w:space="0" w:color="auto"/>
              <w:left w:val="single" w:sz="4" w:space="0" w:color="auto"/>
              <w:bottom w:val="single" w:sz="4" w:space="0" w:color="auto"/>
              <w:right w:val="single" w:sz="4" w:space="0" w:color="auto"/>
            </w:tcBorders>
            <w:shd w:val="clear" w:color="D9E1F2" w:fill="D9E1F2"/>
            <w:noWrap/>
            <w:vAlign w:val="bottom"/>
          </w:tcPr>
          <w:p w14:paraId="0B1A65E6"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Calibri" w:eastAsia="Times New Roman" w:hAnsi="Calibri" w:cs="Calibri"/>
                <w:b/>
                <w:bCs/>
                <w:sz w:val="22"/>
                <w:szCs w:val="22"/>
                <w:bdr w:val="none" w:sz="0" w:space="0" w:color="auto"/>
                <w:lang w:eastAsia="es-ES"/>
              </w:rPr>
            </w:pPr>
            <w:r w:rsidRPr="00FB3A30">
              <w:rPr>
                <w:rFonts w:ascii="Calibri" w:eastAsia="Times New Roman" w:hAnsi="Calibri" w:cs="Calibri"/>
                <w:b/>
                <w:bCs/>
                <w:sz w:val="22"/>
                <w:szCs w:val="22"/>
                <w:bdr w:val="none" w:sz="0" w:space="0" w:color="auto"/>
                <w:lang w:eastAsia="es-ES"/>
              </w:rPr>
              <w:t>52.654,26€</w:t>
            </w:r>
          </w:p>
        </w:tc>
      </w:tr>
    </w:tbl>
    <w:p w14:paraId="0CBA1B1D"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w:color w:val="auto"/>
          <w:sz w:val="22"/>
          <w:szCs w:val="22"/>
          <w:bdr w:val="none" w:sz="0" w:space="0" w:color="auto"/>
          <w:lang w:eastAsia="es-ES"/>
        </w:rPr>
      </w:pPr>
    </w:p>
    <w:p w14:paraId="5AAEE101"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w:color w:val="auto"/>
          <w:sz w:val="22"/>
          <w:szCs w:val="22"/>
          <w:bdr w:val="none" w:sz="0" w:space="0" w:color="auto"/>
          <w:lang w:eastAsia="es-ES"/>
        </w:rPr>
      </w:pPr>
      <w:r w:rsidRPr="00FB3A30">
        <w:rPr>
          <w:rFonts w:eastAsia="Times"/>
          <w:color w:val="auto"/>
          <w:sz w:val="22"/>
          <w:szCs w:val="22"/>
          <w:bdr w:val="none" w:sz="0" w:space="0" w:color="auto"/>
          <w:lang w:eastAsia="es-ES"/>
        </w:rPr>
        <w:t>En dichas contrataciones se han seguido los siguientes procedimientos:</w:t>
      </w:r>
    </w:p>
    <w:p w14:paraId="01FAC96B"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w:color w:val="auto"/>
          <w:sz w:val="22"/>
          <w:szCs w:val="22"/>
          <w:bdr w:val="none" w:sz="0" w:space="0" w:color="auto"/>
          <w:lang w:eastAsia="es-ES"/>
        </w:rPr>
      </w:pPr>
    </w:p>
    <w:p w14:paraId="0D0DD07C" w14:textId="77777777" w:rsidR="00FB3A30" w:rsidRPr="00FB3A30" w:rsidRDefault="00FB3A30" w:rsidP="00FB3A3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502"/>
        <w:contextualSpacing/>
        <w:jc w:val="both"/>
        <w:outlineLvl w:val="9"/>
        <w:rPr>
          <w:rFonts w:eastAsia="Times New Roman"/>
          <w:color w:val="auto"/>
          <w:sz w:val="22"/>
          <w:szCs w:val="22"/>
          <w:bdr w:val="none" w:sz="0" w:space="0" w:color="auto"/>
          <w:lang w:eastAsia="es-ES"/>
        </w:rPr>
      </w:pPr>
      <w:r w:rsidRPr="00FB3A30">
        <w:rPr>
          <w:rFonts w:eastAsia="Times New Roman"/>
          <w:color w:val="auto"/>
          <w:sz w:val="22"/>
          <w:szCs w:val="22"/>
          <w:bdr w:val="none" w:sz="0" w:space="0" w:color="auto"/>
          <w:lang w:eastAsia="es-ES"/>
        </w:rPr>
        <w:t xml:space="preserve">El procedimiento de adjudicación </w:t>
      </w:r>
      <w:r w:rsidRPr="00FB3A30">
        <w:rPr>
          <w:rFonts w:eastAsia="Times New Roman"/>
          <w:color w:val="auto"/>
          <w:sz w:val="22"/>
          <w:szCs w:val="22"/>
          <w:u w:val="single"/>
          <w:bdr w:val="none" w:sz="0" w:space="0" w:color="auto"/>
          <w:lang w:eastAsia="es-ES"/>
        </w:rPr>
        <w:t>negociado por exclusividad (</w:t>
      </w:r>
      <w:r w:rsidRPr="00FB3A30">
        <w:rPr>
          <w:rFonts w:eastAsia="Times New Roman"/>
          <w:b/>
          <w:color w:val="auto"/>
          <w:sz w:val="22"/>
          <w:szCs w:val="22"/>
          <w:u w:val="single"/>
          <w:bdr w:val="none" w:sz="0" w:space="0" w:color="auto"/>
          <w:lang w:eastAsia="es-ES"/>
        </w:rPr>
        <w:t>NE</w:t>
      </w:r>
      <w:r w:rsidRPr="00FB3A30">
        <w:rPr>
          <w:rFonts w:eastAsia="Times New Roman"/>
          <w:color w:val="auto"/>
          <w:sz w:val="22"/>
          <w:szCs w:val="22"/>
          <w:u w:val="single"/>
          <w:bdr w:val="none" w:sz="0" w:space="0" w:color="auto"/>
          <w:lang w:eastAsia="es-ES"/>
        </w:rPr>
        <w:t>)</w:t>
      </w:r>
      <w:r w:rsidRPr="00FB3A30">
        <w:rPr>
          <w:rFonts w:eastAsia="Times New Roman"/>
          <w:color w:val="auto"/>
          <w:sz w:val="22"/>
          <w:szCs w:val="22"/>
          <w:bdr w:val="none" w:sz="0" w:space="0" w:color="auto"/>
          <w:lang w:eastAsia="es-ES"/>
        </w:rPr>
        <w:t xml:space="preserve"> se ha aplicado cuando en el procedimiento concurren características técnicas o artísticas o </w:t>
      </w:r>
      <w:r w:rsidRPr="00FB3A30">
        <w:rPr>
          <w:color w:val="222222"/>
          <w:sz w:val="22"/>
          <w:szCs w:val="22"/>
          <w:shd w:val="clear" w:color="auto" w:fill="FFFFFF"/>
        </w:rPr>
        <w:t xml:space="preserve">que proceda la protección de derechos exclusivos, incluidos los derechos de propiedad intelectual e industrial y que </w:t>
      </w:r>
      <w:r w:rsidRPr="00FB3A30">
        <w:rPr>
          <w:rFonts w:eastAsia="Times New Roman"/>
          <w:color w:val="auto"/>
          <w:sz w:val="22"/>
          <w:szCs w:val="22"/>
          <w:bdr w:val="none" w:sz="0" w:space="0" w:color="auto"/>
          <w:lang w:eastAsia="es-ES"/>
        </w:rPr>
        <w:t>motivan que el contrato sólo pueda encomendarse a un empresario determinado, conforme a lo establecido en el Art.168.a.2 de la LCSP.</w:t>
      </w:r>
    </w:p>
    <w:p w14:paraId="6603EAE1"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outlineLvl w:val="9"/>
        <w:rPr>
          <w:rFonts w:eastAsia="Times"/>
          <w:color w:val="auto"/>
          <w:sz w:val="22"/>
          <w:szCs w:val="22"/>
          <w:bdr w:val="none" w:sz="0" w:space="0" w:color="auto"/>
          <w:lang w:eastAsia="es-ES"/>
        </w:rPr>
      </w:pPr>
    </w:p>
    <w:p w14:paraId="3F56B5A9" w14:textId="77777777" w:rsidR="00FB3A30" w:rsidRPr="00FB3A30" w:rsidRDefault="00FB3A30" w:rsidP="00FB3A3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502" w:right="44"/>
        <w:contextualSpacing/>
        <w:jc w:val="both"/>
        <w:outlineLvl w:val="9"/>
        <w:rPr>
          <w:rFonts w:eastAsia="Times"/>
          <w:color w:val="auto"/>
          <w:sz w:val="22"/>
          <w:szCs w:val="22"/>
          <w:bdr w:val="none" w:sz="0" w:space="0" w:color="auto"/>
          <w:lang w:eastAsia="es-ES"/>
        </w:rPr>
      </w:pPr>
      <w:r w:rsidRPr="00FB3A30">
        <w:rPr>
          <w:rFonts w:eastAsia="Times"/>
          <w:color w:val="auto"/>
          <w:sz w:val="22"/>
          <w:szCs w:val="22"/>
          <w:bdr w:val="none" w:sz="0" w:space="0" w:color="auto"/>
          <w:lang w:eastAsia="es-ES"/>
        </w:rPr>
        <w:t xml:space="preserve">Se ha aplicado el procedimiento de </w:t>
      </w:r>
      <w:r w:rsidRPr="00FB3A30">
        <w:rPr>
          <w:rFonts w:eastAsia="Times"/>
          <w:color w:val="auto"/>
          <w:sz w:val="22"/>
          <w:szCs w:val="22"/>
          <w:u w:val="single"/>
          <w:bdr w:val="none" w:sz="0" w:space="0" w:color="auto"/>
          <w:lang w:eastAsia="es-ES"/>
        </w:rPr>
        <w:t>contratación menor (</w:t>
      </w:r>
      <w:r w:rsidRPr="00FB3A30">
        <w:rPr>
          <w:rFonts w:eastAsia="Times New Roman"/>
          <w:b/>
          <w:color w:val="auto"/>
          <w:sz w:val="22"/>
          <w:szCs w:val="22"/>
          <w:u w:val="single"/>
          <w:bdr w:val="none" w:sz="0" w:space="0" w:color="auto"/>
          <w:lang w:eastAsia="es-ES"/>
        </w:rPr>
        <w:t>CM</w:t>
      </w:r>
      <w:r w:rsidRPr="00FB3A30">
        <w:rPr>
          <w:rFonts w:eastAsia="Times"/>
          <w:color w:val="auto"/>
          <w:sz w:val="22"/>
          <w:szCs w:val="22"/>
          <w:u w:val="single"/>
          <w:bdr w:val="none" w:sz="0" w:space="0" w:color="auto"/>
          <w:lang w:eastAsia="es-ES"/>
        </w:rPr>
        <w:t>)</w:t>
      </w:r>
      <w:r w:rsidRPr="00FB3A30">
        <w:rPr>
          <w:rFonts w:eastAsia="Times"/>
          <w:color w:val="auto"/>
          <w:sz w:val="22"/>
          <w:szCs w:val="22"/>
          <w:bdr w:val="none" w:sz="0" w:space="0" w:color="auto"/>
          <w:lang w:eastAsia="es-ES"/>
        </w:rPr>
        <w:t xml:space="preserve"> en aquellos casos en los que el importe de los contratos no supere los 14.999€ según lo previsto en el artículo 118, 63, 335 y 346 LCSP.</w:t>
      </w:r>
    </w:p>
    <w:p w14:paraId="7C83EF94" w14:textId="77777777" w:rsidR="00FB3A30" w:rsidRPr="00FB3A30" w:rsidRDefault="00FB3A30" w:rsidP="00FB3A30">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502" w:right="44"/>
        <w:contextualSpacing/>
        <w:jc w:val="both"/>
        <w:outlineLvl w:val="9"/>
        <w:rPr>
          <w:rFonts w:eastAsia="Times"/>
          <w:color w:val="auto"/>
          <w:sz w:val="22"/>
          <w:szCs w:val="22"/>
          <w:bdr w:val="none" w:sz="0" w:space="0" w:color="auto"/>
          <w:lang w:eastAsia="es-ES"/>
        </w:rPr>
      </w:pPr>
    </w:p>
    <w:p w14:paraId="6C8B0323" w14:textId="77777777" w:rsidR="00FB3A30" w:rsidRPr="00FB3A30" w:rsidRDefault="00FB3A30" w:rsidP="00FB3A3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502" w:right="44"/>
        <w:contextualSpacing/>
        <w:jc w:val="both"/>
        <w:outlineLvl w:val="9"/>
        <w:rPr>
          <w:rFonts w:eastAsia="Times"/>
          <w:color w:val="auto"/>
          <w:sz w:val="22"/>
          <w:szCs w:val="22"/>
          <w:bdr w:val="none" w:sz="0" w:space="0" w:color="auto"/>
          <w:lang w:eastAsia="es-ES"/>
        </w:rPr>
      </w:pPr>
      <w:r w:rsidRPr="00FB3A30">
        <w:rPr>
          <w:rFonts w:eastAsia="Times"/>
          <w:color w:val="auto"/>
          <w:sz w:val="22"/>
          <w:szCs w:val="22"/>
          <w:bdr w:val="none" w:sz="0" w:space="0" w:color="auto"/>
          <w:lang w:eastAsia="es-ES"/>
        </w:rPr>
        <w:lastRenderedPageBreak/>
        <w:t>Se ha aplicado el procedimiento de contratación menor con las especificaciones establecidas por la Disposición Adicional Novena del TRLCSP, relativa a las Normas Especiales para la contratación de acceso a Bases de Datos y la suscripción a publicaciones (</w:t>
      </w:r>
      <w:r w:rsidRPr="00FB3A30">
        <w:rPr>
          <w:rFonts w:eastAsia="Times"/>
          <w:b/>
          <w:color w:val="auto"/>
          <w:sz w:val="22"/>
          <w:szCs w:val="22"/>
          <w:bdr w:val="none" w:sz="0" w:space="0" w:color="auto"/>
          <w:lang w:eastAsia="es-ES"/>
        </w:rPr>
        <w:t>CM-BS</w:t>
      </w:r>
      <w:r w:rsidRPr="00FB3A30">
        <w:rPr>
          <w:rFonts w:eastAsia="Times"/>
          <w:color w:val="auto"/>
          <w:sz w:val="22"/>
          <w:szCs w:val="22"/>
          <w:bdr w:val="none" w:sz="0" w:space="0" w:color="auto"/>
          <w:lang w:eastAsia="es-ES"/>
        </w:rPr>
        <w:t>).</w:t>
      </w:r>
    </w:p>
    <w:p w14:paraId="2C045804" w14:textId="77777777" w:rsidR="00FB3A30" w:rsidRPr="00FB3A30" w:rsidRDefault="00FB3A30" w:rsidP="00FB3A30">
      <w:pPr>
        <w:ind w:left="720"/>
        <w:outlineLvl w:val="9"/>
        <w:rPr>
          <w:rFonts w:ascii="Cambria" w:eastAsia="Times" w:hAnsi="Cambria" w:cs="Cambria"/>
          <w:color w:val="auto"/>
          <w:sz w:val="22"/>
          <w:szCs w:val="22"/>
          <w:bdr w:val="none" w:sz="0" w:space="0" w:color="auto"/>
          <w:lang w:val="es-ES_tradnl" w:eastAsia="es-ES"/>
        </w:rPr>
      </w:pPr>
    </w:p>
    <w:p w14:paraId="3DB1667F" w14:textId="77777777" w:rsidR="00FB3A30" w:rsidRPr="00FB3A30" w:rsidRDefault="00FB3A30" w:rsidP="00FB3A3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left="502" w:right="44"/>
        <w:contextualSpacing/>
        <w:jc w:val="both"/>
        <w:outlineLvl w:val="9"/>
        <w:rPr>
          <w:rFonts w:eastAsia="Times"/>
          <w:color w:val="auto"/>
          <w:sz w:val="22"/>
          <w:szCs w:val="22"/>
          <w:bdr w:val="none" w:sz="0" w:space="0" w:color="auto"/>
          <w:lang w:eastAsia="es-ES"/>
        </w:rPr>
      </w:pPr>
      <w:r w:rsidRPr="00FB3A30">
        <w:rPr>
          <w:rFonts w:eastAsia="Times"/>
          <w:color w:val="auto"/>
          <w:sz w:val="22"/>
          <w:szCs w:val="22"/>
          <w:bdr w:val="none" w:sz="0" w:space="0" w:color="auto"/>
          <w:lang w:eastAsia="es-ES"/>
        </w:rPr>
        <w:t xml:space="preserve">Se ha aplicado el procedimiento de Anticipo de Caja Fija, cuando el contrato tiene valor estimado inferior a 5.000€ y el sistema de pago utilizado por </w:t>
      </w:r>
      <w:r w:rsidRPr="00FB3A30">
        <w:rPr>
          <w:rFonts w:eastAsia="Times"/>
          <w:b/>
          <w:color w:val="auto"/>
          <w:sz w:val="22"/>
          <w:szCs w:val="22"/>
          <w:bdr w:val="none" w:sz="0" w:space="0" w:color="auto"/>
          <w:lang w:eastAsia="es-ES"/>
        </w:rPr>
        <w:t>PROMOTUR</w:t>
      </w:r>
      <w:r w:rsidRPr="00FB3A30">
        <w:rPr>
          <w:rFonts w:eastAsia="Times"/>
          <w:color w:val="auto"/>
          <w:sz w:val="22"/>
          <w:szCs w:val="22"/>
          <w:bdr w:val="none" w:sz="0" w:space="0" w:color="auto"/>
          <w:lang w:eastAsia="es-ES"/>
        </w:rPr>
        <w:t xml:space="preserve"> es el de anticipo de caja fija para realizar pagos menores aprobado por el Consejo de Administración de la entidad el 28 de marzo de 2018.</w:t>
      </w:r>
    </w:p>
    <w:p w14:paraId="791FF44D" w14:textId="384C8C5F" w:rsid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 w:val="28"/>
          <w:szCs w:val="28"/>
          <w:bdr w:val="none" w:sz="0" w:space="0" w:color="auto"/>
          <w:lang w:eastAsia="es-ES"/>
        </w:rPr>
      </w:pPr>
    </w:p>
    <w:p w14:paraId="6BB1E65C" w14:textId="77777777" w:rsidR="00E61295" w:rsidRPr="00CD27CE" w:rsidRDefault="00E61295" w:rsidP="00CD27C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w:hAnsi="Times" w:cs="Times New Roman"/>
          <w:color w:val="auto"/>
          <w:sz w:val="28"/>
          <w:szCs w:val="28"/>
          <w:bdr w:val="none" w:sz="0" w:space="0" w:color="auto"/>
          <w:lang w:eastAsia="es-ES"/>
        </w:rPr>
      </w:pPr>
    </w:p>
    <w:p w14:paraId="59EC228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t>D) Información sobre garantías recibidas</w:t>
      </w:r>
      <w:r w:rsidRPr="00CD27CE">
        <w:rPr>
          <w:rFonts w:ascii="Times" w:eastAsia="Times" w:hAnsi="Times" w:cs="Times New Roman"/>
          <w:b/>
          <w:color w:val="auto"/>
          <w:sz w:val="28"/>
          <w:szCs w:val="28"/>
          <w:bdr w:val="none" w:sz="0" w:space="0" w:color="auto"/>
          <w:lang w:val="es-ES_tradnl" w:eastAsia="es-ES"/>
        </w:rPr>
        <w:tab/>
        <w:t xml:space="preserve"> (Anexo IV)</w:t>
      </w:r>
    </w:p>
    <w:p w14:paraId="52F6BA1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color w:val="auto"/>
          <w:sz w:val="28"/>
          <w:szCs w:val="28"/>
          <w:bdr w:val="none" w:sz="0" w:space="0" w:color="auto"/>
          <w:lang w:val="es-ES_tradnl" w:eastAsia="es-ES"/>
        </w:rPr>
      </w:pPr>
    </w:p>
    <w:p w14:paraId="5E4CEA27"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Esta información viene reflejada en el Anexo IV.</w:t>
      </w:r>
    </w:p>
    <w:p w14:paraId="47BFBB0D"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color w:val="auto"/>
          <w:sz w:val="28"/>
          <w:szCs w:val="28"/>
          <w:bdr w:val="none" w:sz="0" w:space="0" w:color="auto"/>
          <w:lang w:val="es-ES_tradnl" w:eastAsia="es-ES"/>
        </w:rPr>
      </w:pPr>
    </w:p>
    <w:p w14:paraId="2177B63E"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color w:val="auto"/>
          <w:sz w:val="28"/>
          <w:szCs w:val="28"/>
          <w:bdr w:val="none" w:sz="0" w:space="0" w:color="auto"/>
          <w:lang w:val="es-ES_tradnl" w:eastAsia="es-ES"/>
        </w:rPr>
      </w:pPr>
    </w:p>
    <w:p w14:paraId="08973E2C"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t>E) Información sobre personal (Anexo V)</w:t>
      </w:r>
    </w:p>
    <w:p w14:paraId="2D38C2B3"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07DB8065" w14:textId="77777777" w:rsidR="001E6F71" w:rsidRPr="001E6F71" w:rsidRDefault="00CD27CE" w:rsidP="001E6F71">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sidRPr="00CD27CE">
        <w:rPr>
          <w:rFonts w:ascii="Times New Roman" w:eastAsia="Times New Roman" w:hAnsi="Times New Roman" w:cs="Times New Roman"/>
          <w:color w:val="auto"/>
          <w:sz w:val="28"/>
          <w:szCs w:val="28"/>
          <w:bdr w:val="none" w:sz="0" w:space="0" w:color="auto"/>
          <w:lang w:val="es-ES_tradnl"/>
        </w:rPr>
        <w:t>A 31 de diciembre de 20</w:t>
      </w:r>
      <w:r w:rsidR="001E6F71">
        <w:rPr>
          <w:rFonts w:ascii="Times New Roman" w:eastAsia="Times New Roman" w:hAnsi="Times New Roman" w:cs="Times New Roman"/>
          <w:color w:val="auto"/>
          <w:sz w:val="28"/>
          <w:szCs w:val="28"/>
          <w:bdr w:val="none" w:sz="0" w:space="0" w:color="auto"/>
          <w:lang w:val="es-ES_tradnl"/>
        </w:rPr>
        <w:t>20</w:t>
      </w:r>
      <w:r w:rsidRPr="00CD27CE">
        <w:rPr>
          <w:rFonts w:ascii="Times New Roman" w:eastAsia="Times New Roman" w:hAnsi="Times New Roman" w:cs="Times New Roman"/>
          <w:color w:val="auto"/>
          <w:sz w:val="28"/>
          <w:szCs w:val="28"/>
          <w:bdr w:val="none" w:sz="0" w:space="0" w:color="auto"/>
          <w:lang w:val="es-ES_tradnl"/>
        </w:rPr>
        <w:t>, la plantilla de la empresa era de 4</w:t>
      </w:r>
      <w:r w:rsidR="001E6F71">
        <w:rPr>
          <w:rFonts w:ascii="Times New Roman" w:eastAsia="Times New Roman" w:hAnsi="Times New Roman" w:cs="Times New Roman"/>
          <w:color w:val="auto"/>
          <w:sz w:val="28"/>
          <w:szCs w:val="28"/>
          <w:bdr w:val="none" w:sz="0" w:space="0" w:color="auto"/>
          <w:lang w:val="es-ES_tradnl"/>
        </w:rPr>
        <w:t>6</w:t>
      </w:r>
      <w:r w:rsidRPr="00CD27CE">
        <w:rPr>
          <w:rFonts w:ascii="Times New Roman" w:eastAsia="Times New Roman" w:hAnsi="Times New Roman" w:cs="Times New Roman"/>
          <w:color w:val="auto"/>
          <w:sz w:val="28"/>
          <w:szCs w:val="28"/>
          <w:bdr w:val="none" w:sz="0" w:space="0" w:color="auto"/>
          <w:lang w:val="es-ES_tradnl"/>
        </w:rPr>
        <w:t xml:space="preserve"> personas, </w:t>
      </w:r>
      <w:r w:rsidR="001E6F71" w:rsidRPr="001E6F71">
        <w:rPr>
          <w:rFonts w:ascii="Times New Roman" w:eastAsia="Times New Roman" w:hAnsi="Times New Roman" w:cs="Times New Roman"/>
          <w:color w:val="auto"/>
          <w:sz w:val="28"/>
          <w:szCs w:val="28"/>
          <w:bdr w:val="none" w:sz="0" w:space="0" w:color="auto"/>
          <w:lang w:val="es-ES_tradnl"/>
        </w:rPr>
        <w:t>tres efectivos menos de lo previsto en el PAIF, por dos trabajadores pendientes de contratación temporal dentro de la aportación Gestión Canarias Fortaleza y por una trabajadora que se encontraba en excedencia a final de año.</w:t>
      </w:r>
    </w:p>
    <w:p w14:paraId="75922703" w14:textId="0AD96A40"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highlight w:val="yellow"/>
          <w:bdr w:val="none" w:sz="0" w:space="0" w:color="auto"/>
          <w:lang w:val="es-ES_tradnl"/>
        </w:rPr>
      </w:pPr>
    </w:p>
    <w:p w14:paraId="4B2059BD" w14:textId="77777777" w:rsidR="001E6F71" w:rsidRPr="001E6F71" w:rsidRDefault="001E6F71" w:rsidP="001E6F71">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lang w:val="es-ES_tradnl"/>
        </w:rPr>
      </w:pPr>
      <w:r w:rsidRPr="001E6F71">
        <w:rPr>
          <w:rFonts w:ascii="Times New Roman" w:eastAsia="Times New Roman" w:hAnsi="Times New Roman" w:cs="Times New Roman"/>
          <w:color w:val="auto"/>
          <w:sz w:val="28"/>
          <w:szCs w:val="28"/>
          <w:bdr w:val="none" w:sz="0" w:space="0" w:color="auto"/>
          <w:lang w:val="es-ES_tradnl"/>
        </w:rPr>
        <w:t xml:space="preserve">El Gasto de Personal es inferior al previsto en el PAIF debido básicamente al menor coste de salario y seguridad social de los trabajadores mencionados y por la incorporación de algunos efectivos temporales posterior a la fecha prevista inicialmente.  </w:t>
      </w:r>
    </w:p>
    <w:p w14:paraId="47F80E58"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highlight w:val="yellow"/>
          <w:bdr w:val="none" w:sz="0" w:space="0" w:color="auto"/>
          <w:lang w:val="es-ES_tradnl"/>
        </w:rPr>
      </w:pPr>
    </w:p>
    <w:p w14:paraId="124B21A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New Roman" w:eastAsia="Times New Roman" w:hAnsi="Times New Roman" w:cs="Times New Roman"/>
          <w:color w:val="auto"/>
          <w:sz w:val="28"/>
          <w:szCs w:val="28"/>
          <w:bdr w:val="none" w:sz="0" w:space="0" w:color="auto"/>
        </w:rPr>
      </w:pPr>
      <w:r w:rsidRPr="00CD27CE">
        <w:rPr>
          <w:rFonts w:ascii="Times New Roman" w:eastAsia="Times New Roman" w:hAnsi="Times New Roman" w:cs="Times New Roman"/>
          <w:color w:val="auto"/>
          <w:sz w:val="28"/>
          <w:szCs w:val="28"/>
          <w:bdr w:val="none" w:sz="0" w:space="0" w:color="auto"/>
        </w:rPr>
        <w:t>Como resultado de lo anterior, los Gastos de Personal fueron inferiores a los previstos.</w:t>
      </w:r>
    </w:p>
    <w:p w14:paraId="6757F6A3"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eastAsia="es-ES"/>
        </w:rPr>
      </w:pPr>
    </w:p>
    <w:p w14:paraId="349DB0A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eastAsia="es-ES"/>
        </w:rPr>
      </w:pPr>
    </w:p>
    <w:p w14:paraId="208F67B7"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t>F</w:t>
      </w:r>
      <w:r w:rsidRPr="009C557F">
        <w:rPr>
          <w:rFonts w:ascii="Times" w:eastAsia="Times" w:hAnsi="Times" w:cs="Times New Roman"/>
          <w:b/>
          <w:color w:val="auto"/>
          <w:sz w:val="28"/>
          <w:szCs w:val="28"/>
          <w:bdr w:val="none" w:sz="0" w:space="0" w:color="auto"/>
          <w:lang w:val="es-ES_tradnl" w:eastAsia="es-ES"/>
        </w:rPr>
        <w:t>) Información sobre los ingresos por ventas y/o prestación de servicios de la entidad</w:t>
      </w:r>
      <w:r w:rsidRPr="00CD27CE">
        <w:rPr>
          <w:rFonts w:ascii="Times" w:eastAsia="Times" w:hAnsi="Times" w:cs="Times New Roman"/>
          <w:b/>
          <w:color w:val="auto"/>
          <w:sz w:val="28"/>
          <w:szCs w:val="28"/>
          <w:bdr w:val="none" w:sz="0" w:space="0" w:color="auto"/>
          <w:lang w:val="es-ES_tradnl" w:eastAsia="es-ES"/>
        </w:rPr>
        <w:t xml:space="preserve"> (Anexo VI)</w:t>
      </w:r>
    </w:p>
    <w:p w14:paraId="388A97E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37F2F44E" w14:textId="5AC32FBB"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 xml:space="preserve">La cifra de negocios de la empresa se compone de Prestaciones de Servicio a la Comunidad Autónoma, por </w:t>
      </w:r>
      <w:r w:rsidR="00000A90">
        <w:rPr>
          <w:rFonts w:ascii="Times" w:eastAsia="Times" w:hAnsi="Times" w:cs="Times New Roman"/>
          <w:color w:val="auto"/>
          <w:sz w:val="28"/>
          <w:szCs w:val="28"/>
          <w:bdr w:val="none" w:sz="0" w:space="0" w:color="auto"/>
          <w:lang w:val="es-ES_tradnl" w:eastAsia="es-ES"/>
        </w:rPr>
        <w:t>una</w:t>
      </w:r>
      <w:r w:rsidRPr="00CD27CE">
        <w:rPr>
          <w:rFonts w:ascii="Times" w:eastAsia="Times" w:hAnsi="Times" w:cs="Times New Roman"/>
          <w:color w:val="auto"/>
          <w:sz w:val="28"/>
          <w:szCs w:val="28"/>
          <w:bdr w:val="none" w:sz="0" w:space="0" w:color="auto"/>
          <w:lang w:val="es-ES_tradnl" w:eastAsia="es-ES"/>
        </w:rPr>
        <w:t xml:space="preserve"> enc</w:t>
      </w:r>
      <w:r w:rsidR="00B2352D">
        <w:rPr>
          <w:rFonts w:ascii="Times" w:eastAsia="Times" w:hAnsi="Times" w:cs="Times New Roman"/>
          <w:color w:val="auto"/>
          <w:sz w:val="28"/>
          <w:szCs w:val="28"/>
          <w:bdr w:val="none" w:sz="0" w:space="0" w:color="auto"/>
          <w:lang w:val="es-ES_tradnl" w:eastAsia="es-ES"/>
        </w:rPr>
        <w:t>omienda</w:t>
      </w:r>
      <w:r w:rsidRPr="00CD27CE">
        <w:rPr>
          <w:rFonts w:ascii="Times" w:eastAsia="Times" w:hAnsi="Times" w:cs="Times New Roman"/>
          <w:color w:val="auto"/>
          <w:sz w:val="28"/>
          <w:szCs w:val="28"/>
          <w:bdr w:val="none" w:sz="0" w:space="0" w:color="auto"/>
          <w:lang w:val="es-ES_tradnl" w:eastAsia="es-ES"/>
        </w:rPr>
        <w:t xml:space="preserve"> de la Consejería de Turismo, Cultura y Deportes</w:t>
      </w:r>
      <w:r w:rsidR="00B2352D">
        <w:rPr>
          <w:rFonts w:ascii="Times" w:eastAsia="Times" w:hAnsi="Times" w:cs="Times New Roman"/>
          <w:color w:val="auto"/>
          <w:sz w:val="28"/>
          <w:szCs w:val="28"/>
          <w:bdr w:val="none" w:sz="0" w:space="0" w:color="auto"/>
          <w:lang w:val="es-ES_tradnl" w:eastAsia="es-ES"/>
        </w:rPr>
        <w:t xml:space="preserve"> y un encargo de la Consejería de Turismo, Industria y Comercio. </w:t>
      </w:r>
      <w:r w:rsidR="00000A90">
        <w:rPr>
          <w:rFonts w:ascii="Times" w:eastAsia="Times" w:hAnsi="Times" w:cs="Times New Roman"/>
          <w:color w:val="auto"/>
          <w:sz w:val="28"/>
          <w:szCs w:val="28"/>
          <w:bdr w:val="none" w:sz="0" w:space="0" w:color="auto"/>
          <w:lang w:val="es-ES_tradnl" w:eastAsia="es-ES"/>
        </w:rPr>
        <w:t>L</w:t>
      </w:r>
      <w:r w:rsidR="00B2352D">
        <w:rPr>
          <w:rFonts w:ascii="Times" w:eastAsia="Times" w:hAnsi="Times" w:cs="Times New Roman"/>
          <w:color w:val="auto"/>
          <w:sz w:val="28"/>
          <w:szCs w:val="28"/>
          <w:bdr w:val="none" w:sz="0" w:space="0" w:color="auto"/>
          <w:lang w:val="es-ES_tradnl" w:eastAsia="es-ES"/>
        </w:rPr>
        <w:t>a  encomienda es par</w:t>
      </w:r>
      <w:r w:rsidRPr="00CD27CE">
        <w:rPr>
          <w:rFonts w:ascii="Times" w:eastAsia="Times" w:hAnsi="Times" w:cs="Times New Roman"/>
          <w:color w:val="auto"/>
          <w:sz w:val="28"/>
          <w:szCs w:val="28"/>
          <w:bdr w:val="none" w:sz="0" w:space="0" w:color="auto"/>
          <w:lang w:val="es-ES_tradnl" w:eastAsia="es-ES"/>
        </w:rPr>
        <w:t xml:space="preserve">a “El proyecto de información tecnológica management office (ITMO) del destino turístico de las Islas Canarias, que dirigirá y gestionará los </w:t>
      </w:r>
      <w:r w:rsidRPr="00CD27CE">
        <w:rPr>
          <w:rFonts w:ascii="Times" w:eastAsia="Times" w:hAnsi="Times" w:cs="Times New Roman"/>
          <w:color w:val="auto"/>
          <w:sz w:val="28"/>
          <w:szCs w:val="28"/>
          <w:bdr w:val="none" w:sz="0" w:space="0" w:color="auto"/>
          <w:lang w:val="es-ES_tradnl" w:eastAsia="es-ES"/>
        </w:rPr>
        <w:lastRenderedPageBreak/>
        <w:t xml:space="preserve">proyectos para la tecnología de la información en la ejecución de la estrategia promocional on line del destino Islas Canarias” por importe de 40.434 euros y </w:t>
      </w:r>
      <w:r w:rsidR="00000A90">
        <w:rPr>
          <w:rFonts w:ascii="Times" w:eastAsia="Times" w:hAnsi="Times" w:cs="Times New Roman"/>
          <w:color w:val="auto"/>
          <w:sz w:val="28"/>
          <w:szCs w:val="28"/>
          <w:bdr w:val="none" w:sz="0" w:space="0" w:color="auto"/>
          <w:lang w:val="es-ES_tradnl" w:eastAsia="es-ES"/>
        </w:rPr>
        <w:t>e</w:t>
      </w:r>
      <w:r w:rsidR="00B2352D">
        <w:rPr>
          <w:rFonts w:ascii="Times" w:eastAsia="Times" w:hAnsi="Times" w:cs="Times New Roman"/>
          <w:color w:val="auto"/>
          <w:sz w:val="28"/>
          <w:szCs w:val="28"/>
          <w:bdr w:val="none" w:sz="0" w:space="0" w:color="auto"/>
          <w:lang w:val="es-ES_tradnl" w:eastAsia="es-ES"/>
        </w:rPr>
        <w:t xml:space="preserve">l encargo es para “La revisión y ampliación del sistema de información turística sobre los distintos perfiles de turistas que visitan las Islas Canarias” por importe de </w:t>
      </w:r>
      <w:r w:rsidR="00000A90">
        <w:rPr>
          <w:rFonts w:ascii="Times" w:eastAsia="Times" w:hAnsi="Times" w:cs="Times New Roman"/>
          <w:color w:val="auto"/>
          <w:sz w:val="28"/>
          <w:szCs w:val="28"/>
          <w:bdr w:val="none" w:sz="0" w:space="0" w:color="auto"/>
          <w:lang w:val="es-ES_tradnl" w:eastAsia="es-ES"/>
        </w:rPr>
        <w:t>8</w:t>
      </w:r>
      <w:r w:rsidR="00B2352D">
        <w:rPr>
          <w:rFonts w:ascii="Times" w:eastAsia="Times" w:hAnsi="Times" w:cs="Times New Roman"/>
          <w:color w:val="auto"/>
          <w:sz w:val="28"/>
          <w:szCs w:val="28"/>
          <w:bdr w:val="none" w:sz="0" w:space="0" w:color="auto"/>
          <w:lang w:val="es-ES_tradnl" w:eastAsia="es-ES"/>
        </w:rPr>
        <w:t>0.000,00 euros.</w:t>
      </w:r>
    </w:p>
    <w:p w14:paraId="7E931751"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outlineLvl w:val="9"/>
        <w:rPr>
          <w:rFonts w:ascii="Times" w:eastAsia="Times" w:hAnsi="Times" w:cs="Times New Roman"/>
          <w:color w:val="auto"/>
          <w:sz w:val="28"/>
          <w:szCs w:val="28"/>
          <w:bdr w:val="none" w:sz="0" w:space="0" w:color="auto"/>
          <w:lang w:val="es-ES_tradnl" w:eastAsia="es-ES"/>
        </w:rPr>
      </w:pPr>
    </w:p>
    <w:p w14:paraId="6BF28D7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t>G) Información sobre las operaciones financieras (Anexo VII)</w:t>
      </w:r>
    </w:p>
    <w:p w14:paraId="5329DEA1"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084E9C96"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La empresa no tiene operaciones financieras con entidades bancarias, a excepción de la utilización de tarjeta visa, que se usa para algunos pagos de escasa cuantía, sobre todo en ferias fuera de España, donde nos exigen este medio de pago para reservar estancias en hoteles, etc.</w:t>
      </w:r>
    </w:p>
    <w:p w14:paraId="4AD9CEA7"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20D9C44C"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t>H) Información sobre el Plan económico-financiero de saneamiento a medio plazo como consecuencia de situaciones de desequilibrio presupuestario (Anexo VIII)</w:t>
      </w:r>
    </w:p>
    <w:p w14:paraId="5D4C531A"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541CEED3"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Tal como figura en el Anexo VIII, la empresa no tiene obligación de presentar plan económico financiero de saneamiento a medio plazo porque no ha obtenido pérdidas.</w:t>
      </w:r>
    </w:p>
    <w:p w14:paraId="75030172" w14:textId="22DF4D10" w:rsid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b/>
          <w:color w:val="auto"/>
          <w:sz w:val="28"/>
          <w:szCs w:val="28"/>
          <w:bdr w:val="none" w:sz="0" w:space="0" w:color="auto"/>
          <w:lang w:val="es-ES_tradnl" w:eastAsia="es-ES"/>
        </w:rPr>
      </w:pPr>
    </w:p>
    <w:p w14:paraId="6B9C192E" w14:textId="77777777" w:rsidR="00E61295" w:rsidRPr="00CD27CE" w:rsidRDefault="00E61295"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b/>
          <w:color w:val="auto"/>
          <w:sz w:val="28"/>
          <w:szCs w:val="28"/>
          <w:bdr w:val="none" w:sz="0" w:space="0" w:color="auto"/>
          <w:lang w:val="es-ES_tradnl" w:eastAsia="es-ES"/>
        </w:rPr>
      </w:pPr>
    </w:p>
    <w:p w14:paraId="0F5B68BB"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t xml:space="preserve">I) </w:t>
      </w:r>
      <w:r w:rsidRPr="00EE5739">
        <w:rPr>
          <w:rFonts w:ascii="Times" w:eastAsia="Times" w:hAnsi="Times" w:cs="Times New Roman"/>
          <w:b/>
          <w:color w:val="auto"/>
          <w:sz w:val="28"/>
          <w:szCs w:val="28"/>
          <w:bdr w:val="none" w:sz="0" w:space="0" w:color="auto"/>
          <w:lang w:val="es-ES_tradnl" w:eastAsia="es-ES"/>
        </w:rPr>
        <w:t>Proyección al cierre del ejercicio siguiente</w:t>
      </w:r>
    </w:p>
    <w:p w14:paraId="40CD7A37"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25D6773C" w14:textId="79FED15B"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La previsión del resultado de las principales magnitudes al cierre del ejercicio 20</w:t>
      </w:r>
      <w:r w:rsidR="004D0D8C">
        <w:rPr>
          <w:rFonts w:ascii="Times" w:eastAsia="Times" w:hAnsi="Times" w:cs="Times New Roman"/>
          <w:color w:val="auto"/>
          <w:sz w:val="28"/>
          <w:szCs w:val="28"/>
          <w:bdr w:val="none" w:sz="0" w:space="0" w:color="auto"/>
          <w:lang w:val="es-ES_tradnl" w:eastAsia="es-ES"/>
        </w:rPr>
        <w:t>2</w:t>
      </w:r>
      <w:r w:rsidR="00000A90">
        <w:rPr>
          <w:rFonts w:ascii="Times" w:eastAsia="Times" w:hAnsi="Times" w:cs="Times New Roman"/>
          <w:color w:val="auto"/>
          <w:sz w:val="28"/>
          <w:szCs w:val="28"/>
          <w:bdr w:val="none" w:sz="0" w:space="0" w:color="auto"/>
          <w:lang w:val="es-ES_tradnl" w:eastAsia="es-ES"/>
        </w:rPr>
        <w:t>1</w:t>
      </w:r>
      <w:r w:rsidRPr="00CD27CE">
        <w:rPr>
          <w:rFonts w:ascii="Times" w:eastAsia="Times" w:hAnsi="Times" w:cs="Times New Roman"/>
          <w:color w:val="auto"/>
          <w:sz w:val="28"/>
          <w:szCs w:val="28"/>
          <w:bdr w:val="none" w:sz="0" w:space="0" w:color="auto"/>
          <w:lang w:val="es-ES_tradnl" w:eastAsia="es-ES"/>
        </w:rPr>
        <w:t xml:space="preserve"> son las siguientes:</w:t>
      </w:r>
    </w:p>
    <w:p w14:paraId="2FA8F7D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0037B731" w14:textId="00CDA7A7" w:rsidR="00CD27CE" w:rsidRPr="00CD27CE" w:rsidRDefault="00CD27CE" w:rsidP="00CD27C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 xml:space="preserve">Resultado contable:                                  </w:t>
      </w:r>
      <w:r w:rsidR="002A17CC">
        <w:rPr>
          <w:rFonts w:ascii="Times" w:eastAsia="Times" w:hAnsi="Times" w:cs="Times New Roman"/>
          <w:color w:val="auto"/>
          <w:sz w:val="28"/>
          <w:szCs w:val="28"/>
          <w:bdr w:val="none" w:sz="0" w:space="0" w:color="auto"/>
          <w:lang w:val="es-ES_tradnl" w:eastAsia="es-ES"/>
        </w:rPr>
        <w:t xml:space="preserve"> </w:t>
      </w:r>
      <w:r w:rsidRPr="00CD27CE">
        <w:rPr>
          <w:rFonts w:ascii="Times" w:eastAsia="Times" w:hAnsi="Times" w:cs="Times New Roman"/>
          <w:color w:val="auto"/>
          <w:sz w:val="28"/>
          <w:szCs w:val="28"/>
          <w:bdr w:val="none" w:sz="0" w:space="0" w:color="auto"/>
          <w:lang w:val="es-ES_tradnl" w:eastAsia="es-ES"/>
        </w:rPr>
        <w:t>- 2.2</w:t>
      </w:r>
      <w:r w:rsidR="00000A90">
        <w:rPr>
          <w:rFonts w:ascii="Times" w:eastAsia="Times" w:hAnsi="Times" w:cs="Times New Roman"/>
          <w:color w:val="auto"/>
          <w:sz w:val="28"/>
          <w:szCs w:val="28"/>
          <w:bdr w:val="none" w:sz="0" w:space="0" w:color="auto"/>
          <w:lang w:val="es-ES_tradnl" w:eastAsia="es-ES"/>
        </w:rPr>
        <w:t>67</w:t>
      </w:r>
      <w:r w:rsidRPr="00CD27CE">
        <w:rPr>
          <w:rFonts w:ascii="Times" w:eastAsia="Times" w:hAnsi="Times" w:cs="Times New Roman"/>
          <w:color w:val="auto"/>
          <w:sz w:val="28"/>
          <w:szCs w:val="28"/>
          <w:bdr w:val="none" w:sz="0" w:space="0" w:color="auto"/>
          <w:lang w:val="es-ES_tradnl" w:eastAsia="es-ES"/>
        </w:rPr>
        <w:t>.</w:t>
      </w:r>
      <w:r w:rsidR="00000A90">
        <w:rPr>
          <w:rFonts w:ascii="Times" w:eastAsia="Times" w:hAnsi="Times" w:cs="Times New Roman"/>
          <w:color w:val="auto"/>
          <w:sz w:val="28"/>
          <w:szCs w:val="28"/>
          <w:bdr w:val="none" w:sz="0" w:space="0" w:color="auto"/>
          <w:lang w:val="es-ES_tradnl" w:eastAsia="es-ES"/>
        </w:rPr>
        <w:t>888</w:t>
      </w:r>
      <w:r w:rsidRPr="00CD27CE">
        <w:rPr>
          <w:rFonts w:ascii="Times" w:eastAsia="Times" w:hAnsi="Times" w:cs="Times New Roman"/>
          <w:color w:val="auto"/>
          <w:sz w:val="28"/>
          <w:szCs w:val="28"/>
          <w:bdr w:val="none" w:sz="0" w:space="0" w:color="auto"/>
          <w:lang w:val="es-ES_tradnl" w:eastAsia="es-ES"/>
        </w:rPr>
        <w:t>,00 euros</w:t>
      </w:r>
    </w:p>
    <w:p w14:paraId="747B70FE" w14:textId="77777777" w:rsidR="00CD27CE" w:rsidRPr="00CD27CE" w:rsidRDefault="00CD27CE" w:rsidP="00CD27C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 xml:space="preserve">Resultado ajustado:                                       </w:t>
      </w:r>
      <w:r w:rsidR="002A17CC">
        <w:rPr>
          <w:rFonts w:ascii="Times" w:eastAsia="Times" w:hAnsi="Times" w:cs="Times New Roman"/>
          <w:color w:val="auto"/>
          <w:sz w:val="28"/>
          <w:szCs w:val="28"/>
          <w:bdr w:val="none" w:sz="0" w:space="0" w:color="auto"/>
          <w:lang w:val="es-ES_tradnl" w:eastAsia="es-ES"/>
        </w:rPr>
        <w:t xml:space="preserve"> </w:t>
      </w:r>
      <w:r w:rsidRPr="00CD27CE">
        <w:rPr>
          <w:rFonts w:ascii="Times" w:eastAsia="Times" w:hAnsi="Times" w:cs="Times New Roman"/>
          <w:color w:val="auto"/>
          <w:sz w:val="28"/>
          <w:szCs w:val="28"/>
          <w:bdr w:val="none" w:sz="0" w:space="0" w:color="auto"/>
          <w:lang w:val="es-ES_tradnl" w:eastAsia="es-ES"/>
        </w:rPr>
        <w:t xml:space="preserve">            0,00 euros</w:t>
      </w:r>
    </w:p>
    <w:p w14:paraId="3EAAC832" w14:textId="05728562" w:rsidR="00CD27CE" w:rsidRPr="00CD27CE" w:rsidRDefault="00CD27CE" w:rsidP="00CD27C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 xml:space="preserve">Tesorería:                                                     </w:t>
      </w:r>
      <w:r w:rsidR="002A17CC">
        <w:rPr>
          <w:rFonts w:ascii="Times" w:eastAsia="Times" w:hAnsi="Times" w:cs="Times New Roman"/>
          <w:color w:val="auto"/>
          <w:sz w:val="28"/>
          <w:szCs w:val="28"/>
          <w:bdr w:val="none" w:sz="0" w:space="0" w:color="auto"/>
          <w:lang w:val="es-ES_tradnl" w:eastAsia="es-ES"/>
        </w:rPr>
        <w:t xml:space="preserve"> </w:t>
      </w:r>
      <w:r w:rsidR="00000A90">
        <w:rPr>
          <w:rFonts w:ascii="Times" w:eastAsia="Times" w:hAnsi="Times" w:cs="Times New Roman"/>
          <w:color w:val="auto"/>
          <w:sz w:val="28"/>
          <w:szCs w:val="28"/>
          <w:bdr w:val="none" w:sz="0" w:space="0" w:color="auto"/>
          <w:lang w:val="es-ES_tradnl" w:eastAsia="es-ES"/>
        </w:rPr>
        <w:t xml:space="preserve">   875.112,32</w:t>
      </w:r>
      <w:r w:rsidRPr="00CD27CE">
        <w:rPr>
          <w:rFonts w:ascii="Times" w:eastAsia="Times" w:hAnsi="Times" w:cs="Times New Roman"/>
          <w:color w:val="auto"/>
          <w:sz w:val="28"/>
          <w:szCs w:val="28"/>
          <w:bdr w:val="none" w:sz="0" w:space="0" w:color="auto"/>
          <w:lang w:val="es-ES_tradnl" w:eastAsia="es-ES"/>
        </w:rPr>
        <w:t xml:space="preserve"> euros</w:t>
      </w:r>
    </w:p>
    <w:p w14:paraId="38CEFB0F" w14:textId="4E64C922" w:rsidR="00CD27CE" w:rsidRPr="00CD27CE" w:rsidRDefault="00CD27CE" w:rsidP="00CD27C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 xml:space="preserve">Gastos de personal:                                      </w:t>
      </w:r>
      <w:r w:rsidR="002A17CC">
        <w:rPr>
          <w:rFonts w:ascii="Times" w:eastAsia="Times" w:hAnsi="Times" w:cs="Times New Roman"/>
          <w:color w:val="auto"/>
          <w:sz w:val="28"/>
          <w:szCs w:val="28"/>
          <w:bdr w:val="none" w:sz="0" w:space="0" w:color="auto"/>
          <w:lang w:val="es-ES_tradnl" w:eastAsia="es-ES"/>
        </w:rPr>
        <w:t xml:space="preserve"> </w:t>
      </w:r>
      <w:r w:rsidRPr="00CD27CE">
        <w:rPr>
          <w:rFonts w:ascii="Times" w:eastAsia="Times" w:hAnsi="Times" w:cs="Times New Roman"/>
          <w:color w:val="auto"/>
          <w:sz w:val="28"/>
          <w:szCs w:val="28"/>
          <w:bdr w:val="none" w:sz="0" w:space="0" w:color="auto"/>
          <w:lang w:val="es-ES_tradnl" w:eastAsia="es-ES"/>
        </w:rPr>
        <w:t>2.</w:t>
      </w:r>
      <w:r w:rsidR="00000A90">
        <w:rPr>
          <w:rFonts w:ascii="Times" w:eastAsia="Times" w:hAnsi="Times" w:cs="Times New Roman"/>
          <w:color w:val="auto"/>
          <w:sz w:val="28"/>
          <w:szCs w:val="28"/>
          <w:bdr w:val="none" w:sz="0" w:space="0" w:color="auto"/>
          <w:lang w:val="es-ES_tradnl" w:eastAsia="es-ES"/>
        </w:rPr>
        <w:t>729.515,48</w:t>
      </w:r>
      <w:r w:rsidRPr="00CD27CE">
        <w:rPr>
          <w:rFonts w:ascii="Times" w:eastAsia="Times" w:hAnsi="Times" w:cs="Times New Roman"/>
          <w:color w:val="auto"/>
          <w:sz w:val="28"/>
          <w:szCs w:val="28"/>
          <w:bdr w:val="none" w:sz="0" w:space="0" w:color="auto"/>
          <w:lang w:val="es-ES_tradnl" w:eastAsia="es-ES"/>
        </w:rPr>
        <w:t xml:space="preserve"> euros</w:t>
      </w:r>
    </w:p>
    <w:p w14:paraId="77824091" w14:textId="77777777" w:rsidR="00CD27CE" w:rsidRPr="00CD27CE" w:rsidRDefault="00CD27CE" w:rsidP="00CD27C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 xml:space="preserve">Ingresos de la CAC (prestación de servicios): </w:t>
      </w:r>
      <w:r w:rsidR="002A17CC">
        <w:rPr>
          <w:rFonts w:ascii="Times" w:eastAsia="Times" w:hAnsi="Times" w:cs="Times New Roman"/>
          <w:color w:val="auto"/>
          <w:sz w:val="28"/>
          <w:szCs w:val="28"/>
          <w:bdr w:val="none" w:sz="0" w:space="0" w:color="auto"/>
          <w:lang w:val="es-ES_tradnl" w:eastAsia="es-ES"/>
        </w:rPr>
        <w:t>12</w:t>
      </w:r>
      <w:r w:rsidRPr="00CD27CE">
        <w:rPr>
          <w:rFonts w:ascii="Times" w:eastAsia="Times" w:hAnsi="Times" w:cs="Times New Roman"/>
          <w:color w:val="auto"/>
          <w:sz w:val="28"/>
          <w:szCs w:val="28"/>
          <w:bdr w:val="none" w:sz="0" w:space="0" w:color="auto"/>
          <w:lang w:val="es-ES_tradnl" w:eastAsia="es-ES"/>
        </w:rPr>
        <w:t>0.434,00 euros</w:t>
      </w:r>
    </w:p>
    <w:p w14:paraId="5AF3FDE0" w14:textId="77777777" w:rsidR="00CD27CE" w:rsidRPr="00CD27CE" w:rsidRDefault="00CD27CE" w:rsidP="00CD27C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 xml:space="preserve">Resto de ingresos (prestación de servicios):            </w:t>
      </w:r>
      <w:r w:rsidR="004645DD">
        <w:rPr>
          <w:rFonts w:ascii="Times" w:eastAsia="Times" w:hAnsi="Times" w:cs="Times New Roman"/>
          <w:color w:val="auto"/>
          <w:sz w:val="28"/>
          <w:szCs w:val="28"/>
          <w:bdr w:val="none" w:sz="0" w:space="0" w:color="auto"/>
          <w:lang w:val="es-ES_tradnl" w:eastAsia="es-ES"/>
        </w:rPr>
        <w:t xml:space="preserve"> </w:t>
      </w:r>
      <w:r w:rsidRPr="00CD27CE">
        <w:rPr>
          <w:rFonts w:ascii="Times" w:eastAsia="Times" w:hAnsi="Times" w:cs="Times New Roman"/>
          <w:color w:val="auto"/>
          <w:sz w:val="28"/>
          <w:szCs w:val="28"/>
          <w:bdr w:val="none" w:sz="0" w:space="0" w:color="auto"/>
          <w:lang w:val="es-ES_tradnl" w:eastAsia="es-ES"/>
        </w:rPr>
        <w:t xml:space="preserve">  0,00 euros</w:t>
      </w:r>
    </w:p>
    <w:p w14:paraId="5D5F565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2D7F1008" w14:textId="771B0BDB" w:rsid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63A2B8C8" w14:textId="7497C3F8" w:rsidR="009904A5" w:rsidRDefault="009904A5"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7D45EFD6" w14:textId="7F0ED08F" w:rsidR="009904A5" w:rsidRDefault="009904A5"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76640CD6" w14:textId="77777777" w:rsidR="009904A5" w:rsidRPr="00CD27CE" w:rsidRDefault="009904A5"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7E96DBFE"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lastRenderedPageBreak/>
        <w:t xml:space="preserve">J) Información sobre objetivos e indicadores de gestión </w:t>
      </w:r>
    </w:p>
    <w:p w14:paraId="7C829E59"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b/>
          <w:color w:val="auto"/>
          <w:sz w:val="28"/>
          <w:szCs w:val="28"/>
          <w:bdr w:val="none" w:sz="0" w:space="0" w:color="auto"/>
          <w:lang w:val="es-ES_tradnl" w:eastAsia="es-ES"/>
        </w:rPr>
      </w:pPr>
      <w:r w:rsidRPr="00CD27CE">
        <w:rPr>
          <w:rFonts w:ascii="Times" w:eastAsia="Times" w:hAnsi="Times" w:cs="Times New Roman"/>
          <w:b/>
          <w:color w:val="auto"/>
          <w:sz w:val="28"/>
          <w:szCs w:val="28"/>
          <w:bdr w:val="none" w:sz="0" w:space="0" w:color="auto"/>
          <w:lang w:val="es-ES_tradnl" w:eastAsia="es-ES"/>
        </w:rPr>
        <w:t>(Anexo IX)</w:t>
      </w:r>
    </w:p>
    <w:p w14:paraId="3A01BEEF"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b/>
          <w:color w:val="auto"/>
          <w:sz w:val="28"/>
          <w:szCs w:val="28"/>
          <w:bdr w:val="none" w:sz="0" w:space="0" w:color="auto"/>
          <w:lang w:val="es-ES_tradnl" w:eastAsia="es-ES"/>
        </w:rPr>
      </w:pPr>
    </w:p>
    <w:p w14:paraId="7006A16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 xml:space="preserve">Los objetivos e indicadores de gestión que ha establecido la empresa son los que figuran en el Anexo IX. </w:t>
      </w:r>
    </w:p>
    <w:p w14:paraId="4969D5D0" w14:textId="77777777"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p>
    <w:p w14:paraId="7C3C62CD" w14:textId="04A1476A" w:rsidR="00CD27CE" w:rsidRPr="00CD27CE" w:rsidRDefault="00CD27CE" w:rsidP="00CD27CE">
      <w:pPr>
        <w:pBdr>
          <w:top w:val="none" w:sz="0" w:space="0" w:color="auto"/>
          <w:left w:val="none" w:sz="0" w:space="0" w:color="auto"/>
          <w:bottom w:val="none" w:sz="0" w:space="0" w:color="auto"/>
          <w:right w:val="none" w:sz="0" w:space="0" w:color="auto"/>
          <w:between w:val="none" w:sz="0" w:space="0" w:color="auto"/>
          <w:bar w:val="none" w:sz="0" w:color="auto"/>
        </w:pBdr>
        <w:tabs>
          <w:tab w:val="right" w:pos="-5940"/>
        </w:tabs>
        <w:ind w:right="44"/>
        <w:jc w:val="both"/>
        <w:outlineLvl w:val="9"/>
        <w:rPr>
          <w:rFonts w:ascii="Times" w:eastAsia="Times" w:hAnsi="Times" w:cs="Times New Roman"/>
          <w:color w:val="auto"/>
          <w:sz w:val="28"/>
          <w:szCs w:val="28"/>
          <w:bdr w:val="none" w:sz="0" w:space="0" w:color="auto"/>
          <w:lang w:val="es-ES_tradnl" w:eastAsia="es-ES"/>
        </w:rPr>
      </w:pPr>
      <w:r w:rsidRPr="00CD27CE">
        <w:rPr>
          <w:rFonts w:ascii="Times" w:eastAsia="Times" w:hAnsi="Times" w:cs="Times New Roman"/>
          <w:color w:val="auto"/>
          <w:sz w:val="28"/>
          <w:szCs w:val="28"/>
          <w:bdr w:val="none" w:sz="0" w:space="0" w:color="auto"/>
          <w:lang w:val="es-ES_tradnl" w:eastAsia="es-ES"/>
        </w:rPr>
        <w:t>Se adjunta Plan de Marketing 20</w:t>
      </w:r>
      <w:r w:rsidR="00000A90">
        <w:rPr>
          <w:rFonts w:ascii="Times" w:eastAsia="Times" w:hAnsi="Times" w:cs="Times New Roman"/>
          <w:color w:val="auto"/>
          <w:sz w:val="28"/>
          <w:szCs w:val="28"/>
          <w:bdr w:val="none" w:sz="0" w:space="0" w:color="auto"/>
          <w:lang w:val="es-ES_tradnl" w:eastAsia="es-ES"/>
        </w:rPr>
        <w:t>20</w:t>
      </w:r>
      <w:r w:rsidRPr="00CD27CE">
        <w:rPr>
          <w:rFonts w:ascii="Times" w:eastAsia="Times" w:hAnsi="Times" w:cs="Times New Roman"/>
          <w:color w:val="auto"/>
          <w:sz w:val="28"/>
          <w:szCs w:val="28"/>
          <w:bdr w:val="none" w:sz="0" w:space="0" w:color="auto"/>
          <w:lang w:val="es-ES_tradnl" w:eastAsia="es-ES"/>
        </w:rPr>
        <w:t xml:space="preserve"> de la empresa en documento adjunto.</w:t>
      </w:r>
    </w:p>
    <w:p w14:paraId="0FF769A0" w14:textId="77777777" w:rsidR="00274CE3" w:rsidRDefault="00274CE3" w:rsidP="00274CE3">
      <w:pPr>
        <w:pStyle w:val="bullet"/>
        <w:numPr>
          <w:ilvl w:val="0"/>
          <w:numId w:val="0"/>
        </w:numPr>
        <w:spacing w:line="276" w:lineRule="auto"/>
        <w:jc w:val="both"/>
      </w:pPr>
    </w:p>
    <w:sectPr w:rsidR="00274CE3" w:rsidSect="0072632B">
      <w:headerReference w:type="default" r:id="rId8"/>
      <w:footerReference w:type="default" r:id="rId9"/>
      <w:headerReference w:type="first" r:id="rId10"/>
      <w:footerReference w:type="first" r:id="rId11"/>
      <w:pgSz w:w="11900" w:h="16840"/>
      <w:pgMar w:top="2769" w:right="1134" w:bottom="1701" w:left="1701" w:header="387" w:footer="139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7BA9" w14:textId="77777777" w:rsidR="00612C28" w:rsidRDefault="00612C28" w:rsidP="00A06021">
      <w:r>
        <w:separator/>
      </w:r>
    </w:p>
  </w:endnote>
  <w:endnote w:type="continuationSeparator" w:id="0">
    <w:p w14:paraId="0E4A0A46" w14:textId="77777777" w:rsidR="00612C28" w:rsidRDefault="00612C28" w:rsidP="00A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2615"/>
      <w:docPartObj>
        <w:docPartGallery w:val="Page Numbers (Bottom of Page)"/>
        <w:docPartUnique/>
      </w:docPartObj>
    </w:sdtPr>
    <w:sdtEndPr/>
    <w:sdtContent>
      <w:sdt>
        <w:sdtPr>
          <w:id w:val="-1259218990"/>
          <w:docPartObj>
            <w:docPartGallery w:val="Page Numbers (Top of Page)"/>
            <w:docPartUnique/>
          </w:docPartObj>
        </w:sdtPr>
        <w:sdtEndPr/>
        <w:sdtContent>
          <w:p w14:paraId="66EAAB1B" w14:textId="77777777" w:rsidR="00B33A26" w:rsidRDefault="00920E21" w:rsidP="00416FC5">
            <w:pPr>
              <w:pStyle w:val="Piedepgina"/>
              <w:jc w:val="right"/>
            </w:pPr>
            <w:r>
              <w:t xml:space="preserve">Página </w:t>
            </w:r>
            <w:r>
              <w:fldChar w:fldCharType="begin"/>
            </w:r>
            <w:r>
              <w:instrText>PAGE</w:instrText>
            </w:r>
            <w:r>
              <w:fldChar w:fldCharType="separate"/>
            </w:r>
            <w:r>
              <w:t>2</w:t>
            </w:r>
            <w:r>
              <w:fldChar w:fldCharType="end"/>
            </w:r>
            <w:r>
              <w:t xml:space="preserve"> de </w:t>
            </w:r>
            <w:r>
              <w:fldChar w:fldCharType="begin"/>
            </w:r>
            <w:r>
              <w:instrText>NUMPAGES</w:instrText>
            </w:r>
            <w:r>
              <w:fldChar w:fldCharType="separate"/>
            </w:r>
            <w: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B933" w14:textId="77777777" w:rsidR="00B33A26" w:rsidRDefault="00B33A26" w:rsidP="00A06021">
    <w:pPr>
      <w:pStyle w:val="Piedepgina"/>
    </w:pPr>
    <w:r>
      <w:rPr>
        <w:noProof/>
      </w:rPr>
      <w:drawing>
        <wp:anchor distT="0" distB="0" distL="114300" distR="114300" simplePos="0" relativeHeight="251673600" behindDoc="1" locked="0" layoutInCell="1" allowOverlap="1" wp14:anchorId="319CCC08" wp14:editId="674C182F">
          <wp:simplePos x="0" y="0"/>
          <wp:positionH relativeFrom="column">
            <wp:posOffset>-678455</wp:posOffset>
          </wp:positionH>
          <wp:positionV relativeFrom="page">
            <wp:posOffset>9634220</wp:posOffset>
          </wp:positionV>
          <wp:extent cx="7111365" cy="104521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lefonos-03-03-03.jpg"/>
                  <pic:cNvPicPr/>
                </pic:nvPicPr>
                <pic:blipFill>
                  <a:blip r:embed="rId1">
                    <a:extLst>
                      <a:ext uri="{28A0092B-C50C-407E-A947-70E740481C1C}">
                        <a14:useLocalDpi xmlns:a14="http://schemas.microsoft.com/office/drawing/2010/main" val="0"/>
                      </a:ext>
                    </a:extLst>
                  </a:blip>
                  <a:stretch>
                    <a:fillRect/>
                  </a:stretch>
                </pic:blipFill>
                <pic:spPr>
                  <a:xfrm>
                    <a:off x="0" y="0"/>
                    <a:ext cx="7111365" cy="10452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5FA1" w14:textId="77777777" w:rsidR="00612C28" w:rsidRDefault="00612C28" w:rsidP="00A06021">
      <w:r>
        <w:separator/>
      </w:r>
    </w:p>
  </w:footnote>
  <w:footnote w:type="continuationSeparator" w:id="0">
    <w:p w14:paraId="7DFE5D15" w14:textId="77777777" w:rsidR="00612C28" w:rsidRDefault="00612C28" w:rsidP="00A0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3BE" w14:textId="77777777" w:rsidR="00481B8A" w:rsidRPr="00481B8A" w:rsidRDefault="00481B8A" w:rsidP="00481B8A">
    <w:pPr>
      <w:pStyle w:val="Encabezado"/>
      <w:ind w:left="-1701"/>
    </w:pPr>
    <w:r>
      <w:rPr>
        <w:b/>
        <w:noProof/>
      </w:rPr>
      <w:drawing>
        <wp:inline distT="0" distB="0" distL="0" distR="0" wp14:anchorId="5373D221" wp14:editId="1D510D37">
          <wp:extent cx="8381784" cy="117705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562106" cy="120237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991A" w14:textId="77777777" w:rsidR="007804E8" w:rsidRDefault="00F6248F" w:rsidP="00F6248F">
    <w:pPr>
      <w:pStyle w:val="Encabezado"/>
      <w:ind w:left="-1701"/>
    </w:pPr>
    <w:r>
      <w:rPr>
        <w:b/>
        <w:noProof/>
      </w:rPr>
      <w:drawing>
        <wp:inline distT="0" distB="0" distL="0" distR="0" wp14:anchorId="4974A68F" wp14:editId="1B26A2E7">
          <wp:extent cx="8073657" cy="11346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438652" cy="1185972"/>
                  </a:xfrm>
                  <a:prstGeom prst="rect">
                    <a:avLst/>
                  </a:prstGeom>
                </pic:spPr>
              </pic:pic>
            </a:graphicData>
          </a:graphic>
        </wp:inline>
      </w:drawing>
    </w:r>
    <w:r w:rsidR="00C113FE">
      <w:rPr>
        <w:b/>
        <w:noProof/>
      </w:rPr>
      <w:drawing>
        <wp:anchor distT="0" distB="0" distL="114300" distR="114300" simplePos="0" relativeHeight="251666432" behindDoc="1" locked="1" layoutInCell="1" allowOverlap="1" wp14:anchorId="3444416C" wp14:editId="398EAD58">
          <wp:simplePos x="0" y="0"/>
          <wp:positionH relativeFrom="column">
            <wp:posOffset>-1102995</wp:posOffset>
          </wp:positionH>
          <wp:positionV relativeFrom="page">
            <wp:posOffset>1697990</wp:posOffset>
          </wp:positionV>
          <wp:extent cx="640715" cy="694753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2">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87A"/>
    <w:multiLevelType w:val="hybridMultilevel"/>
    <w:tmpl w:val="02E45DD0"/>
    <w:numStyleLink w:val="Estiloimportado1"/>
  </w:abstractNum>
  <w:abstractNum w:abstractNumId="1"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2" w15:restartNumberingAfterBreak="0">
    <w:nsid w:val="14037673"/>
    <w:multiLevelType w:val="hybridMultilevel"/>
    <w:tmpl w:val="7FFA0D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9F3717"/>
    <w:multiLevelType w:val="hybridMultilevel"/>
    <w:tmpl w:val="43903E14"/>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B1681"/>
    <w:multiLevelType w:val="multilevel"/>
    <w:tmpl w:val="5DF4EF0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773580"/>
    <w:multiLevelType w:val="hybridMultilevel"/>
    <w:tmpl w:val="A848855C"/>
    <w:lvl w:ilvl="0" w:tplc="A77A6FE8">
      <w:start w:val="1"/>
      <w:numFmt w:val="bullet"/>
      <w:pStyle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217193"/>
    <w:multiLevelType w:val="hybridMultilevel"/>
    <w:tmpl w:val="9EEC5842"/>
    <w:lvl w:ilvl="0" w:tplc="B540F35C">
      <w:start w:val="1"/>
      <w:numFmt w:val="upperLetter"/>
      <w:lvlText w:val="%1)"/>
      <w:lvlJc w:val="left"/>
      <w:pPr>
        <w:tabs>
          <w:tab w:val="num" w:pos="502"/>
        </w:tabs>
        <w:ind w:left="502" w:hanging="360"/>
      </w:pPr>
      <w:rPr>
        <w:rFonts w:hint="default"/>
      </w:r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7" w15:restartNumberingAfterBreak="0">
    <w:nsid w:val="3AAC1BC9"/>
    <w:multiLevelType w:val="hybridMultilevel"/>
    <w:tmpl w:val="3B9EA8DA"/>
    <w:numStyleLink w:val="Estiloimportado3"/>
  </w:abstractNum>
  <w:abstractNum w:abstractNumId="8"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713753D"/>
    <w:multiLevelType w:val="hybridMultilevel"/>
    <w:tmpl w:val="2F24D73C"/>
    <w:numStyleLink w:val="Estiloimportado10"/>
  </w:abstractNum>
  <w:abstractNum w:abstractNumId="10" w15:restartNumberingAfterBreak="0">
    <w:nsid w:val="656400B3"/>
    <w:multiLevelType w:val="hybridMultilevel"/>
    <w:tmpl w:val="3B56AB82"/>
    <w:lvl w:ilvl="0" w:tplc="6AD4A234">
      <w:start w:val="1"/>
      <w:numFmt w:val="bullet"/>
      <w:lvlText w:val="-"/>
      <w:lvlJc w:val="left"/>
      <w:pPr>
        <w:ind w:left="720" w:hanging="360"/>
      </w:pPr>
      <w:rPr>
        <w:rFonts w:ascii="Times" w:eastAsia="Times" w:hAnsi="Times" w:cs="Time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75037F"/>
    <w:multiLevelType w:val="hybridMultilevel"/>
    <w:tmpl w:val="9E908FF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1786537"/>
    <w:multiLevelType w:val="hybridMultilevel"/>
    <w:tmpl w:val="995E15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40A798F"/>
    <w:multiLevelType w:val="hybridMultilevel"/>
    <w:tmpl w:val="5F98D09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7D993642"/>
    <w:multiLevelType w:val="hybridMultilevel"/>
    <w:tmpl w:val="A308D14E"/>
    <w:lvl w:ilvl="0" w:tplc="E3503592">
      <w:start w:val="1"/>
      <w:numFmt w:val="lowerLetter"/>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num w:numId="1">
    <w:abstractNumId w:val="8"/>
  </w:num>
  <w:num w:numId="2">
    <w:abstractNumId w:val="0"/>
  </w:num>
  <w:num w:numId="3">
    <w:abstractNumId w:val="3"/>
  </w:num>
  <w:num w:numId="4">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5">
    <w:abstractNumId w:val="0"/>
    <w:lvlOverride w:ilvl="0">
      <w:startOverride w:val="2"/>
      <w:lvl w:ilvl="0" w:tplc="F0907C9E">
        <w:start w:val="2"/>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6CE1FA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A2E8680">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DDC07F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264B5E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67A865A">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34CD30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3AE0BC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7A4E986">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8">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9">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0"/>
    <w:lvlOverride w:ilvl="0">
      <w:startOverride w:val="3"/>
      <w:lvl w:ilvl="0" w:tplc="F0907C9E">
        <w:start w:val="3"/>
        <w:numFmt w:val="decimal"/>
        <w:lvlText w:val="%1."/>
        <w:lvlJc w:val="left"/>
        <w:pPr>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6CE1FA6">
        <w:start w:val="1"/>
        <w:numFmt w:val="lowerLetter"/>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A2E8680">
        <w:start w:val="1"/>
        <w:numFmt w:val="lowerRoman"/>
        <w:lvlText w:val="%3."/>
        <w:lvlJc w:val="left"/>
        <w:pPr>
          <w:ind w:left="180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DDC07F2">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264B5E8">
        <w:start w:val="1"/>
        <w:numFmt w:val="lowerLetter"/>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167A865A">
        <w:start w:val="1"/>
        <w:numFmt w:val="lowerRoman"/>
        <w:lvlText w:val="%6."/>
        <w:lvlJc w:val="left"/>
        <w:pPr>
          <w:ind w:left="396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34CD30C">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3AE0BCE">
        <w:start w:val="1"/>
        <w:numFmt w:val="lowerLetter"/>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7A4E986">
        <w:start w:val="1"/>
        <w:numFmt w:val="lowerRoman"/>
        <w:lvlText w:val="%9."/>
        <w:lvlJc w:val="left"/>
        <w:pPr>
          <w:ind w:left="612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1"/>
  </w:num>
  <w:num w:numId="12">
    <w:abstractNumId w:val="9"/>
  </w:num>
  <w:num w:numId="13">
    <w:abstractNumId w:val="9"/>
    <w:lvlOverride w:ilvl="0">
      <w:lvl w:ilvl="0" w:tplc="281AF64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8A30BF4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1416148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CBEEFDD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FD60029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20BE97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F4EEDFC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1E4E027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824AD3B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4">
    <w:abstractNumId w:val="0"/>
    <w:lvlOverride w:ilvl="0">
      <w:startOverride w:val="4"/>
      <w:lvl w:ilvl="0" w:tplc="F0907C9E">
        <w:start w:val="4"/>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6CE1FA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A2E8680">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DDC07F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264B5E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67A865A">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34CD30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3AE0BC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7A4E986">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7">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8">
    <w:abstractNumId w:val="12"/>
  </w:num>
  <w:num w:numId="19">
    <w:abstractNumId w:val="7"/>
  </w:num>
  <w:num w:numId="20">
    <w:abstractNumId w:val="0"/>
    <w:lvlOverride w:ilvl="0">
      <w:startOverride w:val="5"/>
      <w:lvl w:ilvl="0" w:tplc="F0907C9E">
        <w:start w:val="5"/>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6CE1FA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A2E8680">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DDC07F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264B5E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67A865A">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34CD30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3AE0BC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7A4E986">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2">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3">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4">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7">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abstractNumId w:val="15"/>
  </w:num>
  <w:num w:numId="30">
    <w:abstractNumId w:val="4"/>
  </w:num>
  <w:num w:numId="31">
    <w:abstractNumId w:val="5"/>
  </w:num>
  <w:num w:numId="32">
    <w:abstractNumId w:val="11"/>
  </w:num>
  <w:num w:numId="33">
    <w:abstractNumId w:val="14"/>
  </w:num>
  <w:num w:numId="34">
    <w:abstractNumId w:val="6"/>
  </w:num>
  <w:num w:numId="35">
    <w:abstractNumId w:val="13"/>
  </w:num>
  <w:num w:numId="36">
    <w:abstractNumId w:val="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26"/>
    <w:rsid w:val="00000A90"/>
    <w:rsid w:val="00022BA2"/>
    <w:rsid w:val="00040AD3"/>
    <w:rsid w:val="00061F97"/>
    <w:rsid w:val="00085E4C"/>
    <w:rsid w:val="000868A4"/>
    <w:rsid w:val="000942C6"/>
    <w:rsid w:val="000A1698"/>
    <w:rsid w:val="000A610E"/>
    <w:rsid w:val="000C3D71"/>
    <w:rsid w:val="000D3F33"/>
    <w:rsid w:val="00174505"/>
    <w:rsid w:val="001840AB"/>
    <w:rsid w:val="001A27C0"/>
    <w:rsid w:val="001D63F5"/>
    <w:rsid w:val="001E6F71"/>
    <w:rsid w:val="001F7A68"/>
    <w:rsid w:val="00200238"/>
    <w:rsid w:val="00203B25"/>
    <w:rsid w:val="00204098"/>
    <w:rsid w:val="002174D8"/>
    <w:rsid w:val="00232D19"/>
    <w:rsid w:val="00274CE3"/>
    <w:rsid w:val="00291B23"/>
    <w:rsid w:val="002A17CC"/>
    <w:rsid w:val="002D2B8C"/>
    <w:rsid w:val="00306A4F"/>
    <w:rsid w:val="003B4443"/>
    <w:rsid w:val="003D3F6E"/>
    <w:rsid w:val="003E0C14"/>
    <w:rsid w:val="003F37C2"/>
    <w:rsid w:val="00400472"/>
    <w:rsid w:val="00416FC5"/>
    <w:rsid w:val="00421F84"/>
    <w:rsid w:val="0044471E"/>
    <w:rsid w:val="004645DD"/>
    <w:rsid w:val="00481B8A"/>
    <w:rsid w:val="004908DE"/>
    <w:rsid w:val="00497BA8"/>
    <w:rsid w:val="004B7FF4"/>
    <w:rsid w:val="004C24B4"/>
    <w:rsid w:val="004D0D8C"/>
    <w:rsid w:val="00530104"/>
    <w:rsid w:val="005434FC"/>
    <w:rsid w:val="00546AFE"/>
    <w:rsid w:val="00560469"/>
    <w:rsid w:val="0058441A"/>
    <w:rsid w:val="005A1CFC"/>
    <w:rsid w:val="005F4DF4"/>
    <w:rsid w:val="00605AA3"/>
    <w:rsid w:val="00612C28"/>
    <w:rsid w:val="00623772"/>
    <w:rsid w:val="00645E31"/>
    <w:rsid w:val="00682DA0"/>
    <w:rsid w:val="006873B4"/>
    <w:rsid w:val="006959B0"/>
    <w:rsid w:val="006B789B"/>
    <w:rsid w:val="006D502E"/>
    <w:rsid w:val="006F5361"/>
    <w:rsid w:val="00725D74"/>
    <w:rsid w:val="0072632B"/>
    <w:rsid w:val="0075646D"/>
    <w:rsid w:val="0075792A"/>
    <w:rsid w:val="00772EF7"/>
    <w:rsid w:val="007804E8"/>
    <w:rsid w:val="00781F8E"/>
    <w:rsid w:val="0078563B"/>
    <w:rsid w:val="00787B38"/>
    <w:rsid w:val="007973E4"/>
    <w:rsid w:val="007A123B"/>
    <w:rsid w:val="007F48B7"/>
    <w:rsid w:val="00807933"/>
    <w:rsid w:val="00813C69"/>
    <w:rsid w:val="00890E98"/>
    <w:rsid w:val="008B4094"/>
    <w:rsid w:val="008D7FF4"/>
    <w:rsid w:val="008E4083"/>
    <w:rsid w:val="008F635C"/>
    <w:rsid w:val="0090543E"/>
    <w:rsid w:val="00920E21"/>
    <w:rsid w:val="0093728F"/>
    <w:rsid w:val="00963C64"/>
    <w:rsid w:val="00964D0D"/>
    <w:rsid w:val="00985004"/>
    <w:rsid w:val="009904A5"/>
    <w:rsid w:val="00991F63"/>
    <w:rsid w:val="00996223"/>
    <w:rsid w:val="009A4A35"/>
    <w:rsid w:val="009C2CBA"/>
    <w:rsid w:val="009C557F"/>
    <w:rsid w:val="009E43BB"/>
    <w:rsid w:val="00A06021"/>
    <w:rsid w:val="00A62EFB"/>
    <w:rsid w:val="00A648CF"/>
    <w:rsid w:val="00A95AD9"/>
    <w:rsid w:val="00B0530E"/>
    <w:rsid w:val="00B2352D"/>
    <w:rsid w:val="00B27913"/>
    <w:rsid w:val="00B33A26"/>
    <w:rsid w:val="00B750A1"/>
    <w:rsid w:val="00B84CC7"/>
    <w:rsid w:val="00BA74DA"/>
    <w:rsid w:val="00BB3F72"/>
    <w:rsid w:val="00BC2054"/>
    <w:rsid w:val="00BC6496"/>
    <w:rsid w:val="00BF47F0"/>
    <w:rsid w:val="00C113FE"/>
    <w:rsid w:val="00C36570"/>
    <w:rsid w:val="00C42AA1"/>
    <w:rsid w:val="00C60202"/>
    <w:rsid w:val="00C87CAC"/>
    <w:rsid w:val="00C90531"/>
    <w:rsid w:val="00C95AAF"/>
    <w:rsid w:val="00CD1F71"/>
    <w:rsid w:val="00CD27CE"/>
    <w:rsid w:val="00D053E6"/>
    <w:rsid w:val="00D06769"/>
    <w:rsid w:val="00D80D91"/>
    <w:rsid w:val="00D83C44"/>
    <w:rsid w:val="00D875CD"/>
    <w:rsid w:val="00D95B27"/>
    <w:rsid w:val="00DC4B4F"/>
    <w:rsid w:val="00DF3680"/>
    <w:rsid w:val="00DF51D0"/>
    <w:rsid w:val="00E15B19"/>
    <w:rsid w:val="00E24CB1"/>
    <w:rsid w:val="00E2762C"/>
    <w:rsid w:val="00E32D7C"/>
    <w:rsid w:val="00E61295"/>
    <w:rsid w:val="00E72AE3"/>
    <w:rsid w:val="00EB1029"/>
    <w:rsid w:val="00EC5B36"/>
    <w:rsid w:val="00ED2050"/>
    <w:rsid w:val="00EE5739"/>
    <w:rsid w:val="00F6248F"/>
    <w:rsid w:val="00F768D3"/>
    <w:rsid w:val="00F86F16"/>
    <w:rsid w:val="00FB3A30"/>
    <w:rsid w:val="00FD1B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5"/>
    <o:shapelayout v:ext="edit">
      <o:idmap v:ext="edit" data="1"/>
    </o:shapelayout>
  </w:shapeDefaults>
  <w:decimalSymbol w:val=","/>
  <w:listSeparator w:val=";"/>
  <w14:docId w14:val="720B549E"/>
  <w14:defaultImageDpi w14:val="32767"/>
  <w15:chartTrackingRefBased/>
  <w15:docId w15:val="{367DCE92-BC8C-4B51-B6BF-AB0A36E7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6021"/>
    <w:pPr>
      <w:pBdr>
        <w:top w:val="nil"/>
        <w:left w:val="nil"/>
        <w:bottom w:val="nil"/>
        <w:right w:val="nil"/>
        <w:between w:val="nil"/>
        <w:bar w:val="nil"/>
      </w:pBdr>
      <w:outlineLvl w:val="2"/>
    </w:pPr>
    <w:rPr>
      <w:rFonts w:ascii="Arial" w:eastAsia="Cambria" w:hAnsi="Arial" w:cs="Arial"/>
      <w:color w:val="000000"/>
      <w:u w:color="000000"/>
      <w:bdr w:val="nil"/>
      <w:lang w:val="es-ES" w:eastAsia="es-ES_tradnl"/>
    </w:rPr>
  </w:style>
  <w:style w:type="paragraph" w:styleId="Ttulo1">
    <w:name w:val="heading 1"/>
    <w:basedOn w:val="Prrafodelista"/>
    <w:next w:val="Normal"/>
    <w:link w:val="Ttulo1Car"/>
    <w:uiPriority w:val="9"/>
    <w:qFormat/>
    <w:rsid w:val="00A06021"/>
    <w:pPr>
      <w:numPr>
        <w:numId w:val="30"/>
      </w:numPr>
      <w:outlineLvl w:val="0"/>
    </w:pPr>
    <w:rPr>
      <w:rFonts w:ascii="Arial" w:hAnsi="Arial" w:cs="Arial"/>
      <w:b/>
    </w:rPr>
  </w:style>
  <w:style w:type="paragraph" w:styleId="Ttulo2">
    <w:name w:val="heading 2"/>
    <w:basedOn w:val="Ttulo1"/>
    <w:next w:val="Normal"/>
    <w:link w:val="Ttulo2Car"/>
    <w:uiPriority w:val="9"/>
    <w:unhideWhenUsed/>
    <w:qFormat/>
    <w:rsid w:val="00A06021"/>
    <w:pPr>
      <w:numPr>
        <w:ilvl w:val="1"/>
      </w:numPr>
      <w:outlineLvl w:val="1"/>
    </w:pPr>
  </w:style>
  <w:style w:type="paragraph" w:styleId="Ttulo3">
    <w:name w:val="heading 3"/>
    <w:basedOn w:val="Ttulo2"/>
    <w:next w:val="Normal"/>
    <w:link w:val="Ttulo3Car"/>
    <w:uiPriority w:val="9"/>
    <w:unhideWhenUsed/>
    <w:qFormat/>
    <w:rsid w:val="00A06021"/>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4E8"/>
    <w:pPr>
      <w:tabs>
        <w:tab w:val="center" w:pos="4252"/>
        <w:tab w:val="right" w:pos="8504"/>
      </w:tabs>
    </w:pPr>
  </w:style>
  <w:style w:type="character" w:customStyle="1" w:styleId="EncabezadoCar">
    <w:name w:val="Encabezado Car"/>
    <w:basedOn w:val="Fuentedeprrafopredeter"/>
    <w:link w:val="Encabezado"/>
    <w:uiPriority w:val="99"/>
    <w:rsid w:val="007804E8"/>
    <w:rPr>
      <w:rFonts w:eastAsiaTheme="minorEastAsia"/>
    </w:rPr>
  </w:style>
  <w:style w:type="paragraph" w:styleId="Piedepgina">
    <w:name w:val="footer"/>
    <w:basedOn w:val="Normal"/>
    <w:link w:val="PiedepginaCar"/>
    <w:uiPriority w:val="99"/>
    <w:unhideWhenUsed/>
    <w:rsid w:val="007804E8"/>
    <w:pPr>
      <w:tabs>
        <w:tab w:val="center" w:pos="4252"/>
        <w:tab w:val="right" w:pos="8504"/>
      </w:tabs>
    </w:pPr>
  </w:style>
  <w:style w:type="character" w:customStyle="1" w:styleId="PiedepginaCar">
    <w:name w:val="Pie de página Car"/>
    <w:basedOn w:val="Fuentedeprrafopredeter"/>
    <w:link w:val="Piedepgina"/>
    <w:uiPriority w:val="99"/>
    <w:rsid w:val="007804E8"/>
    <w:rPr>
      <w:rFonts w:eastAsiaTheme="minorEastAsia"/>
    </w:rPr>
  </w:style>
  <w:style w:type="paragraph" w:customStyle="1" w:styleId="Cuerpo">
    <w:name w:val="Cuerpo"/>
    <w:rsid w:val="0075646D"/>
    <w:pPr>
      <w:pBdr>
        <w:top w:val="nil"/>
        <w:left w:val="nil"/>
        <w:bottom w:val="nil"/>
        <w:right w:val="nil"/>
        <w:between w:val="nil"/>
        <w:bar w:val="nil"/>
      </w:pBdr>
    </w:pPr>
    <w:rPr>
      <w:rFonts w:ascii="Cambria" w:eastAsia="Cambria" w:hAnsi="Cambria" w:cs="Cambria"/>
      <w:color w:val="000000"/>
      <w:u w:color="000000"/>
      <w:bdr w:val="nil"/>
      <w:lang w:eastAsia="es-ES_tradnl"/>
    </w:rPr>
  </w:style>
  <w:style w:type="character" w:customStyle="1" w:styleId="Ninguno">
    <w:name w:val="Ninguno"/>
    <w:rsid w:val="0075646D"/>
    <w:rPr>
      <w:lang w:val="es-ES_tradnl"/>
    </w:rPr>
  </w:style>
  <w:style w:type="paragraph" w:styleId="Prrafodelista">
    <w:name w:val="List Paragraph"/>
    <w:link w:val="PrrafodelistaCar"/>
    <w:rsid w:val="0075646D"/>
    <w:pPr>
      <w:pBdr>
        <w:top w:val="nil"/>
        <w:left w:val="nil"/>
        <w:bottom w:val="nil"/>
        <w:right w:val="nil"/>
        <w:between w:val="nil"/>
        <w:bar w:val="nil"/>
      </w:pBdr>
      <w:ind w:left="720"/>
    </w:pPr>
    <w:rPr>
      <w:rFonts w:ascii="Cambria" w:eastAsia="Cambria" w:hAnsi="Cambria" w:cs="Cambria"/>
      <w:color w:val="000000"/>
      <w:u w:color="000000"/>
      <w:bdr w:val="nil"/>
      <w:lang w:eastAsia="es-ES_tradnl"/>
    </w:rPr>
  </w:style>
  <w:style w:type="numbering" w:customStyle="1" w:styleId="Estiloimportado1">
    <w:name w:val="Estilo importado 1"/>
    <w:rsid w:val="0075646D"/>
    <w:pPr>
      <w:numPr>
        <w:numId w:val="1"/>
      </w:numPr>
    </w:pPr>
  </w:style>
  <w:style w:type="character" w:customStyle="1" w:styleId="Hyperlink0">
    <w:name w:val="Hyperlink.0"/>
    <w:basedOn w:val="Hipervnculo"/>
    <w:rsid w:val="0075646D"/>
    <w:rPr>
      <w:color w:val="0000FF"/>
      <w:u w:val="single" w:color="0000FF"/>
    </w:rPr>
  </w:style>
  <w:style w:type="numbering" w:customStyle="1" w:styleId="Estiloimportado10">
    <w:name w:val="Estilo importado 1.0"/>
    <w:rsid w:val="0075646D"/>
    <w:pPr>
      <w:numPr>
        <w:numId w:val="11"/>
      </w:numPr>
    </w:pPr>
  </w:style>
  <w:style w:type="character" w:customStyle="1" w:styleId="Hyperlink1">
    <w:name w:val="Hyperlink.1"/>
    <w:basedOn w:val="Hyperlink0"/>
    <w:rsid w:val="0075646D"/>
    <w:rPr>
      <w:color w:val="000000"/>
      <w:u w:val="single" w:color="0000FF"/>
    </w:rPr>
  </w:style>
  <w:style w:type="numbering" w:customStyle="1" w:styleId="Estiloimportado3">
    <w:name w:val="Estilo importado 3"/>
    <w:rsid w:val="0075646D"/>
    <w:pPr>
      <w:numPr>
        <w:numId w:val="18"/>
      </w:numPr>
    </w:pPr>
  </w:style>
  <w:style w:type="paragraph" w:customStyle="1" w:styleId="Poromisin">
    <w:name w:val="Por omisión"/>
    <w:rsid w:val="0075646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rPr>
  </w:style>
  <w:style w:type="character" w:styleId="Hipervnculo">
    <w:name w:val="Hyperlink"/>
    <w:basedOn w:val="Fuentedeprrafopredeter"/>
    <w:uiPriority w:val="99"/>
    <w:semiHidden/>
    <w:unhideWhenUsed/>
    <w:rsid w:val="0075646D"/>
    <w:rPr>
      <w:color w:val="0563C1" w:themeColor="hyperlink"/>
      <w:u w:val="single"/>
    </w:rPr>
  </w:style>
  <w:style w:type="character" w:customStyle="1" w:styleId="Ttulo1Car">
    <w:name w:val="Título 1 Car"/>
    <w:basedOn w:val="Fuentedeprrafopredeter"/>
    <w:link w:val="Ttulo1"/>
    <w:uiPriority w:val="9"/>
    <w:rsid w:val="00A06021"/>
    <w:rPr>
      <w:rFonts w:ascii="Arial" w:eastAsia="Cambria" w:hAnsi="Arial" w:cs="Arial"/>
      <w:b/>
      <w:color w:val="000000"/>
      <w:u w:color="000000"/>
      <w:bdr w:val="nil"/>
      <w:lang w:eastAsia="es-ES_tradnl"/>
    </w:rPr>
  </w:style>
  <w:style w:type="character" w:customStyle="1" w:styleId="Ttulo2Car">
    <w:name w:val="Título 2 Car"/>
    <w:basedOn w:val="Fuentedeprrafopredeter"/>
    <w:link w:val="Ttulo2"/>
    <w:uiPriority w:val="9"/>
    <w:rsid w:val="00A06021"/>
    <w:rPr>
      <w:rFonts w:ascii="Arial" w:eastAsia="Cambria" w:hAnsi="Arial" w:cs="Arial"/>
      <w:b/>
      <w:color w:val="000000"/>
      <w:u w:color="000000"/>
      <w:bdr w:val="nil"/>
      <w:lang w:eastAsia="es-ES_tradnl"/>
    </w:rPr>
  </w:style>
  <w:style w:type="character" w:customStyle="1" w:styleId="Ttulo3Car">
    <w:name w:val="Título 3 Car"/>
    <w:basedOn w:val="Fuentedeprrafopredeter"/>
    <w:link w:val="Ttulo3"/>
    <w:uiPriority w:val="9"/>
    <w:rsid w:val="00A06021"/>
    <w:rPr>
      <w:rFonts w:ascii="Arial" w:eastAsia="Cambria" w:hAnsi="Arial" w:cs="Arial"/>
      <w:b/>
      <w:color w:val="000000"/>
      <w:u w:color="000000"/>
      <w:bdr w:val="nil"/>
      <w:lang w:eastAsia="es-ES_tradnl"/>
    </w:rPr>
  </w:style>
  <w:style w:type="paragraph" w:customStyle="1" w:styleId="bullet">
    <w:name w:val="bullet"/>
    <w:basedOn w:val="Prrafodelista"/>
    <w:link w:val="bulletCar"/>
    <w:rsid w:val="00D95B27"/>
    <w:pPr>
      <w:numPr>
        <w:numId w:val="31"/>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rPr>
  </w:style>
  <w:style w:type="character" w:customStyle="1" w:styleId="PrrafodelistaCar">
    <w:name w:val="Párrafo de lista Car"/>
    <w:basedOn w:val="Fuentedeprrafopredeter"/>
    <w:link w:val="Prrafodelista"/>
    <w:rsid w:val="00D95B27"/>
    <w:rPr>
      <w:rFonts w:ascii="Cambria" w:eastAsia="Cambria" w:hAnsi="Cambria" w:cs="Cambria"/>
      <w:color w:val="000000"/>
      <w:u w:color="000000"/>
      <w:bdr w:val="nil"/>
      <w:lang w:eastAsia="es-ES_tradnl"/>
    </w:rPr>
  </w:style>
  <w:style w:type="character" w:customStyle="1" w:styleId="bulletCar">
    <w:name w:val="bullet Car"/>
    <w:basedOn w:val="PrrafodelistaCar"/>
    <w:link w:val="bullet"/>
    <w:rsid w:val="00D95B27"/>
    <w:rPr>
      <w:rFonts w:ascii="Arial" w:eastAsia="Cambria" w:hAnsi="Arial" w:cs="Arial"/>
      <w:color w:val="000000"/>
      <w:u w:color="000000"/>
      <w:bdr w:val="nil"/>
      <w:lang w:eastAsia="es-ES_tradnl"/>
    </w:rPr>
  </w:style>
  <w:style w:type="paragraph" w:styleId="Textodeglobo">
    <w:name w:val="Balloon Text"/>
    <w:basedOn w:val="Normal"/>
    <w:link w:val="TextodegloboCar"/>
    <w:uiPriority w:val="99"/>
    <w:semiHidden/>
    <w:unhideWhenUsed/>
    <w:rsid w:val="00481B8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81B8A"/>
    <w:rPr>
      <w:rFonts w:ascii="Times New Roman" w:eastAsia="Cambria" w:hAnsi="Times New Roman" w:cs="Times New Roman"/>
      <w:color w:val="000000"/>
      <w:sz w:val="18"/>
      <w:szCs w:val="18"/>
      <w:u w:color="000000"/>
      <w:bdr w:val="nil"/>
      <w:lang w:val="es-ES" w:eastAsia="es-ES_tradnl"/>
    </w:rPr>
  </w:style>
  <w:style w:type="paragraph" w:styleId="Textonotapie">
    <w:name w:val="footnote text"/>
    <w:basedOn w:val="Normal"/>
    <w:link w:val="TextonotapieCar"/>
    <w:uiPriority w:val="99"/>
    <w:semiHidden/>
    <w:unhideWhenUsed/>
    <w:rsid w:val="00CD27CE"/>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Theme="minorHAnsi" w:eastAsiaTheme="minorEastAsia" w:hAnsiTheme="minorHAnsi" w:cstheme="minorBidi"/>
      <w:color w:val="auto"/>
      <w:sz w:val="20"/>
      <w:szCs w:val="20"/>
      <w:bdr w:val="none" w:sz="0" w:space="0" w:color="auto"/>
      <w:lang w:val="es-ES_tradnl" w:eastAsia="en-US"/>
    </w:rPr>
  </w:style>
  <w:style w:type="character" w:customStyle="1" w:styleId="TextonotapieCar">
    <w:name w:val="Texto nota pie Car"/>
    <w:basedOn w:val="Fuentedeprrafopredeter"/>
    <w:link w:val="Textonotapie"/>
    <w:uiPriority w:val="99"/>
    <w:semiHidden/>
    <w:rsid w:val="00CD27CE"/>
    <w:rPr>
      <w:rFonts w:eastAsiaTheme="minorEastAsia"/>
      <w:sz w:val="20"/>
      <w:szCs w:val="20"/>
    </w:rPr>
  </w:style>
  <w:style w:type="character" w:styleId="Refdenotaalpie">
    <w:name w:val="footnote reference"/>
    <w:uiPriority w:val="99"/>
    <w:unhideWhenUsed/>
    <w:rsid w:val="00CD27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85E70-91CE-4257-876E-04FDB1AB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11</Pages>
  <Words>2329</Words>
  <Characters>12815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García-Tuñón Rodríguez</dc:creator>
  <cp:keywords/>
  <dc:description/>
  <cp:lastModifiedBy>Ana Rodríguez Guerra</cp:lastModifiedBy>
  <cp:revision>61</cp:revision>
  <cp:lastPrinted>2021-04-22T12:58:00Z</cp:lastPrinted>
  <dcterms:created xsi:type="dcterms:W3CDTF">2020-04-13T21:44:00Z</dcterms:created>
  <dcterms:modified xsi:type="dcterms:W3CDTF">2021-04-22T12:58:00Z</dcterms:modified>
</cp:coreProperties>
</file>